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 See </w:t>
      </w:r>
      <w:hyperlink r:id="rId6" w:history="1">
        <w:r>
          <w:rPr>
            <w:rStyle w:val="Hyperlink"/>
          </w:rPr>
          <w:t>GEOC for Faculty</w:t>
        </w:r>
      </w:hyperlink>
      <w:r>
        <w:rPr>
          <w:color w:val="EE0000"/>
        </w:rPr>
        <w:t xml:space="preserve"> for the review process and deadlines.</w:t>
      </w:r>
    </w:p>
    <w:p/>
    <w:p>
      <w:r>
        <w:t xml:space="preserve">Proposal type     </w:t>
      </w:r>
      <w:sdt>
        <w:sdtPr>
          <w:id w:val="90000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Recertification      </w:t>
      </w:r>
      <w:sdt>
        <w:sdtPr>
          <w:id w:val="90000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Revision only (not up for Recertification)      </w:t>
      </w:r>
      <w:sdt>
        <w:sdtPr>
          <w:id w:val="90000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New course</w:t>
      </w:r>
    </w:p>
    <w:p/>
    <w:p>
      <w:r>
        <w:t xml:space="preserve">Course Name and Number ____________________________________</w:t>
      </w:r>
    </w:p>
    <w:p/>
    <w:p>
      <w:r>
        <w:t xml:space="preserve">GE/Overlay/Code area or areas this proposal is for:</w:t>
      </w:r>
    </w:p>
    <w:p>
      <w:r>
        <w:rPr>
          <w:i/>
          <w:iCs/>
        </w:rPr>
        <w:t xml:space="preserve">Current list of GE areas can be found in the </w:t>
      </w:r>
      <w:hyperlink r:id="rId21" w:history="1">
        <w:r>
          <w:rPr>
            <w:rStyle w:val="Hyperlink"/>
            <w:i/>
            <w:iCs/>
          </w:rPr>
          <w:t>GE Framework document</w:t>
        </w:r>
      </w:hyperlink>
      <w:r>
        <w:rPr>
          <w:i/>
          <w:iCs/>
        </w:rPr>
        <w:t xml:space="preserve">.</w:t>
      </w:r>
    </w:p>
    <w:p/>
    <w:p>
      <w:r>
        <w:t xml:space="preserve">Lower division   </w:t>
      </w:r>
      <w:sdt>
        <w:sdtPr>
          <w:id w:val="90000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1A   </w:t>
      </w:r>
      <w:sdt>
        <w:sdtPr>
          <w:id w:val="90000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1B   </w:t>
      </w:r>
      <w:sdt>
        <w:sdtPr>
          <w:id w:val="90000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1C   </w:t>
      </w:r>
      <w:sdt>
        <w:sdtPr>
          <w:id w:val="90000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2   </w:t>
      </w:r>
      <w:sdt>
        <w:sdtPr>
          <w:id w:val="90000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3A   </w:t>
      </w:r>
      <w:sdt>
        <w:sdtPr>
          <w:id w:val="90000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3B   </w:t>
      </w:r>
      <w:sdt>
        <w:sdtPr>
          <w:id w:val="90001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4   </w:t>
      </w:r>
      <w:sdt>
        <w:sdtPr>
          <w:id w:val="90001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5A   </w:t>
      </w:r>
      <w:sdt>
        <w:sdtPr>
          <w:id w:val="90001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5B   </w:t>
      </w:r>
      <w:sdt>
        <w:sdtPr>
          <w:id w:val="90001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5C   </w:t>
      </w:r>
      <w:sdt>
        <w:sdtPr>
          <w:id w:val="90001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6   </w:t>
      </w:r>
    </w:p>
    <w:p>
      <w:r>
        <w:t xml:space="preserve">Upper division   </w:t>
      </w:r>
      <w:sdt>
        <w:sdtPr>
          <w:id w:val="90001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UD-3   </w:t>
      </w:r>
      <w:sdt>
        <w:sdtPr>
          <w:id w:val="90001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UD-4   </w:t>
      </w:r>
      <w:sdt>
        <w:sdtPr>
          <w:id w:val="90001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 5   </w:t>
      </w:r>
    </w:p>
    <w:p>
      <w:r>
        <w:t xml:space="preserve">Overlay   </w:t>
      </w:r>
      <w:sdt>
        <w:sdtPr>
          <w:id w:val="90001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Diversity   </w:t>
      </w:r>
      <w:sdt>
        <w:sdtPr>
          <w:id w:val="90001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Social Justice   </w:t>
      </w:r>
      <w:sdt>
        <w:sdtPr>
          <w:id w:val="90002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Sustainability   </w:t>
      </w:r>
      <w:r>
        <w:t xml:space="preserve">    Code   </w:t>
      </w:r>
      <w:sdt>
        <w:sdtPr>
          <w:id w:val="90002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US-1   </w:t>
      </w:r>
      <w:sdt>
        <w:sdtPr>
          <w:id w:val="90002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US-2   </w:t>
      </w:r>
      <w:sdt>
        <w:sdtPr>
          <w:id w:val="90002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US-3   </w:t>
      </w:r>
    </w:p>
    <w:p>
      <w:r>
        <w:t xml:space="preserve">Writing   </w:t>
      </w:r>
      <w:sdt>
        <w:sdtPr>
          <w:id w:val="90002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Second Composition   </w:t>
      </w:r>
      <w:sdt>
        <w:sdtPr>
          <w:id w:val="90002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W (University Writing Requirement)   </w:t>
      </w:r>
    </w:p>
    <w:p/>
    <w:p>
      <w:r>
        <w:t xml:space="preserve">Originator ____________________________________________</w:t>
      </w:r>
    </w:p>
    <w:p/>
    <w:p>
      <w:sdt>
        <w:sdtPr>
          <w:id w:val="90002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The attached syllabus carries the catalog course description, the course learning outcomes together with the GEOC learning outcomes for every area named above, a course outline with due dates for key assignments, and, where an area sets a writing requirement, the word count for the assignments that meet it. </w:t>
      </w:r>
      <w:r>
        <w:rPr>
          <w:i/>
          <w:iCs/>
        </w:rPr>
        <w:t xml:space="preserve">Required by the </w:t>
      </w:r>
      <w:hyperlink r:id="rId22" w:history="1">
        <w:r>
          <w:rPr>
            <w:rStyle w:val="Hyperlink"/>
            <w:i/>
            <w:iCs/>
          </w:rPr>
          <w:t>syllabus policy, 25-26 CIC 1</w:t>
        </w:r>
      </w:hyperlink>
      <w:r>
        <w:rPr>
          <w:i/>
          <w:iCs/>
        </w:rPr>
        <w:t xml:space="preserve">. GEOC requires the word counts.</w:t>
      </w:r>
    </w:p>
    <w:p/>
    <w:tbl>
      <w:tblPr>
        <w:tblW w:w="9450" w:type="dxa"/>
        <w:tblLayout w:type="fixed"/>
        <w:tblLook w:val="0600" w:firstRow="0" w:lastRow="0" w:firstColumn="0" w:lastColumn="0" w:noHBand="1" w:noVBand="1"/>
      </w:tblPr>
      <w:tblGrid>
        <w:gridCol w:w="2340"/>
        <w:gridCol w:w="990"/>
        <w:gridCol w:w="2790"/>
        <w:gridCol w:w="3330"/>
      </w:tblGrid>
      <w:tr>
        <w:trPr>
          <w:trHeight w:val="180"/>
        </w:trPr>
        <w:tc>
          <w:tcPr>
            <w:tcW w:w="9450" w:type="dxa"/>
            <w:gridSpan w:val="4"/>
            <w:tcBorders>
              <w:bottom w:val="single" w:sz="12" w:space="0" w:color="000000"/>
            </w:tcBorders>
          </w:tcPr>
          <w:p>
            <w:pPr>
              <w:pStyle w:val="Title"/>
              <w:keepNext/>
              <w:numPr>
                <w:ilvl w:val="0"/>
                <w:numId w:val="1"/>
              </w:numPr>
              <w:rPr>
                <w:sz w:val="21"/>
                <w:szCs w:val="21"/>
              </w:rPr>
            </w:pPr>
            <w:r>
              <w:rPr>
                <w:sz w:val="21"/>
                <w:szCs w:val="21"/>
              </w:rPr>
              <w:t xml:space="preserve">Alignment by learning outcome</w:t>
            </w:r>
          </w:p>
        </w:tc>
      </w:tr>
      <w:tr>
        <w:trPr>
          <w:trHeight w:val="48"/>
        </w:trPr>
        <w:tc>
          <w:tcPr>
            <w:tcW w:w="9450" w:type="dxa"/>
            <w:gridSpan w:val="4"/>
            <w:tcBorders>
              <w:top w:val="single" w:sz="12" w:space="0" w:color="000000"/>
            </w:tcBorders>
          </w:tcPr>
          <w:p>
            <w:pPr>
              <w:keepNext/>
              <w:rPr>
                <w:sz w:val="8"/>
                <w:szCs w:val="8"/>
              </w:rPr>
            </w:pPr>
          </w:p>
        </w:tc>
      </w:tr>
      <w:tr>
        <w:trPr>
          <w:trHeight w:val="432"/>
        </w:trPr>
        <w:tc>
          <w:tcPr>
            <w:tcW w:w="9450" w:type="dxa"/>
            <w:gridSpan w:val="4"/>
          </w:tcPr>
          <w:p>
            <w:pPr>
              <w:keepNext/>
            </w:pPr>
            <w:r>
              <w:t xml:space="preserve">Please copy and paste the GE/Overlay/Code (if applicable) Learning Outcomes for your course into the table below, taken from the </w:t>
            </w:r>
            <w:hyperlink r:id="rId21" w:history="1">
              <w:r>
                <w:rPr>
                  <w:rStyle w:val="Hyperlink"/>
                </w:rPr>
                <w:t>GE Framework document</w:t>
              </w:r>
            </w:hyperlink>
            <w:r>
              <w:t xml:space="preserve">, one row for each outcome in the areas named above, overlays included. For Area 6, give the three outcomes the course meets. Then give the weeks in which the outcome is taught, what students do in those weeks, and the assignment in which they demonstrate it, naming weeks and assignments as they appear on the attached syllabus. One or two sentences to a cell. </w:t>
            </w:r>
            <w:r>
              <w:rPr>
                <w:i/>
                <w:iCs/>
              </w:rPr>
              <w:t xml:space="preserve">(Add rows as needed: click in the last cell of the table and press Tab.)</w:t>
            </w:r>
          </w:p>
        </w:tc>
      </w:tr>
      <w:tr>
        <w:trPr>
          <w:trHeight w:val="80"/>
        </w:trPr>
        <w:tc>
          <w:tcPr>
            <w:tcW w:w="9450" w:type="dxa"/>
            <w:gridSpan w:val="4"/>
            <w:tcBorders>
              <w:bottom w:val="single" w:sz="4" w:space="0" w:color="000000"/>
            </w:tcBorders>
          </w:tcPr>
          <w:p>
            <w:pPr>
              <w:keepNext/>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rPr>
                <w:i/>
                <w:iCs/>
              </w:rP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rPr>
                <w:i/>
                <w:iCs/>
              </w:rP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rPr>
                <w:i/>
                <w:iCs/>
              </w:rP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rPr>
                <w:i/>
                <w:iCs/>
              </w:rPr>
              <w:t xml:space="preserve">Final research presentation, evaluated with the posted rubric for method and use of sources.</w:t>
            </w: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rPr>
        <w:tc>
          <w:tcPr>
            <w:tcW w:w="9450" w:type="dxa"/>
            <w:gridSpan w:val="2"/>
            <w:tcBorders>
              <w:bottom w:val="single" w:sz="12" w:space="0" w:color="000000"/>
            </w:tcBorders>
          </w:tcPr>
          <w:p>
            <w:pPr>
              <w:pStyle w:val="Title"/>
              <w:keepNext/>
              <w:numPr>
                <w:ilvl w:val="0"/>
                <w:numId w:val="1"/>
              </w:numPr>
              <w:rPr>
                <w:sz w:val="21"/>
                <w:szCs w:val="21"/>
              </w:rPr>
            </w:pPr>
            <w:r>
              <w:rPr>
                <w:sz w:val="21"/>
                <w:szCs w:val="21"/>
              </w:rPr>
              <w:t xml:space="preserve">Course characteristics</w:t>
            </w:r>
          </w:p>
        </w:tc>
      </w:tr>
      <w:tr>
        <w:trPr>
          <w:trHeight w:val="48"/>
        </w:trPr>
        <w:tc>
          <w:tcPr>
            <w:tcW w:w="9450" w:type="dxa"/>
            <w:gridSpan w:val="2"/>
            <w:tcBorders>
              <w:top w:val="single" w:sz="12" w:space="0" w:color="000000"/>
            </w:tcBorders>
          </w:tcPr>
          <w:p>
            <w:pPr>
              <w:keepNext/>
              <w:rPr>
                <w:sz w:val="8"/>
                <w:szCs w:val="8"/>
              </w:rPr>
            </w:pPr>
          </w:p>
        </w:tc>
      </w:tr>
      <w:tr>
        <w:trPr>
          <w:trHeight w:val="432"/>
        </w:trPr>
        <w:tc>
          <w:tcPr>
            <w:tcW w:w="9450" w:type="dxa"/>
            <w:gridSpan w:val="2"/>
          </w:tcPr>
          <w:p>
            <w:pPr>
              <w:keepNext/>
            </w:pPr>
            <w:r>
              <w:t xml:space="preserve">Please paste each course characteristic for the areas named above, taken from the current </w:t>
            </w:r>
            <w:hyperlink r:id="rId21" w:history="1">
              <w:r>
                <w:rPr>
                  <w:rStyle w:val="Hyperlink"/>
                </w:rPr>
                <w:t>GE Framework document</w:t>
              </w:r>
            </w:hyperlink>
            <w:r>
              <w:t xml:space="preserve">. You may give a shortened description. Then give the assignment or arrangement that meets it, and where it sits on the syllabus. Where an area carries no course characteristics, write none. </w:t>
            </w:r>
            <w:r>
              <w:rPr>
                <w:i/>
                <w:iCs/>
              </w:rPr>
              <w:t xml:space="preserve">(Add rows as needed: click in the last cell of the table and press Tab.)</w:t>
            </w:r>
          </w:p>
        </w:tc>
      </w:tr>
      <w:tr>
        <w:trPr>
          <w:trHeight w:val="80"/>
        </w:trPr>
        <w:tc>
          <w:tcPr>
            <w:tcW w:w="9450" w:type="dxa"/>
            <w:gridSpan w:val="2"/>
            <w:tcBorders>
              <w:bottom w:val="single" w:sz="4" w:space="0" w:color="000000"/>
            </w:tcBorders>
          </w:tcPr>
          <w:p>
            <w:pPr>
              <w:keepNext/>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How and where the syllabus meets it</w:t>
            </w:r>
          </w:p>
        </w:tc>
      </w:tr>
      <w:tr>
        <w:trPr>
          <w:cantSplit/>
          <w:trHeight w:val="440"/>
        </w:trPr>
        <w:tc>
          <w:tcPr>
            <w:tcW w:w="3330" w:type="dxa"/>
            <w:tcBorders>
              <w:top w:val="single" w:sz="4" w:space="0" w:color="000000"/>
              <w:left w:val="single" w:sz="4" w:space="0" w:color="000000"/>
              <w:bottom w:val="single" w:sz="4" w:space="0" w:color="000000"/>
              <w:right w:val="single" w:sz="4" w:space="0" w:color="000000"/>
            </w:tcBorders>
          </w:tcPr>
          <w:p>
            <w:r>
              <w:rPr>
                <w:i/>
                <w:iCs/>
              </w:rPr>
              <w:t xml:space="preserve">Example:  UD-3 (a) Advanced writing, a minimum of 4,000 assigned words, with critical feedback from the instructor.</w:t>
            </w:r>
          </w:p>
        </w:tc>
        <w:tc>
          <w:tcPr>
            <w:tcW w:w="6120" w:type="dxa"/>
            <w:tcBorders>
              <w:top w:val="single" w:sz="4" w:space="0" w:color="000000"/>
              <w:left w:val="single" w:sz="4" w:space="0" w:color="000000"/>
              <w:bottom w:val="single" w:sz="4" w:space="0" w:color="000000"/>
              <w:right w:val="single" w:sz="4" w:space="0" w:color="000000"/>
            </w:tcBorders>
          </w:tcPr>
          <w:p>
            <w:r>
              <w:rPr>
                <w:i/>
                <w:iCs/>
              </w:rPr>
              <w:t xml:space="preserve">Two 1,200-word analyses, due in weeks 6 and 10, and a 1,600-word final paper drafted in week 12, with comments returned before revision.</w:t>
            </w:r>
          </w:p>
        </w:tc>
      </w:tr>
      <w:tr>
        <w:trPr>
          <w:cantSplit/>
          <w:trHeight w:val="44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4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4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9450"/>
      </w:tblGrid>
      <w:tr>
        <w:trPr>
          <w:trHeight w:val="180"/>
        </w:trPr>
        <w:tc>
          <w:tcPr>
            <w:tcW w:w="9450" w:type="dxa"/>
            <w:gridSpan w:val="1"/>
            <w:tcBorders>
              <w:bottom w:val="single" w:sz="12" w:space="0" w:color="000000"/>
            </w:tcBorders>
          </w:tcPr>
          <w:p>
            <w:pPr>
              <w:pStyle w:val="Title"/>
              <w:keepNext/>
              <w:numPr>
                <w:ilvl w:val="0"/>
                <w:numId w:val="1"/>
              </w:numPr>
              <w:rPr>
                <w:sz w:val="21"/>
                <w:szCs w:val="21"/>
              </w:rPr>
            </w:pPr>
            <w:r>
              <w:rPr>
                <w:sz w:val="21"/>
                <w:szCs w:val="21"/>
              </w:rPr>
              <w:t xml:space="preserve">Delivery methods</w:t>
            </w:r>
          </w:p>
        </w:tc>
      </w:tr>
      <w:tr>
        <w:trPr>
          <w:trHeight w:val="48"/>
        </w:trPr>
        <w:tc>
          <w:tcPr>
            <w:tcW w:w="9450" w:type="dxa"/>
            <w:gridSpan w:val="1"/>
            <w:tcBorders>
              <w:top w:val="single" w:sz="12" w:space="0" w:color="000000"/>
            </w:tcBorders>
          </w:tcPr>
          <w:p>
            <w:pPr>
              <w:keepNext/>
              <w:rPr>
                <w:sz w:val="8"/>
                <w:szCs w:val="8"/>
              </w:rPr>
            </w:pPr>
          </w:p>
        </w:tc>
      </w:tr>
      <w:tr>
        <w:trPr>
          <w:trHeight w:val="432"/>
        </w:trPr>
        <w:tc>
          <w:tcPr>
            <w:tcW w:w="9450" w:type="dxa"/>
            <w:gridSpan w:val="1"/>
          </w:tcPr>
          <w:p>
            <w:pPr>
              <w:keepNext/>
            </w:pPr>
            <w:r>
              <w:t xml:space="preserve">If one syllabus covers more than one delivery method, note what differs between them, in particular oral communication, collaboration, and the points where students receive critical feedback.</w:t>
            </w:r>
          </w:p>
        </w:tc>
      </w:tr>
      <w:tr>
        <w:trPr>
          <w:trHeight w:val="80"/>
        </w:trPr>
        <w:tc>
          <w:tcPr>
            <w:tcW w:w="9450" w:type="dxa"/>
            <w:gridSpan w:val="1"/>
            <w:tcBorders>
              <w:bottom w:val="single" w:sz="4" w:space="0" w:color="000000"/>
            </w:tcBorders>
          </w:tcPr>
          <w:p>
            <w:pPr>
              <w:keepNext/>
              <w:rPr>
                <w:sz w:val="8"/>
                <w:szCs w:val="8"/>
              </w:rPr>
            </w:pPr>
          </w:p>
        </w:tc>
      </w:tr>
      <w:tr>
        <w:trPr>
          <w:cantSplit/>
          <w:trHeight w:val="1100"/>
        </w:trPr>
        <w:tc>
          <w:tcPr>
            <w:tcW w:w="945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 Id="rId22" Type="http://schemas.openxmlformats.org/officeDocument/2006/relationships/hyperlink" Target="https://docs.google.com/document/d/10yzpljC_z1J5cymqErIQRl2PVtudhmqKoqHlErof_kI/edit" TargetMode="External"/><Relationship Id="rId21" Type="http://schemas.openxmlformats.org/officeDocument/2006/relationships/hyperlink" Target="https://www.csueastbay.edu/ge/files/docs/ge-framework-documents/ge-framework-starting-fall-202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