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(160) </w:t>
      </w:r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>(i.e. OH and HO</w:t>
      </w:r>
      <w:r w:rsidR="00F16266" w:rsidRPr="00F16266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proofErr w:type="gram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</w:t>
      </w:r>
      <w:proofErr w:type="gramStart"/>
      <w:r w:rsidRPr="00FB6C5D">
        <w:rPr>
          <w:rFonts w:ascii="Times New Roman" w:hAnsi="Times New Roman" w:cs="Times New Roman"/>
          <w:sz w:val="21"/>
          <w:szCs w:val="21"/>
          <w:lang w:val="en-GB"/>
        </w:rPr>
        <w:t>)][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FA2616" w:rsidRPr="004C3FD0" w:rsidRDefault="005A177C" w:rsidP="00F8446D">
      <w:pPr>
        <w:rPr>
          <w:rFonts w:ascii="Times New Roman" w:hAnsi="Times New Roman" w:cs="Times New Roman"/>
          <w:szCs w:val="21"/>
          <w:lang w:val="en-GB"/>
        </w:rPr>
      </w:pPr>
      <w:r w:rsidRPr="004C3FD0">
        <w:rPr>
          <w:rFonts w:ascii="Times New Roman" w:hAnsi="Times New Roman" w:cs="Times New Roman"/>
          <w:szCs w:val="21"/>
          <w:lang w:val="en-GB"/>
        </w:rPr>
        <w:t>In the polluted areas, t</w:t>
      </w:r>
      <w:r w:rsidR="007A1BA5" w:rsidRPr="004C3FD0">
        <w:rPr>
          <w:rFonts w:ascii="Times New Roman" w:hAnsi="Times New Roman" w:cs="Times New Roman"/>
          <w:szCs w:val="21"/>
          <w:lang w:val="en-GB"/>
        </w:rPr>
        <w:t xml:space="preserve">he sinks of </w:t>
      </w:r>
      <w:r w:rsidR="00F16266" w:rsidRPr="004C3FD0">
        <w:rPr>
          <w:rFonts w:ascii="Times New Roman" w:hAnsi="Times New Roman" w:cs="Times New Roman"/>
          <w:szCs w:val="21"/>
          <w:lang w:val="en-GB"/>
        </w:rPr>
        <w:t>HO</w:t>
      </w:r>
      <w:r w:rsidR="00F1626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 radicals </w:t>
      </w:r>
      <w:r w:rsidRPr="004C3FD0">
        <w:rPr>
          <w:rFonts w:ascii="Times New Roman" w:hAnsi="Times New Roman" w:cs="Times New Roman"/>
          <w:szCs w:val="21"/>
          <w:lang w:val="en-GB"/>
        </w:rPr>
        <w:t>are the formation of a mixture of HNO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H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, depending on the relative abundance of 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VOCs. 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T</w:t>
      </w:r>
      <w:r w:rsidR="00FA2616" w:rsidRPr="004C3FD0">
        <w:rPr>
          <w:rFonts w:ascii="Times New Roman" w:hAnsi="Times New Roman" w:cs="Times New Roman"/>
          <w:szCs w:val="21"/>
          <w:lang w:val="en-GB"/>
        </w:rPr>
        <w:t>he chemical budget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s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of HO</w:t>
      </w:r>
      <w:r w:rsidR="00FA261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radicals</w:t>
      </w:r>
      <w:r w:rsidR="00F143C6" w:rsidRPr="004C3FD0">
        <w:rPr>
          <w:rFonts w:ascii="Times New Roman" w:hAnsi="Times New Roman" w:cs="Times New Roman"/>
          <w:szCs w:val="21"/>
          <w:lang w:val="en-GB"/>
        </w:rPr>
        <w:t xml:space="preserve"> were calculated by </w:t>
      </w:r>
      <w:r w:rsidR="00DD1BE5" w:rsidRPr="004C3FD0">
        <w:rPr>
          <w:rFonts w:ascii="Times New Roman" w:hAnsi="Times New Roman" w:cs="Times New Roman"/>
          <w:szCs w:val="21"/>
          <w:lang w:val="en-GB"/>
        </w:rPr>
        <w:t>Equation 3 and 4</w:t>
      </w:r>
      <w:r w:rsidR="00B44F78" w:rsidRPr="004C3FD0">
        <w:rPr>
          <w:rFonts w:ascii="Times New Roman" w:hAnsi="Times New Roman" w:cs="Times New Roman"/>
          <w:szCs w:val="21"/>
          <w:lang w:val="en-GB"/>
        </w:rPr>
        <w:t>, where α represent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s the proportion of the O(</w:t>
      </w:r>
      <w:r w:rsidR="004C3FD0" w:rsidRPr="004C3FD0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D) formed by O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4C3FD0" w:rsidRPr="004C3FD0">
        <w:rPr>
          <w:rFonts w:ascii="Times New Roman" w:hAnsi="Times New Roman" w:cs="Times New Roman"/>
          <w:szCs w:val="21"/>
          <w:lang w:val="en-GB"/>
        </w:rPr>
        <w:t xml:space="preserve"> photolysis and reacting with H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O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B03DB2" w:rsidRPr="00124B80" w:rsidRDefault="00B03DB2" w:rsidP="00F8446D">
      <w:pPr>
        <w:rPr>
          <w:rFonts w:ascii="Times New Roman" w:hAnsi="Times New Roman" w:cs="Times New Roman"/>
          <w:szCs w:val="21"/>
          <w:lang w:val="en-GB"/>
        </w:rPr>
      </w:pPr>
    </w:p>
    <w:p w:rsidR="00C72BD8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OH + 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10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124B80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>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11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C72BD8" w:rsidRDefault="00C72BD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196EC6" w:rsidRPr="00196EC6" w:rsidRDefault="00196EC6" w:rsidP="00F8446D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[OH]/∂t = 2·J[O(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96EC6">
        <w:rPr>
          <w:rFonts w:ascii="Times New Roman" w:hAnsi="Times New Roman" w:cs="Times New Roman"/>
          <w:szCs w:val="21"/>
          <w:lang w:val="en-GB"/>
        </w:rPr>
        <w:t>D</w:t>
      </w:r>
      <w:proofErr w:type="gramStart"/>
      <w:r w:rsidRPr="00196EC6">
        <w:rPr>
          <w:rFonts w:ascii="Times New Roman" w:hAnsi="Times New Roman" w:cs="Times New Roman"/>
          <w:szCs w:val="21"/>
          <w:lang w:val="en-GB"/>
        </w:rPr>
        <w:t>)][</w:t>
      </w:r>
      <w:proofErr w:type="gramEnd"/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 w:rsidRPr="00196EC6">
        <w:rPr>
          <w:rFonts w:ascii="Times New Roman" w:hAnsi="Times New Roman" w:cs="Times New Roman"/>
          <w:szCs w:val="21"/>
          <w:lang w:val="en-GB"/>
        </w:rPr>
        <w:t>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O] 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+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–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][</w:t>
      </w:r>
      <w:r w:rsidRPr="00196EC6">
        <w:rPr>
          <w:rFonts w:ascii="Times New Roman" w:hAnsi="Times New Roman" w:cs="Times New Roman"/>
          <w:szCs w:val="21"/>
          <w:lang w:val="en-GB"/>
        </w:rPr>
        <w:t>NO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196EC6" w:rsidRPr="00196EC6" w:rsidRDefault="00196EC6" w:rsidP="00196EC6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]/∂t =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 – </w:t>
      </w:r>
      <w:r w:rsidRPr="00196EC6">
        <w:rPr>
          <w:rFonts w:ascii="Times New Roman" w:hAnsi="Times New Roman" w:cs="Times New Roman"/>
          <w:szCs w:val="21"/>
          <w:lang w:val="en-GB"/>
        </w:rPr>
        <w:t>2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196EC6">
        <w:rPr>
          <w:rFonts w:ascii="Times New Roman" w:hAnsi="Times New Roman" w:cs="Times New Roman"/>
          <w:szCs w:val="21"/>
          <w:lang w:val="en-GB"/>
        </w:rPr>
        <w:t>[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B54099" w:rsidRDefault="00B54099" w:rsidP="00F8446D">
      <w:pPr>
        <w:rPr>
          <w:rFonts w:ascii="Times New Roman" w:hAnsi="Times New Roman" w:cs="Times New Roman"/>
          <w:szCs w:val="21"/>
          <w:lang w:val="en-GB"/>
        </w:rPr>
      </w:pPr>
      <w:bookmarkStart w:id="0" w:name="_GoBack"/>
      <w:bookmarkEnd w:id="0"/>
    </w:p>
    <w:p w:rsidR="00B54099" w:rsidRPr="00196EC6" w:rsidRDefault="00B54099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779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B80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96EC6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1A4F"/>
    <w:rsid w:val="00304437"/>
    <w:rsid w:val="003115AC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5179A"/>
    <w:rsid w:val="00461AFC"/>
    <w:rsid w:val="00476187"/>
    <w:rsid w:val="00494AA5"/>
    <w:rsid w:val="004A359C"/>
    <w:rsid w:val="004B4E16"/>
    <w:rsid w:val="004B7484"/>
    <w:rsid w:val="004C1691"/>
    <w:rsid w:val="004C1A78"/>
    <w:rsid w:val="004C3FD0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3555B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97384"/>
    <w:rsid w:val="005A177C"/>
    <w:rsid w:val="005B2C6E"/>
    <w:rsid w:val="005B5C04"/>
    <w:rsid w:val="005B6F7F"/>
    <w:rsid w:val="005C0DEA"/>
    <w:rsid w:val="005C0EB3"/>
    <w:rsid w:val="005D0D10"/>
    <w:rsid w:val="005D49FE"/>
    <w:rsid w:val="005F1454"/>
    <w:rsid w:val="0060663A"/>
    <w:rsid w:val="00607E39"/>
    <w:rsid w:val="00610241"/>
    <w:rsid w:val="00610FEB"/>
    <w:rsid w:val="006204FB"/>
    <w:rsid w:val="0063439B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1BA5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5108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3DB2"/>
    <w:rsid w:val="00B041CC"/>
    <w:rsid w:val="00B11AA5"/>
    <w:rsid w:val="00B20446"/>
    <w:rsid w:val="00B22433"/>
    <w:rsid w:val="00B233EB"/>
    <w:rsid w:val="00B36D55"/>
    <w:rsid w:val="00B40FC1"/>
    <w:rsid w:val="00B449AB"/>
    <w:rsid w:val="00B44F78"/>
    <w:rsid w:val="00B54099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2BD8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BE5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143C6"/>
    <w:rsid w:val="00F16266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2616"/>
    <w:rsid w:val="00FA3657"/>
    <w:rsid w:val="00FA4955"/>
    <w:rsid w:val="00FB36E1"/>
    <w:rsid w:val="00FB6C5D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  <w:style w:type="character" w:styleId="a8">
    <w:name w:val="Placeholder Text"/>
    <w:basedOn w:val="a0"/>
    <w:uiPriority w:val="99"/>
    <w:semiHidden/>
    <w:rsid w:val="00196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B570D-2A2C-9640-BC41-D45C929B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80</cp:revision>
  <dcterms:created xsi:type="dcterms:W3CDTF">2023-02-25T15:21:00Z</dcterms:created>
  <dcterms:modified xsi:type="dcterms:W3CDTF">2023-02-26T19:49:00Z</dcterms:modified>
</cp:coreProperties>
</file>