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Use-Case Flow Specification</w:t>
      </w:r>
    </w:p>
    <w:p>
      <w:pPr>
        <w:spacing w:after="360"/>
      </w:pPr>
      <w:r>
        <w:rPr>
          <w:i/>
          <w:iCs/>
          <w:sz w:val="20"/>
          <w:szCs w:val="20"/>
        </w:rPr>
        <w:t xml:space="preserve">Patient Health Record Consent Management System  —  Problem Statement #13</w:t>
      </w:r>
    </w:p>
    <w:p>
      <w:pPr>
        <w:pStyle w:val="Heading2"/>
        <w:spacing w:after="120" w:before="240"/>
      </w:pPr>
      <w:r>
        <w:t xml:space="preserve">Use-Case Identification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Use Case ID:</w:t>
      </w:r>
    </w:p>
    <w:p>
      <w:pPr>
        <w:spacing w:after="80"/>
      </w:pPr>
      <w:r>
        <w:rPr>
          <w:sz w:val="20"/>
          <w:szCs w:val="20"/>
        </w:rPr>
        <w:t xml:space="preserve">UC-02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Use Case Name:</w:t>
      </w:r>
    </w:p>
    <w:p>
      <w:pPr>
        <w:spacing w:after="80"/>
      </w:pPr>
      <w:r>
        <w:rPr>
          <w:sz w:val="20"/>
          <w:szCs w:val="20"/>
        </w:rPr>
        <w:t xml:space="preserve">Grant Consent to Clinic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Actor(s):</w:t>
      </w:r>
    </w:p>
    <w:p>
      <w:pPr>
        <w:spacing w:after="80"/>
      </w:pPr>
      <w:r>
        <w:rPr>
          <w:sz w:val="20"/>
          <w:szCs w:val="20"/>
        </w:rPr>
        <w:t xml:space="preserve">Patient (Primary), Clinic Administrator (Secondary)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Related Requirements:</w:t>
      </w:r>
    </w:p>
    <w:p>
      <w:pPr>
        <w:spacing w:after="80"/>
      </w:pPr>
      <w:r>
        <w:rPr>
          <w:sz w:val="20"/>
          <w:szCs w:val="20"/>
        </w:rPr>
        <w:t xml:space="preserve">FR-001, FR-002, FR-004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Preconditions:</w:t>
      </w:r>
    </w:p>
    <w:p>
      <w:pPr>
        <w:spacing w:after="80"/>
      </w:pPr>
      <w:r>
        <w:rPr>
          <w:sz w:val="20"/>
          <w:szCs w:val="20"/>
        </w:rPr>
        <w:t xml:space="preserve">1. The Patient is authenticated and has an active session in the system.</w:t>
      </w:r>
    </w:p>
    <w:p>
      <w:pPr>
        <w:spacing w:after="80"/>
      </w:pPr>
      <w:r>
        <w:rPr>
          <w:sz w:val="20"/>
          <w:szCs w:val="20"/>
        </w:rPr>
        <w:t xml:space="preserve">2. The Clinic Administrator has submitted a consent access request for a specific diagnostic record.</w:t>
      </w:r>
    </w:p>
    <w:p>
      <w:pPr>
        <w:spacing w:after="80"/>
      </w:pPr>
      <w:r>
        <w:rPr>
          <w:sz w:val="20"/>
          <w:szCs w:val="20"/>
        </w:rPr>
        <w:t xml:space="preserve">3. The requested record exists in the patient's health data.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Postconditions:</w:t>
      </w:r>
    </w:p>
    <w:p>
      <w:pPr>
        <w:spacing w:after="80"/>
      </w:pPr>
      <w:r>
        <w:rPr>
          <w:sz w:val="20"/>
          <w:szCs w:val="20"/>
        </w:rPr>
        <w:t xml:space="preserve">1. The specified clinic doctor is granted time-bounded read access to the selected diagnostic record.</w:t>
      </w:r>
    </w:p>
    <w:p>
      <w:pPr>
        <w:spacing w:after="80"/>
      </w:pPr>
      <w:r>
        <w:rPr>
          <w:sz w:val="20"/>
          <w:szCs w:val="20"/>
        </w:rPr>
        <w:t xml:space="preserve">2. A consent grant event is appended to the immutable audit trail with actor identity, timestamp, and expiry.</w:t>
      </w:r>
    </w:p>
    <w:p>
      <w:pPr>
        <w:spacing w:after="80"/>
      </w:pPr>
      <w:r>
        <w:rPr>
          <w:sz w:val="20"/>
          <w:szCs w:val="20"/>
        </w:rPr>
        <w:t xml:space="preserve">3. The Clinic Administrator receives an access-granted notification.</w:t>
      </w:r>
    </w:p>
    <w:p>
      <w:pPr>
        <w:pStyle w:val="Heading2"/>
        <w:spacing w:after="120" w:before="240"/>
      </w:pPr>
      <w:r>
        <w:t xml:space="preserve">Main Success Scenario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The Clinic Administrator submits an access request specifying the patient ID, required record type (e.g., blood report), and desired access duration (e.g., 24 hours).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The system validates the request: confirms the clinic is a registered entity and the patient ID exists.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system delivers a consent request notification to the Patient via the app/email, summarising the requesting clinic, record type, and duration.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The Patient opens the notification and reviews the pending consent request in the Consent Management dashboard.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The Patient selects the specific diagnostic records to share and confirms the requested duration (or adjusts it to a shorter window).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The Patient taps "Grant Consent".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The system creates a time-bounded consent token with a precise expiry timestamp and writes a consent grant event to the append-only audit log.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The system notifies the Clinic Administrator that access has been granted, including the expiry time.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The Clinic Administrator accesses the approved diagnostic record through their portal; access is validated against the consent token on every request.</w:t>
      </w:r>
    </w:p>
    <w:p>
      <w:pPr>
        <w:spacing w:after="80"/>
        <w:ind w:left="576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At the expiry timestamp, the system automatically revokes the consent token. Any subsequent clinic access attempt returns an access-denied response. The use case ends successfully.</w:t>
      </w:r>
    </w:p>
    <w:p>
      <w:pPr>
        <w:pStyle w:val="Heading2"/>
        <w:spacing w:after="120" w:before="240"/>
      </w:pPr>
      <w:r>
        <w:t xml:space="preserve">Alternate Flows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AF-1: Patient Denies the Consent Request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4a. </w:t>
      </w:r>
      <w:r>
        <w:rPr>
          <w:sz w:val="20"/>
          <w:szCs w:val="20"/>
        </w:rPr>
        <w:t xml:space="preserve">At step 4, the Patient reviews the request and taps "Deny".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4a1. </w:t>
      </w:r>
      <w:r>
        <w:rPr>
          <w:sz w:val="20"/>
          <w:szCs w:val="20"/>
        </w:rPr>
        <w:t xml:space="preserve">The system marks the consent request as denied and appends a denial event to the audit log.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4a2. </w:t>
      </w:r>
      <w:r>
        <w:rPr>
          <w:sz w:val="20"/>
          <w:szCs w:val="20"/>
        </w:rPr>
        <w:t xml:space="preserve">The system notifies the Clinic Administrator that the request was denied.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4a3. </w:t>
      </w:r>
      <w:r>
        <w:rPr>
          <w:sz w:val="20"/>
          <w:szCs w:val="20"/>
        </w:rPr>
        <w:t xml:space="preserve">The Clinic Administrator cannot access the record. Use case ends.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AF-2: Clinic Attempts Access After Expiry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10a. </w:t>
      </w:r>
      <w:r>
        <w:rPr>
          <w:sz w:val="20"/>
          <w:szCs w:val="20"/>
        </w:rPr>
        <w:t xml:space="preserve">After expiry, the Clinic Administrator attempts to access the record.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10a1. </w:t>
      </w:r>
      <w:r>
        <w:rPr>
          <w:sz w:val="20"/>
          <w:szCs w:val="20"/>
        </w:rPr>
        <w:t xml:space="preserve">The system detects that the consent token has expired.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10a2. </w:t>
      </w:r>
      <w:r>
        <w:rPr>
          <w:sz w:val="20"/>
          <w:szCs w:val="20"/>
        </w:rPr>
        <w:t xml:space="preserve">The system returns an access-denied error to the clinic portal and logs an unauthorised access attempt in the audit trail.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10a3. </w:t>
      </w:r>
      <w:r>
        <w:rPr>
          <w:sz w:val="20"/>
          <w:szCs w:val="20"/>
        </w:rPr>
        <w:t xml:space="preserve">The Clinic Administrator is presented with a message indicating the consent has expired and prompts them to submit a new access request if needed. Use case ends.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AF-3: Consent Request Expires Before Patient Acts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3a. </w:t>
      </w:r>
      <w:r>
        <w:rPr>
          <w:sz w:val="20"/>
          <w:szCs w:val="20"/>
        </w:rPr>
        <w:t xml:space="preserve">At step 3, if the Patient does not respond within 48 hours: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3a1. </w:t>
      </w:r>
      <w:r>
        <w:rPr>
          <w:sz w:val="20"/>
          <w:szCs w:val="20"/>
        </w:rPr>
        <w:t xml:space="preserve">The system automatically marks the consent request as expired.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3a2. </w:t>
      </w:r>
      <w:r>
        <w:rPr>
          <w:sz w:val="20"/>
          <w:szCs w:val="20"/>
        </w:rPr>
        <w:t xml:space="preserve">The Clinic Administrator is notified that the request expired without a response.</w:t>
      </w:r>
    </w:p>
    <w:p>
      <w:pPr>
        <w:spacing w:after="80"/>
        <w:ind w:left="1152"/>
      </w:pPr>
      <w:r>
        <w:rPr>
          <w:b/>
          <w:bCs/>
          <w:sz w:val="20"/>
          <w:szCs w:val="20"/>
        </w:rPr>
        <w:t xml:space="preserve">3a3. </w:t>
      </w:r>
      <w:r>
        <w:rPr>
          <w:sz w:val="20"/>
          <w:szCs w:val="20"/>
        </w:rPr>
        <w:t xml:space="preserve">No access is granted. Use case ends.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2026-08-25T08:18:21.675Z</dcterms:created>
  <dcterms:modified xsi:type="dcterms:W3CDTF">2026-08-25T08:18:21.675Z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