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Requirements Traceability Matrix (RTM)</w:t>
      </w:r>
    </w:p>
    <w:p>
      <w:pPr>
        <w:jc w:val="center"/>
      </w:pPr>
      <w:r>
        <w:rPr>
          <w:b/>
          <w:sz w:val="22"/>
        </w:rPr>
        <w:t>Patient Health Record Consent Management System — Problem Statement #13</w:t>
      </w:r>
    </w:p>
    <w:p>
      <w:r>
        <w:t>Traceability from the approved Functional and Non-Functional Requirements to the corresponding UML use cases and verification basis.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893"/>
            <w:vAlign w:val="center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792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6"/>
              </w:rPr>
              <w:t>Use Case / System Element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Acceptance / Verification Basis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Grant time-bounded access permissions for specific diagnostic records to verified clinic doctors.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UC-01 Grant Consent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Consent access is automatically revoked at the expiry timestamp; access after expiry fails.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Revoke a previously granted consent permission at any time before expiry.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UC-02 Revoke Consent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Revoked permission is immediately invalidated; clinic cannot access the record after explicit revocation.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View active, expired, and revoked consent records.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UC-03 View Consent Log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Dashboard displays all consent entries with Active/Expired/Revoked status labels and correct timestamps.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Allow the Clinic Administrator to request access to a specific patient's diagnostic record with record type and duration.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UC-04 Request Record Access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Pending consent request is created and the patient receives a notification within 30 seconds.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Send an automated notification to the patient before an active consent permission expires.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UC-06 Notify Patient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Notification is delivered through the registered channel 50–70 minutes before expiry.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Nonfunctional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Permanently write consent grant, revoke, and access events to an append-only audit trail.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UC-07 Log Audit Event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Audit entries are immutable/tamper-evident, complete, and logged within the stated latency criterion.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Traced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5"/>
              </w:rPr>
              <w:t>Nonfunctional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Enforce TLS 1.3 for data in transit and AES-256 for patient health records at rest.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System-wide security requirement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Security scan confirms TLS 1.3 on endpoints, AES-256 for stored records, and no plaintext data.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System-wide</w:t>
            </w:r>
          </w:p>
        </w:tc>
      </w:tr>
    </w:tbl>
    <w:p/>
    <w:p>
      <w:r>
        <w:rPr>
          <w:b/>
          <w:sz w:val="20"/>
        </w:rPr>
        <w:t>Traceability notes</w:t>
      </w:r>
    </w:p>
    <w:p>
      <w:pPr>
        <w:spacing w:after="40"/>
        <w:ind w:left="288"/>
      </w:pPr>
      <w:r>
        <w:rPr>
          <w:sz w:val="17"/>
        </w:rPr>
        <w:t>• The RTM uses the requirement IDs and acceptance criteria from the submitted Requirements Table.</w:t>
      </w:r>
    </w:p>
    <w:p>
      <w:pPr>
        <w:spacing w:after="40"/>
        <w:ind w:left="288"/>
      </w:pPr>
      <w:r>
        <w:rPr>
          <w:sz w:val="17"/>
        </w:rPr>
        <w:t>• The use-case names follow the alternate-flow UML diagram selected for the individual project.</w:t>
      </w:r>
    </w:p>
    <w:p>
      <w:pPr>
        <w:spacing w:after="40"/>
        <w:ind w:left="288"/>
      </w:pPr>
      <w:r>
        <w:rPr>
          <w:sz w:val="17"/>
        </w:rPr>
        <w:t>• NFR-002 is marked system-wide because encryption is a cross-cutting security constraint rather than a single user-facing use case.</w:t>
      </w:r>
    </w:p>
    <w:p>
      <w:pPr>
        <w:spacing w:after="40"/>
        <w:ind w:left="288"/>
      </w:pPr>
      <w:r>
        <w:rPr>
          <w:sz w:val="17"/>
        </w:rPr>
        <w:t>• This matrix is a requirements-to-design/verification traceability artifact; it does not claim implementation or test completion.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