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Software Requirements Specification (SRS)</w:t>
      </w:r>
    </w:p>
    <w:p>
      <w:pPr>
        <w:jc w:val="center"/>
      </w:pPr>
      <w:r>
        <w:rPr>
          <w:b/>
          <w:sz w:val="22"/>
        </w:rPr>
        <w:t>Patient Health Record Consent Management System — Problem Statement #13</w:t>
      </w:r>
    </w:p>
    <w:p>
      <w:r>
        <w:rPr>
          <w:b/>
        </w:rPr>
        <w:t xml:space="preserve">Document basis: </w:t>
      </w:r>
      <w:r>
        <w:t>This SRS is derived from the provided Problem Statement #13 and the submitted Requirements Table. No implementation technology or architecture framework has been assumed where the source material does not specify one.</w:t>
      </w:r>
    </w:p>
    <w:p>
      <w:r>
        <w:rPr>
          <w:b/>
          <w:sz w:val="24"/>
        </w:rPr>
        <w:t>1. Introduction</w:t>
      </w:r>
    </w:p>
    <w:p>
      <w:pPr>
        <w:spacing w:after="40"/>
      </w:pPr>
      <w:r>
        <w:rPr>
          <w:b/>
          <w:sz w:val="19"/>
        </w:rPr>
        <w:t xml:space="preserve">1.1 Purpose: </w:t>
      </w:r>
      <w:r>
        <w:rPr>
          <w:sz w:val="19"/>
        </w:rPr>
        <w:t>Specify the requirements for a patient-centric electronic health data gateway that allows patients to manage granular, time-bounded consent permissions for clinic access to diagnostic/health records.</w:t>
      </w:r>
    </w:p>
    <w:p>
      <w:pPr>
        <w:spacing w:after="40"/>
      </w:pPr>
      <w:r>
        <w:rPr>
          <w:b/>
          <w:sz w:val="19"/>
        </w:rPr>
        <w:t xml:space="preserve">1.2 Scope: </w:t>
      </w:r>
      <w:r>
        <w:rPr>
          <w:sz w:val="19"/>
        </w:rPr>
        <w:t>The system covers consent requests, time-bounded consent grants, consent revocation, consent-history viewing, record-access requests, expiry-related notifications, access validation, and append-only auditing of consent/access events.</w:t>
      </w:r>
    </w:p>
    <w:p>
      <w:pPr>
        <w:spacing w:after="40"/>
      </w:pPr>
      <w:r>
        <w:rPr>
          <w:b/>
          <w:sz w:val="19"/>
        </w:rPr>
        <w:t xml:space="preserve">1.3 Actors: </w:t>
      </w:r>
      <w:r>
        <w:rPr>
          <w:sz w:val="19"/>
        </w:rPr>
        <w:t>Patient; Clinic Administrator; Verified Clinic Doctor. The original problem statement explicitly identifies Patient and Clinic Administrator as target actors; the requirements/use-case material also refers to verified clinic doctors.</w:t>
      </w:r>
    </w:p>
    <w:p>
      <w:r>
        <w:rPr>
          <w:b/>
          <w:sz w:val="24"/>
        </w:rPr>
        <w:t>2. System Overview</w:t>
      </w:r>
    </w:p>
    <w:p>
      <w:pPr>
        <w:spacing w:after="40"/>
      </w:pPr>
      <w:r>
        <w:rPr>
          <w:b/>
          <w:sz w:val="19"/>
        </w:rPr>
        <w:t xml:space="preserve">2.1 Core Workflow: </w:t>
      </w:r>
      <w:r>
        <w:rPr>
          <w:sz w:val="19"/>
        </w:rPr>
        <w:t>A Clinic Administrator requests access to a specified diagnostic record and duration. The patient reviews the request and may grant or deny consent. When granted, access is time-bounded and validated against the consent. Consent can be revoked before expiry, and relevant events are recorded in an append-only audit trail.</w:t>
      </w:r>
    </w:p>
    <w:p>
      <w:pPr>
        <w:spacing w:after="40"/>
      </w:pPr>
      <w:r>
        <w:rPr>
          <w:b/>
          <w:sz w:val="19"/>
        </w:rPr>
        <w:t xml:space="preserve">2.2 Security Context: </w:t>
      </w:r>
      <w:r>
        <w:rPr>
          <w:sz w:val="19"/>
        </w:rPr>
        <w:t>Patient health records are sensitive data. The requirements specify TLS 1.3 for data in transit and AES-256 encryption for records at rest.</w:t>
      </w:r>
    </w:p>
    <w:p>
      <w:r>
        <w:rPr>
          <w:b/>
          <w:sz w:val="24"/>
        </w:rPr>
        <w:t>3. Functional Requirements</w:t>
      </w:r>
    </w:p>
    <w:p>
      <w:pPr>
        <w:spacing w:after="40"/>
      </w:pPr>
      <w:r>
        <w:rPr>
          <w:b/>
          <w:sz w:val="19"/>
        </w:rPr>
        <w:t xml:space="preserve">FR-001 — Grant Time-Bounded Consent: </w:t>
      </w:r>
      <w:r>
        <w:rPr>
          <w:sz w:val="19"/>
        </w:rPr>
        <w:t>The system shall allow patients to grant time-bounded access permissions for specific diagnostic records to verified clinic doctors.</w:t>
      </w:r>
    </w:p>
    <w:p>
      <w:pPr>
        <w:spacing w:after="40"/>
      </w:pPr>
      <w:r>
        <w:rPr>
          <w:b/>
          <w:sz w:val="19"/>
        </w:rPr>
        <w:t xml:space="preserve">FR-002 — Revoke Consent: </w:t>
      </w:r>
      <w:r>
        <w:rPr>
          <w:sz w:val="19"/>
        </w:rPr>
        <w:t>The system shall allow patients to revoke any previously granted consent permission at any time before its expiry.</w:t>
      </w:r>
    </w:p>
    <w:p>
      <w:pPr>
        <w:spacing w:after="40"/>
      </w:pPr>
      <w:r>
        <w:rPr>
          <w:b/>
          <w:sz w:val="19"/>
        </w:rPr>
        <w:t xml:space="preserve">FR-003 — View Consent History: </w:t>
      </w:r>
      <w:r>
        <w:rPr>
          <w:sz w:val="19"/>
        </w:rPr>
        <w:t>The system shall allow patients to view a complete list of active, expired, and revoked consent records associated with their health data.</w:t>
      </w:r>
    </w:p>
    <w:p>
      <w:pPr>
        <w:spacing w:after="40"/>
      </w:pPr>
      <w:r>
        <w:rPr>
          <w:b/>
          <w:sz w:val="19"/>
        </w:rPr>
        <w:t xml:space="preserve">FR-004 — Request Record Access: </w:t>
      </w:r>
      <w:r>
        <w:rPr>
          <w:sz w:val="19"/>
        </w:rPr>
        <w:t>The system shall allow the Clinic Administrator to request access to a specific patient's diagnostic record by specifying the required record type and access duration.</w:t>
      </w:r>
    </w:p>
    <w:p>
      <w:pPr>
        <w:spacing w:after="40"/>
      </w:pPr>
      <w:r>
        <w:rPr>
          <w:b/>
          <w:sz w:val="19"/>
        </w:rPr>
        <w:t xml:space="preserve">FR-005 — Expiry Notification: </w:t>
      </w:r>
      <w:r>
        <w:rPr>
          <w:sz w:val="19"/>
        </w:rPr>
        <w:t>The system shall send an automated notification to the patient at least one hour before any active consent permission is about to expire.</w:t>
      </w:r>
    </w:p>
    <w:p>
      <w:r>
        <w:rPr>
          <w:b/>
          <w:sz w:val="24"/>
        </w:rPr>
        <w:t>4. Non-Functional Requirements</w:t>
      </w:r>
    </w:p>
    <w:p>
      <w:pPr>
        <w:spacing w:after="40"/>
      </w:pPr>
      <w:r>
        <w:rPr>
          <w:b/>
          <w:sz w:val="19"/>
        </w:rPr>
        <w:t xml:space="preserve">NFR-001 — Append-Only Audit Trail: </w:t>
      </w:r>
      <w:r>
        <w:rPr>
          <w:sz w:val="19"/>
        </w:rPr>
        <w:t>All consent grant, revoke, and access events shall be permanently written to an append-only audit trail.</w:t>
      </w:r>
    </w:p>
    <w:p>
      <w:pPr>
        <w:spacing w:after="40"/>
      </w:pPr>
      <w:r>
        <w:rPr>
          <w:b/>
          <w:sz w:val="19"/>
        </w:rPr>
        <w:t xml:space="preserve">NFR-002 — Encryption: </w:t>
      </w:r>
      <w:r>
        <w:rPr>
          <w:sz w:val="19"/>
        </w:rPr>
        <w:t>The system shall enforce end-to-end TLS 1.3 encryption for all data in transit and AES-256 encryption for all patient health records stored at rest.</w:t>
      </w:r>
    </w:p>
    <w:p>
      <w:r>
        <w:rPr>
          <w:b/>
          <w:sz w:val="24"/>
        </w:rPr>
        <w:t>5. Use-Case Summary</w:t>
      </w:r>
    </w:p>
    <w:p>
      <w:pPr>
        <w:spacing w:after="40"/>
      </w:pPr>
      <w:r>
        <w:rPr>
          <w:b/>
          <w:sz w:val="19"/>
        </w:rPr>
        <w:t xml:space="preserve">UC-01 — Grant Consent: </w:t>
      </w:r>
      <w:r>
        <w:rPr>
          <w:sz w:val="19"/>
        </w:rPr>
        <w:t>Patient grants time-bounded consent for specified diagnostic records.</w:t>
      </w:r>
    </w:p>
    <w:p>
      <w:pPr>
        <w:spacing w:after="40"/>
      </w:pPr>
      <w:r>
        <w:rPr>
          <w:b/>
          <w:sz w:val="19"/>
        </w:rPr>
        <w:t xml:space="preserve">UC-02 — Revoke Consent: </w:t>
      </w:r>
      <w:r>
        <w:rPr>
          <w:sz w:val="19"/>
        </w:rPr>
        <w:t>Patient revokes a previously granted consent before expiry.</w:t>
      </w:r>
    </w:p>
    <w:p>
      <w:pPr>
        <w:spacing w:after="40"/>
      </w:pPr>
      <w:r>
        <w:rPr>
          <w:b/>
          <w:sz w:val="19"/>
        </w:rPr>
        <w:t xml:space="preserve">UC-03 — View Consent Log: </w:t>
      </w:r>
      <w:r>
        <w:rPr>
          <w:sz w:val="19"/>
        </w:rPr>
        <w:t>Patient views active, expired, and revoked consent records.</w:t>
      </w:r>
    </w:p>
    <w:p>
      <w:pPr>
        <w:spacing w:after="40"/>
      </w:pPr>
      <w:r>
        <w:rPr>
          <w:b/>
          <w:sz w:val="19"/>
        </w:rPr>
        <w:t xml:space="preserve">UC-04 — Request Record Access: </w:t>
      </w:r>
      <w:r>
        <w:rPr>
          <w:sz w:val="19"/>
        </w:rPr>
        <w:t>Clinic Administrator requests access to a patient's diagnostic record.</w:t>
      </w:r>
    </w:p>
    <w:p>
      <w:pPr>
        <w:spacing w:after="40"/>
      </w:pPr>
      <w:r>
        <w:rPr>
          <w:b/>
          <w:sz w:val="19"/>
        </w:rPr>
        <w:t xml:space="preserve">UC-05 — View Patient Record: </w:t>
      </w:r>
      <w:r>
        <w:rPr>
          <w:sz w:val="19"/>
        </w:rPr>
        <w:t>Authorized clinic-side user accesses a record subject to valid consent.</w:t>
      </w:r>
    </w:p>
    <w:p>
      <w:pPr>
        <w:spacing w:after="40"/>
      </w:pPr>
      <w:r>
        <w:rPr>
          <w:b/>
          <w:sz w:val="19"/>
        </w:rPr>
        <w:t xml:space="preserve">UC-06 — Notify Patient: </w:t>
      </w:r>
      <w:r>
        <w:rPr>
          <w:sz w:val="19"/>
        </w:rPr>
        <w:t>System sends consent-related and expiry-related notifications.</w:t>
      </w:r>
    </w:p>
    <w:p>
      <w:pPr>
        <w:spacing w:after="40"/>
      </w:pPr>
      <w:r>
        <w:rPr>
          <w:b/>
          <w:sz w:val="19"/>
        </w:rPr>
        <w:t xml:space="preserve">UC-07 — Log Audit Event: </w:t>
      </w:r>
      <w:r>
        <w:rPr>
          <w:sz w:val="19"/>
        </w:rPr>
        <w:t>System records relevant grant, revoke, and access events in the append-only audit trail.</w:t>
      </w:r>
    </w:p>
    <w:p>
      <w:r>
        <w:rPr>
          <w:b/>
          <w:sz w:val="24"/>
        </w:rPr>
        <w:t>6. External / Interface Requirements</w:t>
      </w:r>
    </w:p>
    <w:p>
      <w:pPr>
        <w:spacing w:after="40"/>
      </w:pPr>
      <w:r>
        <w:rPr>
          <w:b/>
          <w:sz w:val="19"/>
        </w:rPr>
        <w:t xml:space="preserve">6.1 User Interaction: </w:t>
      </w:r>
      <w:r>
        <w:rPr>
          <w:sz w:val="19"/>
        </w:rPr>
        <w:t>The system shall provide interfaces through which the Patient and Clinic Administrator can perform their specified consent/request activities. The exact UI technology is not specified in the supplied materials.</w:t>
      </w:r>
    </w:p>
    <w:p>
      <w:pPr>
        <w:spacing w:after="40"/>
      </w:pPr>
      <w:r>
        <w:rPr>
          <w:b/>
          <w:sz w:val="19"/>
        </w:rPr>
        <w:t xml:space="preserve">6.2 Notifications: </w:t>
      </w:r>
      <w:r>
        <w:rPr>
          <w:sz w:val="19"/>
        </w:rPr>
        <w:t>The system shall deliver patient notifications through a registered channel; the requirements table gives app/email as examples.</w:t>
      </w:r>
    </w:p>
    <w:p>
      <w:pPr>
        <w:spacing w:after="40"/>
      </w:pPr>
      <w:r>
        <w:rPr>
          <w:b/>
          <w:sz w:val="19"/>
        </w:rPr>
        <w:t xml:space="preserve">6.3 Security: </w:t>
      </w:r>
      <w:r>
        <w:rPr>
          <w:sz w:val="19"/>
        </w:rPr>
        <w:t>All data in transit shall use TLS 1.3, and stored patient health records shall use AES-256.</w:t>
      </w:r>
    </w:p>
    <w:p>
      <w:r>
        <w:rPr>
          <w:b/>
          <w:sz w:val="24"/>
        </w:rPr>
        <w:t>7. Data Requirements</w:t>
      </w:r>
    </w:p>
    <w:p>
      <w:pPr>
        <w:spacing w:after="40"/>
      </w:pPr>
      <w:r>
        <w:rPr>
          <w:b/>
          <w:sz w:val="19"/>
        </w:rPr>
        <w:t xml:space="preserve">7.1 Consent Data: </w:t>
      </w:r>
      <w:r>
        <w:rPr>
          <w:sz w:val="19"/>
        </w:rPr>
        <w:t>The system needs to retain consent details sufficient to identify the relevant record, scope, status, grant/revocation state, and expiry timestamp.</w:t>
      </w:r>
    </w:p>
    <w:p>
      <w:pPr>
        <w:spacing w:after="40"/>
      </w:pPr>
      <w:r>
        <w:rPr>
          <w:b/>
          <w:sz w:val="19"/>
        </w:rPr>
        <w:t xml:space="preserve">7.2 Audit Data: </w:t>
      </w:r>
      <w:r>
        <w:rPr>
          <w:sz w:val="19"/>
        </w:rPr>
        <w:t>Audit entries shall capture the event information required for accountability; the use-case flow explicitly identifies actor identity, timestamp, and expiry for a consent grant event.</w:t>
      </w:r>
    </w:p>
    <w:p>
      <w:pPr>
        <w:spacing w:after="40"/>
      </w:pPr>
      <w:r>
        <w:rPr>
          <w:b/>
          <w:sz w:val="19"/>
        </w:rPr>
        <w:t xml:space="preserve">7.3 Health Records: </w:t>
      </w:r>
      <w:r>
        <w:rPr>
          <w:sz w:val="19"/>
        </w:rPr>
        <w:t>Diagnostic/health records are protected information and must be encrypted at rest.</w:t>
      </w:r>
    </w:p>
    <w:p>
      <w:r>
        <w:rPr>
          <w:b/>
          <w:sz w:val="24"/>
        </w:rPr>
        <w:t>8. Constraints and Verification Criteria</w:t>
      </w:r>
    </w:p>
    <w:p>
      <w:pPr>
        <w:spacing w:after="40"/>
      </w:pPr>
      <w:r>
        <w:rPr>
          <w:b/>
          <w:sz w:val="19"/>
        </w:rPr>
        <w:t xml:space="preserve">8.1 Requirements Constraints: </w:t>
      </w:r>
      <w:r>
        <w:rPr>
          <w:sz w:val="19"/>
        </w:rPr>
        <w:t>FR-001 through FR-005 and NFR-001 through NFR-002 are the seven requirements in the submitted Requirements Table.</w:t>
      </w:r>
    </w:p>
    <w:p>
      <w:pPr>
        <w:spacing w:after="40"/>
      </w:pPr>
      <w:r>
        <w:rPr>
          <w:b/>
          <w:sz w:val="19"/>
        </w:rPr>
        <w:t xml:space="preserve">8.2 Verification: </w:t>
      </w:r>
      <w:r>
        <w:rPr>
          <w:sz w:val="19"/>
        </w:rPr>
        <w:t>Verification shall use the acceptance criteria in the Requirements Table. These include expiry enforcement, immediate revocation, complete consent-history status display, request notification timing, expiry-notification timing, audit immutability/tamper evidence, and TLS 1.3/AES-256 security checks.</w:t>
      </w:r>
    </w:p>
    <w:p>
      <w:r>
        <w:rPr>
          <w:b/>
          <w:sz w:val="24"/>
        </w:rPr>
        <w:t>9. Items Not Specified in the Source Material</w:t>
      </w:r>
    </w:p>
    <w:p>
      <w:pPr>
        <w:spacing w:after="40"/>
      </w:pPr>
      <w:r>
        <w:rPr>
          <w:b/>
          <w:sz w:val="19"/>
        </w:rPr>
        <w:t xml:space="preserve">9.1 Implementation Technology: </w:t>
      </w:r>
      <w:r>
        <w:rPr>
          <w:sz w:val="19"/>
        </w:rPr>
        <w:t>No programming language, framework, database, cloud provider, authentication product, or deployment platform is specified in the supplied requirements. These should not be treated as finalized project decisions.</w:t>
      </w:r>
    </w:p>
    <w:p>
      <w:pPr>
        <w:spacing w:after="40"/>
      </w:pPr>
      <w:r>
        <w:rPr>
          <w:b/>
          <w:sz w:val="19"/>
        </w:rPr>
        <w:t xml:space="preserve">9.2 Detailed API Specification: </w:t>
      </w:r>
      <w:r>
        <w:rPr>
          <w:sz w:val="19"/>
        </w:rPr>
        <w:t>No API endpoints, message schemas, or protocol beyond the stated TLS 1.3 requirement are specified.</w:t>
      </w:r>
    </w:p>
    <w:p>
      <w:pPr>
        <w:spacing w:after="40"/>
      </w:pPr>
      <w:r>
        <w:rPr>
          <w:b/>
          <w:sz w:val="19"/>
        </w:rPr>
        <w:t xml:space="preserve">9.3 Detailed Database Schema: </w:t>
      </w:r>
      <w:r>
        <w:rPr>
          <w:sz w:val="19"/>
        </w:rPr>
        <w:t>No relational/document database schema is specified.</w:t>
      </w:r>
    </w:p>
    <w:p/>
    <w:p>
      <w:r>
        <w:rPr>
          <w:b/>
          <w:sz w:val="24"/>
        </w:rPr>
        <w:t>Requirements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2592"/>
            <w:vAlign w:val="top"/>
          </w:tcPr>
          <w:p>
            <w:r>
              <w:rPr>
                <w:b/>
                <w:sz w:val="17"/>
              </w:rPr>
              <w:t>Type</w:t>
            </w:r>
          </w:p>
        </w:tc>
        <w:tc>
          <w:tcPr>
            <w:tcW w:type="dxa" w:w="2592"/>
            <w:vAlign w:val="top"/>
          </w:tcPr>
          <w:p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2592"/>
            <w:vAlign w:val="top"/>
          </w:tcPr>
          <w:p>
            <w:r>
              <w:rPr>
                <w:b/>
                <w:sz w:val="17"/>
              </w:rPr>
              <w:t>Summary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b w:val="0"/>
                <w:sz w:val="16"/>
              </w:rPr>
              <w:t>FR-001</w:t>
            </w:r>
          </w:p>
        </w:tc>
        <w:tc>
          <w:tcPr>
            <w:tcW w:type="dxa" w:w="2592"/>
            <w:vAlign w:val="top"/>
          </w:tcPr>
          <w:p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2592"/>
            <w:vAlign w:val="top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592"/>
            <w:vAlign w:val="top"/>
          </w:tcPr>
          <w:p>
            <w:r>
              <w:rPr>
                <w:b w:val="0"/>
                <w:sz w:val="16"/>
              </w:rPr>
              <w:t>Grant time-bounded consent to verified clinic doctors for specific diagnostic records.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b w:val="0"/>
                <w:sz w:val="16"/>
              </w:rPr>
              <w:t>FR-002</w:t>
            </w:r>
          </w:p>
        </w:tc>
        <w:tc>
          <w:tcPr>
            <w:tcW w:type="dxa" w:w="2592"/>
            <w:vAlign w:val="top"/>
          </w:tcPr>
          <w:p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2592"/>
            <w:vAlign w:val="top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592"/>
            <w:vAlign w:val="top"/>
          </w:tcPr>
          <w:p>
            <w:r>
              <w:rPr>
                <w:b w:val="0"/>
                <w:sz w:val="16"/>
              </w:rPr>
              <w:t>Revoke previously granted consent before expiry.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b w:val="0"/>
                <w:sz w:val="16"/>
              </w:rPr>
              <w:t>FR-003</w:t>
            </w:r>
          </w:p>
        </w:tc>
        <w:tc>
          <w:tcPr>
            <w:tcW w:type="dxa" w:w="2592"/>
            <w:vAlign w:val="top"/>
          </w:tcPr>
          <w:p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2592"/>
            <w:vAlign w:val="top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2592"/>
            <w:vAlign w:val="top"/>
          </w:tcPr>
          <w:p>
            <w:r>
              <w:rPr>
                <w:b w:val="0"/>
                <w:sz w:val="16"/>
              </w:rPr>
              <w:t>View active, expired, and revoked consent records.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b w:val="0"/>
                <w:sz w:val="16"/>
              </w:rPr>
              <w:t>FR-004</w:t>
            </w:r>
          </w:p>
        </w:tc>
        <w:tc>
          <w:tcPr>
            <w:tcW w:type="dxa" w:w="2592"/>
            <w:vAlign w:val="top"/>
          </w:tcPr>
          <w:p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2592"/>
            <w:vAlign w:val="top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592"/>
            <w:vAlign w:val="top"/>
          </w:tcPr>
          <w:p>
            <w:r>
              <w:rPr>
                <w:b w:val="0"/>
                <w:sz w:val="16"/>
              </w:rPr>
              <w:t>Clinic Administrator requests access by record type and duration.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b w:val="0"/>
                <w:sz w:val="16"/>
              </w:rPr>
              <w:t>FR-005</w:t>
            </w:r>
          </w:p>
        </w:tc>
        <w:tc>
          <w:tcPr>
            <w:tcW w:type="dxa" w:w="2592"/>
            <w:vAlign w:val="top"/>
          </w:tcPr>
          <w:p>
            <w:r>
              <w:rPr>
                <w:b w:val="0"/>
                <w:sz w:val="16"/>
              </w:rPr>
              <w:t>Functional</w:t>
            </w:r>
          </w:p>
        </w:tc>
        <w:tc>
          <w:tcPr>
            <w:tcW w:type="dxa" w:w="2592"/>
            <w:vAlign w:val="top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2592"/>
            <w:vAlign w:val="top"/>
          </w:tcPr>
          <w:p>
            <w:r>
              <w:rPr>
                <w:b w:val="0"/>
                <w:sz w:val="16"/>
              </w:rPr>
              <w:t>Notify patient before active consent expires.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b w:val="0"/>
                <w:sz w:val="16"/>
              </w:rPr>
              <w:t>NFR-001</w:t>
            </w:r>
          </w:p>
        </w:tc>
        <w:tc>
          <w:tcPr>
            <w:tcW w:type="dxa" w:w="2592"/>
            <w:vAlign w:val="top"/>
          </w:tcPr>
          <w:p>
            <w:r>
              <w:rPr>
                <w:b w:val="0"/>
                <w:sz w:val="16"/>
              </w:rPr>
              <w:t>Nonfunctional</w:t>
            </w:r>
          </w:p>
        </w:tc>
        <w:tc>
          <w:tcPr>
            <w:tcW w:type="dxa" w:w="2592"/>
            <w:vAlign w:val="top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592"/>
            <w:vAlign w:val="top"/>
          </w:tcPr>
          <w:p>
            <w:r>
              <w:rPr>
                <w:b w:val="0"/>
                <w:sz w:val="16"/>
              </w:rPr>
              <w:t>Append-only audit trail for grant, revoke, and access events.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b w:val="0"/>
                <w:sz w:val="16"/>
              </w:rPr>
              <w:t>NFR-002</w:t>
            </w:r>
          </w:p>
        </w:tc>
        <w:tc>
          <w:tcPr>
            <w:tcW w:type="dxa" w:w="2592"/>
            <w:vAlign w:val="top"/>
          </w:tcPr>
          <w:p>
            <w:r>
              <w:rPr>
                <w:b w:val="0"/>
                <w:sz w:val="16"/>
              </w:rPr>
              <w:t>Nonfunctional</w:t>
            </w:r>
          </w:p>
        </w:tc>
        <w:tc>
          <w:tcPr>
            <w:tcW w:type="dxa" w:w="2592"/>
            <w:vAlign w:val="top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592"/>
            <w:vAlign w:val="top"/>
          </w:tcPr>
          <w:p>
            <w:r>
              <w:rPr>
                <w:b w:val="0"/>
                <w:sz w:val="16"/>
              </w:rPr>
              <w:t>TLS 1.3 in transit and AES-256 at rest.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