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B3AF1">
      <w:pPr>
        <w:spacing w:after="240" w:line="560" w:lineRule="exact"/>
        <w:jc w:val="center"/>
        <w:rPr>
          <w:rFonts w:ascii="黑体" w:hAnsi="黑体" w:eastAsia="黑体"/>
          <w:b/>
          <w:sz w:val="44"/>
        </w:rPr>
      </w:pPr>
    </w:p>
    <w:p w14:paraId="18AA1850">
      <w:pPr>
        <w:spacing w:after="240" w:line="560" w:lineRule="exact"/>
        <w:jc w:val="center"/>
        <w:rPr>
          <w:rFonts w:ascii="黑体" w:hAnsi="黑体" w:eastAsia="黑体"/>
          <w:b/>
          <w:sz w:val="44"/>
        </w:rPr>
      </w:pPr>
    </w:p>
    <w:p w14:paraId="2D258DC8">
      <w:pPr>
        <w:spacing w:after="240" w:line="560" w:lineRule="exact"/>
        <w:jc w:val="center"/>
        <w:rPr>
          <w:rFonts w:ascii="黑体" w:hAnsi="黑体" w:eastAsia="黑体"/>
          <w:b/>
          <w:sz w:val="44"/>
        </w:rPr>
      </w:pPr>
    </w:p>
    <w:p w14:paraId="170E83E1">
      <w:pPr>
        <w:spacing w:after="240" w:line="560" w:lineRule="exact"/>
        <w:jc w:val="center"/>
        <w:rPr>
          <w:rFonts w:ascii="黑体" w:hAnsi="黑体" w:eastAsia="黑体"/>
          <w:b/>
          <w:sz w:val="44"/>
        </w:rPr>
      </w:pPr>
    </w:p>
    <w:p w14:paraId="4239CB65">
      <w:pPr>
        <w:spacing w:after="240" w:line="560" w:lineRule="exact"/>
        <w:jc w:val="center"/>
        <w:rPr>
          <w:rFonts w:ascii="黑体" w:hAnsi="黑体" w:eastAsia="黑体"/>
          <w:b/>
          <w:sz w:val="44"/>
        </w:rPr>
      </w:pPr>
    </w:p>
    <w:p w14:paraId="5C7F55A0">
      <w:pPr>
        <w:spacing w:after="240" w:line="560" w:lineRule="exact"/>
        <w:jc w:val="center"/>
        <w:rPr>
          <w:rFonts w:ascii="黑体" w:hAnsi="黑体" w:eastAsia="黑体"/>
          <w:b/>
          <w:sz w:val="44"/>
        </w:rPr>
      </w:pPr>
    </w:p>
    <w:p w14:paraId="0B70CE81">
      <w:pPr>
        <w:spacing w:after="240" w:line="560" w:lineRule="exact"/>
        <w:jc w:val="center"/>
      </w:pPr>
      <w:r>
        <w:rPr>
          <w:rFonts w:ascii="黑体" w:hAnsi="黑体" w:eastAsia="黑体"/>
          <w:b/>
          <w:sz w:val="44"/>
        </w:rPr>
        <w:t>SE03组对SE02组软件计划评审表</w:t>
      </w:r>
    </w:p>
    <w:p w14:paraId="3A054D46">
      <w:pPr>
        <w:spacing w:after="0" w:line="460" w:lineRule="exact"/>
        <w:jc w:val="center"/>
      </w:pPr>
      <w:r>
        <w:rPr>
          <w:rFonts w:ascii="宋体" w:hAnsi="宋体" w:eastAsia="宋体"/>
          <w:b w:val="0"/>
          <w:sz w:val="24"/>
        </w:rPr>
        <w:t>被评审项目：数绘万象——景区实景三维展示与测量系统</w:t>
      </w:r>
    </w:p>
    <w:p w14:paraId="3B5A84A2">
      <w:pPr>
        <w:spacing w:after="0" w:line="460" w:lineRule="exact"/>
        <w:jc w:val="center"/>
      </w:pPr>
      <w:r>
        <w:rPr>
          <w:rFonts w:ascii="宋体" w:hAnsi="宋体" w:eastAsia="宋体"/>
          <w:b w:val="0"/>
          <w:sz w:val="24"/>
        </w:rPr>
        <w:t>被评审小组：SE02组（2024LJSE02）</w:t>
      </w:r>
    </w:p>
    <w:p w14:paraId="08A67A7C">
      <w:pPr>
        <w:spacing w:after="0" w:line="460" w:lineRule="exact"/>
        <w:jc w:val="center"/>
      </w:pPr>
      <w:r>
        <w:rPr>
          <w:rFonts w:ascii="宋体" w:hAnsi="宋体" w:eastAsia="宋体"/>
          <w:b w:val="0"/>
          <w:sz w:val="24"/>
        </w:rPr>
        <w:t>评审小组：SE03组（QA小组）</w:t>
      </w:r>
    </w:p>
    <w:p w14:paraId="2777405E">
      <w:pPr>
        <w:spacing w:after="0" w:line="460" w:lineRule="exact"/>
        <w:jc w:val="center"/>
      </w:pPr>
      <w:r>
        <w:rPr>
          <w:rFonts w:ascii="宋体" w:hAnsi="宋体" w:eastAsia="宋体"/>
          <w:b w:val="0"/>
          <w:sz w:val="24"/>
        </w:rPr>
        <w:t>评审文档：《软件开发计划》V1.0（含验收测试计划摘要）</w:t>
      </w:r>
    </w:p>
    <w:p w14:paraId="0900AE76">
      <w:pPr>
        <w:spacing w:after="0" w:line="460" w:lineRule="exact"/>
        <w:jc w:val="center"/>
      </w:pPr>
      <w:r>
        <w:rPr>
          <w:rFonts w:ascii="宋体" w:hAnsi="宋体" w:eastAsia="宋体"/>
          <w:b w:val="0"/>
          <w:sz w:val="24"/>
        </w:rPr>
        <w:t>评审结论：修改后通过</w:t>
      </w:r>
    </w:p>
    <w:p w14:paraId="088D0FF7">
      <w:r>
        <w:br w:type="page"/>
      </w:r>
    </w:p>
    <w:p w14:paraId="6909CFB7">
      <w:pPr>
        <w:spacing w:after="0" w:line="460" w:lineRule="exact"/>
        <w:jc w:val="center"/>
      </w:pPr>
      <w:r>
        <w:rPr>
          <w:rFonts w:ascii="黑体" w:hAnsi="黑体" w:eastAsia="黑体"/>
          <w:b/>
          <w:sz w:val="36"/>
        </w:rPr>
        <w:t>第1章 基本信息</w:t>
      </w:r>
    </w:p>
    <w:p w14:paraId="0AFC034D">
      <w:pPr>
        <w:spacing w:after="0" w:line="460" w:lineRule="exact"/>
        <w:jc w:val="center"/>
      </w:pPr>
      <w:r>
        <w:rPr>
          <w:rFonts w:ascii="宋体" w:hAnsi="宋体" w:eastAsia="宋体"/>
          <w:b w:val="0"/>
          <w:sz w:val="21"/>
        </w:rPr>
        <w:t>表1-1 评审基本信息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 w14:paraId="10F8F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19" w:type="dxa"/>
            <w:shd w:val="clear" w:color="auto" w:fill="FFFFFF"/>
            <w:vAlign w:val="center"/>
          </w:tcPr>
          <w:p w14:paraId="6B2D1BB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w="4419" w:type="dxa"/>
            <w:shd w:val="clear" w:color="auto" w:fill="FFFFFF"/>
            <w:vAlign w:val="center"/>
          </w:tcPr>
          <w:p w14:paraId="2967572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 w14:paraId="72CC4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FFFFFF"/>
            <w:vAlign w:val="center"/>
          </w:tcPr>
          <w:p w14:paraId="390A621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评审项目名称</w:t>
            </w:r>
          </w:p>
        </w:tc>
        <w:tc>
          <w:tcPr>
            <w:tcW w:w="4419" w:type="dxa"/>
            <w:shd w:val="clear" w:color="auto" w:fill="FFFFFF"/>
            <w:vAlign w:val="center"/>
          </w:tcPr>
          <w:p w14:paraId="0E2AE6A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数绘万象——景区实景三维展示与测量系统</w:t>
            </w:r>
          </w:p>
        </w:tc>
      </w:tr>
      <w:tr w14:paraId="5324B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FFFFFF"/>
            <w:vAlign w:val="center"/>
          </w:tcPr>
          <w:p w14:paraId="762822A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被评审小组</w:t>
            </w:r>
          </w:p>
        </w:tc>
        <w:tc>
          <w:tcPr>
            <w:tcW w:w="4419" w:type="dxa"/>
            <w:shd w:val="clear" w:color="auto" w:fill="FFFFFF"/>
            <w:vAlign w:val="center"/>
          </w:tcPr>
          <w:p w14:paraId="7D54B8F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SE02组（2024LJSE02）</w:t>
            </w:r>
          </w:p>
        </w:tc>
      </w:tr>
      <w:tr w14:paraId="3F68AE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FFFFFF"/>
            <w:vAlign w:val="center"/>
          </w:tcPr>
          <w:p w14:paraId="5A0578E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评审小组</w:t>
            </w:r>
          </w:p>
        </w:tc>
        <w:tc>
          <w:tcPr>
            <w:tcW w:w="4419" w:type="dxa"/>
            <w:shd w:val="clear" w:color="auto" w:fill="FFFFFF"/>
            <w:vAlign w:val="center"/>
          </w:tcPr>
          <w:p w14:paraId="62B1568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SE03组（QA小组）</w:t>
            </w:r>
          </w:p>
        </w:tc>
      </w:tr>
      <w:tr w14:paraId="68712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FFFFFF"/>
            <w:vAlign w:val="center"/>
          </w:tcPr>
          <w:p w14:paraId="6788456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被评审文档</w:t>
            </w:r>
          </w:p>
        </w:tc>
        <w:tc>
          <w:tcPr>
            <w:tcW w:w="4419" w:type="dxa"/>
            <w:shd w:val="clear" w:color="auto" w:fill="FFFFFF"/>
            <w:vAlign w:val="center"/>
          </w:tcPr>
          <w:p w14:paraId="0469F2F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《软件开发计划》V1.0；当前上传文件中含验收测试计划摘要</w:t>
            </w:r>
          </w:p>
        </w:tc>
      </w:tr>
      <w:tr w14:paraId="547E5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FFFFFF"/>
            <w:vAlign w:val="center"/>
          </w:tcPr>
          <w:p w14:paraId="1EC645E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文档编制日期</w:t>
            </w:r>
          </w:p>
        </w:tc>
        <w:tc>
          <w:tcPr>
            <w:tcW w:w="4419" w:type="dxa"/>
            <w:shd w:val="clear" w:color="auto" w:fill="FFFFFF"/>
            <w:vAlign w:val="center"/>
          </w:tcPr>
          <w:p w14:paraId="7ED91DC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2026-05-31</w:t>
            </w:r>
          </w:p>
        </w:tc>
      </w:tr>
      <w:tr w14:paraId="55F47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FFFFFF"/>
            <w:vAlign w:val="center"/>
          </w:tcPr>
          <w:p w14:paraId="5D9515C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评审依据</w:t>
            </w:r>
          </w:p>
        </w:tc>
        <w:tc>
          <w:tcPr>
            <w:tcW w:w="4419" w:type="dxa"/>
            <w:shd w:val="clear" w:color="auto" w:fill="FFFFFF"/>
            <w:vAlign w:val="center"/>
          </w:tcPr>
          <w:p w14:paraId="7B76412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课程作业要求、IEEE软件开发计划模板要点、武汉大学计算机学院课程设计报告规范</w:t>
            </w:r>
          </w:p>
        </w:tc>
      </w:tr>
      <w:tr w14:paraId="2AEC4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FFFFFF"/>
            <w:vAlign w:val="center"/>
          </w:tcPr>
          <w:p w14:paraId="4D35035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评审结论</w:t>
            </w:r>
          </w:p>
        </w:tc>
        <w:tc>
          <w:tcPr>
            <w:tcW w:w="4419" w:type="dxa"/>
            <w:shd w:val="clear" w:color="auto" w:fill="FFFFFF"/>
            <w:vAlign w:val="center"/>
          </w:tcPr>
          <w:p w14:paraId="663DA74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修改后通过：需补充完整验收测试计划，并修正估算表、图表清晰度和计划细节</w:t>
            </w:r>
          </w:p>
        </w:tc>
      </w:tr>
    </w:tbl>
    <w:p w14:paraId="0EBF73F3"/>
    <w:p w14:paraId="4DF2D896">
      <w:pPr>
        <w:spacing w:after="0" w:line="460" w:lineRule="exact"/>
        <w:jc w:val="center"/>
      </w:pPr>
      <w:r>
        <w:rPr>
          <w:rFonts w:ascii="黑体" w:hAnsi="黑体" w:eastAsia="黑体"/>
          <w:b/>
          <w:sz w:val="36"/>
        </w:rPr>
        <w:t>第2章 评审标准与计分规则</w:t>
      </w:r>
    </w:p>
    <w:p w14:paraId="7B3D262D">
      <w:pPr>
        <w:spacing w:after="0" w:line="460" w:lineRule="exact"/>
        <w:jc w:val="left"/>
      </w:pPr>
      <w:r>
        <w:rPr>
          <w:rFonts w:ascii="宋体" w:hAnsi="宋体" w:eastAsia="宋体"/>
          <w:b w:val="0"/>
          <w:sz w:val="24"/>
        </w:rPr>
        <w:t>本次评审采用“是、部分符合、否、不适用”四档评价。为便于形成客观结论，计分规则为：是=2分，部分符合=1分，否=0分，不适用不计入总分。</w:t>
      </w:r>
    </w:p>
    <w:p w14:paraId="0CDBD19D">
      <w:pPr>
        <w:spacing w:after="0" w:line="460" w:lineRule="exact"/>
        <w:jc w:val="center"/>
      </w:pPr>
      <w:r>
        <w:rPr>
          <w:rFonts w:ascii="宋体" w:hAnsi="宋体" w:eastAsia="宋体"/>
          <w:b w:val="0"/>
          <w:sz w:val="21"/>
        </w:rPr>
        <w:t>表2-1 评分规则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15F71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46" w:type="dxa"/>
            <w:shd w:val="clear" w:color="auto" w:fill="FFFFFF"/>
            <w:vAlign w:val="center"/>
          </w:tcPr>
          <w:p w14:paraId="0AE3C28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评价项</w:t>
            </w:r>
          </w:p>
        </w:tc>
        <w:tc>
          <w:tcPr>
            <w:tcW w:w="2946" w:type="dxa"/>
            <w:shd w:val="clear" w:color="auto" w:fill="FFFFFF"/>
            <w:vAlign w:val="center"/>
          </w:tcPr>
          <w:p w14:paraId="214E1C1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分值</w:t>
            </w:r>
          </w:p>
        </w:tc>
        <w:tc>
          <w:tcPr>
            <w:tcW w:w="2946" w:type="dxa"/>
            <w:shd w:val="clear" w:color="auto" w:fill="FFFFFF"/>
            <w:vAlign w:val="center"/>
          </w:tcPr>
          <w:p w14:paraId="250C85C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 w14:paraId="26A67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FFFFFF"/>
            <w:vAlign w:val="center"/>
          </w:tcPr>
          <w:p w14:paraId="4EF0064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946" w:type="dxa"/>
            <w:shd w:val="clear" w:color="auto" w:fill="FFFFFF"/>
            <w:vAlign w:val="center"/>
          </w:tcPr>
          <w:p w14:paraId="441DBD1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2分</w:t>
            </w:r>
          </w:p>
        </w:tc>
        <w:tc>
          <w:tcPr>
            <w:tcW w:w="2946" w:type="dxa"/>
            <w:shd w:val="clear" w:color="auto" w:fill="FFFFFF"/>
            <w:vAlign w:val="center"/>
          </w:tcPr>
          <w:p w14:paraId="186667A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文档已完整、清晰地满足该检查项要求。</w:t>
            </w:r>
          </w:p>
        </w:tc>
      </w:tr>
      <w:tr w14:paraId="1C8DA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FFFFFF"/>
            <w:vAlign w:val="center"/>
          </w:tcPr>
          <w:p w14:paraId="2AE6958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2946" w:type="dxa"/>
            <w:shd w:val="clear" w:color="auto" w:fill="FFFFFF"/>
            <w:vAlign w:val="center"/>
          </w:tcPr>
          <w:p w14:paraId="2EE1056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1分</w:t>
            </w:r>
          </w:p>
        </w:tc>
        <w:tc>
          <w:tcPr>
            <w:tcW w:w="2946" w:type="dxa"/>
            <w:shd w:val="clear" w:color="auto" w:fill="FFFFFF"/>
            <w:vAlign w:val="center"/>
          </w:tcPr>
          <w:p w14:paraId="20C0C3A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文档已有相关内容，但不够完整、清晰或可执行。</w:t>
            </w:r>
          </w:p>
        </w:tc>
      </w:tr>
      <w:tr w14:paraId="615791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FFFFFF"/>
            <w:vAlign w:val="center"/>
          </w:tcPr>
          <w:p w14:paraId="2231196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946" w:type="dxa"/>
            <w:shd w:val="clear" w:color="auto" w:fill="FFFFFF"/>
            <w:vAlign w:val="center"/>
          </w:tcPr>
          <w:p w14:paraId="6D2888C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0分</w:t>
            </w:r>
          </w:p>
        </w:tc>
        <w:tc>
          <w:tcPr>
            <w:tcW w:w="2946" w:type="dxa"/>
            <w:shd w:val="clear" w:color="auto" w:fill="FFFFFF"/>
            <w:vAlign w:val="center"/>
          </w:tcPr>
          <w:p w14:paraId="11DEBE7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文档缺少该项内容，或明显不符合要求。</w:t>
            </w:r>
          </w:p>
        </w:tc>
      </w:tr>
      <w:tr w14:paraId="26B18E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FFFFFF"/>
            <w:vAlign w:val="center"/>
          </w:tcPr>
          <w:p w14:paraId="70DD4AC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不适用</w:t>
            </w:r>
          </w:p>
        </w:tc>
        <w:tc>
          <w:tcPr>
            <w:tcW w:w="2946" w:type="dxa"/>
            <w:shd w:val="clear" w:color="auto" w:fill="FFFFFF"/>
            <w:vAlign w:val="center"/>
          </w:tcPr>
          <w:p w14:paraId="3493C5F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不计分</w:t>
            </w:r>
          </w:p>
        </w:tc>
        <w:tc>
          <w:tcPr>
            <w:tcW w:w="2946" w:type="dxa"/>
            <w:shd w:val="clear" w:color="auto" w:fill="FFFFFF"/>
            <w:vAlign w:val="center"/>
          </w:tcPr>
          <w:p w14:paraId="106E073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该检查项不适用于本项目或当前评审范围。</w:t>
            </w:r>
          </w:p>
        </w:tc>
      </w:tr>
    </w:tbl>
    <w:p w14:paraId="5F3CC435"/>
    <w:p w14:paraId="373A94B4">
      <w:pPr>
        <w:spacing w:after="0" w:line="460" w:lineRule="exact"/>
        <w:jc w:val="center"/>
      </w:pPr>
      <w:r>
        <w:rPr>
          <w:rFonts w:ascii="宋体" w:hAnsi="宋体" w:eastAsia="宋体"/>
          <w:b w:val="0"/>
          <w:sz w:val="21"/>
        </w:rPr>
        <w:t>表2-2 评审得分汇总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68"/>
        <w:gridCol w:w="1768"/>
        <w:gridCol w:w="1768"/>
      </w:tblGrid>
      <w:tr w14:paraId="3D52E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68" w:type="dxa"/>
            <w:shd w:val="clear" w:color="auto" w:fill="FFFFFF"/>
            <w:vAlign w:val="center"/>
          </w:tcPr>
          <w:p w14:paraId="4DD30DC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评审对象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1FB9333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实际得分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7A0106C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适用项满分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4633A07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得分率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21CE8CD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建议结论</w:t>
            </w:r>
          </w:p>
        </w:tc>
      </w:tr>
      <w:tr w14:paraId="3A605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  <w:shd w:val="clear" w:color="auto" w:fill="FFFFFF"/>
            <w:vAlign w:val="center"/>
          </w:tcPr>
          <w:p w14:paraId="110D27B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软件开发计划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78900AE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47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7E8D15A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66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4783A06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71.2%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3F3411B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修改后通过</w:t>
            </w:r>
          </w:p>
        </w:tc>
      </w:tr>
      <w:tr w14:paraId="3091D0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  <w:shd w:val="clear" w:color="auto" w:fill="FFFFFF"/>
            <w:vAlign w:val="center"/>
          </w:tcPr>
          <w:p w14:paraId="71A6578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验收测试计划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2EEE4B6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5488F5C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4236F4B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45.0%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69A5721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需补充后复核</w:t>
            </w:r>
          </w:p>
        </w:tc>
      </w:tr>
      <w:tr w14:paraId="5F04A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  <w:shd w:val="clear" w:color="auto" w:fill="FFFFFF"/>
            <w:vAlign w:val="center"/>
          </w:tcPr>
          <w:p w14:paraId="2C9889A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综合结果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3526FA6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65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4C06BDC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106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3468DD8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61.3%</w:t>
            </w:r>
          </w:p>
        </w:tc>
        <w:tc>
          <w:tcPr>
            <w:tcW w:w="1768" w:type="dxa"/>
            <w:shd w:val="clear" w:color="auto" w:fill="FFFFFF"/>
            <w:vAlign w:val="center"/>
          </w:tcPr>
          <w:p w14:paraId="6D30737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修改后通过</w:t>
            </w:r>
          </w:p>
        </w:tc>
      </w:tr>
    </w:tbl>
    <w:p w14:paraId="606C6458"/>
    <w:p w14:paraId="69BE2E8F">
      <w:pPr>
        <w:spacing w:after="0" w:line="460" w:lineRule="exact"/>
        <w:jc w:val="center"/>
        <w:rPr>
          <w:rFonts w:ascii="黑体" w:hAnsi="黑体" w:eastAsia="黑体"/>
          <w:b/>
          <w:sz w:val="36"/>
        </w:rPr>
      </w:pPr>
    </w:p>
    <w:p w14:paraId="73AFE66A">
      <w:pPr>
        <w:spacing w:after="0" w:line="460" w:lineRule="exact"/>
        <w:jc w:val="center"/>
        <w:rPr>
          <w:rFonts w:ascii="黑体" w:hAnsi="黑体" w:eastAsia="黑体"/>
          <w:b/>
          <w:sz w:val="36"/>
        </w:rPr>
      </w:pPr>
    </w:p>
    <w:p w14:paraId="2200705D">
      <w:pPr>
        <w:spacing w:after="0" w:line="460" w:lineRule="exact"/>
        <w:jc w:val="center"/>
        <w:rPr>
          <w:rFonts w:ascii="黑体" w:hAnsi="黑体" w:eastAsia="黑体"/>
          <w:b/>
          <w:sz w:val="36"/>
        </w:rPr>
      </w:pPr>
    </w:p>
    <w:p w14:paraId="578102C1">
      <w:pPr>
        <w:spacing w:after="0" w:line="460" w:lineRule="exact"/>
        <w:jc w:val="center"/>
      </w:pPr>
      <w:r>
        <w:rPr>
          <w:rFonts w:ascii="黑体" w:hAnsi="黑体" w:eastAsia="黑体"/>
          <w:b/>
          <w:sz w:val="36"/>
        </w:rPr>
        <w:t>第3章 软件开发计划评审结果</w:t>
      </w:r>
    </w:p>
    <w:p w14:paraId="7D56B687">
      <w:pPr>
        <w:spacing w:after="0" w:line="460" w:lineRule="exact"/>
        <w:jc w:val="left"/>
      </w:pPr>
      <w:r>
        <w:rPr>
          <w:rFonts w:ascii="宋体" w:hAnsi="宋体" w:eastAsia="宋体"/>
          <w:b w:val="0"/>
          <w:sz w:val="24"/>
        </w:rPr>
        <w:t>SE02组的软件开发计划总体框架较完整，已覆盖项目目标、WBS、进度、RACI、风险管理、配置管理和质量保证等主要内容。主要不足集中在 PERT 明细、图表清晰度、沟通跟踪机制、版本发布和培训安排。</w:t>
      </w:r>
    </w:p>
    <w:p w14:paraId="62B12BFA">
      <w:pPr>
        <w:spacing w:after="0" w:line="460" w:lineRule="exact"/>
        <w:jc w:val="center"/>
      </w:pPr>
      <w:r>
        <w:rPr>
          <w:rFonts w:ascii="宋体" w:hAnsi="宋体" w:eastAsia="宋体"/>
          <w:b w:val="0"/>
          <w:sz w:val="21"/>
        </w:rPr>
        <w:t>表3-1 软件开发计划评审检查表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011"/>
        <w:gridCol w:w="1062"/>
        <w:gridCol w:w="960"/>
        <w:gridCol w:w="960"/>
        <w:gridCol w:w="4101"/>
      </w:tblGrid>
      <w:tr w14:paraId="4472A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226310D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32658B5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评审内容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0218195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检查问题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336C8C6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3004D7B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分值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084E8A1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问题说明与修改建议</w:t>
            </w:r>
          </w:p>
        </w:tc>
      </w:tr>
      <w:tr w14:paraId="467633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591FB9B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4212782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需求对应性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1105A97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开发计划是否对应需求规格说明书中的主要功能和非功能需求？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8EB2B7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7FF5D38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709E0F4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文档说明范围覆盖 P0/P1 需求，列出 FR-Browse、FR-Asset、FR-Measure、FR-Supervise、FR-Auth 及 NFR，并注明需求依据为 SRS v1.1。</w:t>
            </w:r>
          </w:p>
        </w:tc>
      </w:tr>
      <w:tr w14:paraId="4CEB7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3A4D830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5B42CBB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项目目标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52141D2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是否明确说明项目建设目标、交付成果和最终交付时间？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1E15D50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B46147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2021367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项目目标、交付时间 2026-07-03、演示系统和文档交付物均有说明。</w:t>
            </w:r>
          </w:p>
        </w:tc>
      </w:tr>
      <w:tr w14:paraId="1B25E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6DA9A59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58984E6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开发方法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1B892B4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是否说明采用的软件过程模型或开发方法？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07C1E2E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2EEEF3A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5202273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采</w:t>
            </w:r>
            <w:bookmarkStart w:id="0" w:name="_GoBack"/>
            <w:r>
              <w:rPr>
                <w:rFonts w:ascii="宋体" w:hAnsi="宋体" w:eastAsia="宋体"/>
                <w:b w:val="0"/>
                <w:sz w:val="21"/>
              </w:rPr>
              <w:t>用“设计先行 + 三迭代 Sprint + 测试驱动验收”的混合过程，阶段划分清楚。</w:t>
            </w:r>
            <w:bookmarkEnd w:id="0"/>
          </w:p>
        </w:tc>
      </w:tr>
      <w:tr w14:paraId="62F28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6920B56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6568CC4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工作内容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2A17C45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是否使用 WBS 对项目工作任务进行分解？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368A235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3B8EC24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328876C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4 章列出了 1.0 至 13.0 的工作分解结构。</w:t>
            </w:r>
          </w:p>
        </w:tc>
      </w:tr>
      <w:tr w14:paraId="2F880A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50616BF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0A1563A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WBS 完整性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3F268D0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WBS 是否覆盖需求、设计、编码、测试、文档、部署、验收等主要活动？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D80096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31BC38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521F0F9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覆盖项目管理、设计、环境、各子系统、集成联调、系统测试、验收测试、部署交付等工作包。</w:t>
            </w:r>
          </w:p>
        </w:tc>
      </w:tr>
      <w:tr w14:paraId="184349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1FAAC14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29252FA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任务粒度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1B618EE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WBS 任务粒度是否合理，便于分配责任和跟踪？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3151398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5075849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1D8427F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主要任务粒度合理，但部分任务如“缺陷修复”“用户手册与课程报告”仍较粗，建议拆分为可验收子任务。</w:t>
            </w:r>
          </w:p>
        </w:tc>
      </w:tr>
      <w:tr w14:paraId="7F28F5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4DDF0C2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43DCCBB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规模估算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5CB8433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是否对系统规模进行估算？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CFD9D4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20E3939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2E80202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给出了功能需求数量、逻辑子系统、预估源码 LOC、REST API、验收测试用例数量等规模指标。</w:t>
            </w:r>
          </w:p>
        </w:tc>
      </w:tr>
      <w:tr w14:paraId="5B6AE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1F4F2A4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0271909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工作量估算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01AEF8C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是否对各项任务的工作量进行估算？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711194F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1334735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7ED989F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经验类比 + 专家判定给出了阶段小时数，但 PERT 表仅出现表头，缺少各 WBS 工作包的 O/M/P/TE 明细。</w:t>
            </w:r>
          </w:p>
        </w:tc>
      </w:tr>
      <w:tr w14:paraId="4B61B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5AFA2E9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047D6AC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估算方法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7FB1F89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是否至少使用两种估算方法？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1A27980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232E322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4E528B6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文档声明使用 PERT 和经验类比 + 专家判定，但 PERT 明细缺失，需补全后才能证明两种方法均有效。</w:t>
            </w:r>
          </w:p>
        </w:tc>
      </w:tr>
      <w:tr w14:paraId="591A4D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06871BE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7D7DAB2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估算依据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3B8DA01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工作量和历时估算是否说明依据？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8D17E2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271AAD3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11D6EE7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有资源校验和类比基准，但缺少每项任务估算来源、复杂度假设和人员能力假设。</w:t>
            </w:r>
          </w:p>
        </w:tc>
      </w:tr>
      <w:tr w14:paraId="62E3F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0C50770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50F1731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进度安排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5148089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是否以 7 月 3 日为系统交付时间制定整体进度？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05B8212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1ED6D2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3D77628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里程碑 M6 标明 2026-07-03 正式交付。</w:t>
            </w:r>
          </w:p>
        </w:tc>
      </w:tr>
      <w:tr w14:paraId="2F36C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00C7C45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70DE7B3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任务依赖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091374D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是否说明各任务之间的前后依赖关系？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77A9CC5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7EAD95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5F110F6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给出关键路径和任务网络图，但普通任务依赖关系说明较少，建议在表中列前置任务。</w:t>
            </w:r>
          </w:p>
        </w:tc>
      </w:tr>
      <w:tr w14:paraId="023DA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034CF94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31690D6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任务网络图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2DEFE53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是否使用任务网络图展示任务前后序关系？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2B4BB9F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3AC1FF4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0EAE888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5-1 已给出，但图中文字偏小且存在彩色填充，建议导出高清黑白图。</w:t>
            </w:r>
          </w:p>
        </w:tc>
      </w:tr>
      <w:tr w14:paraId="4FD0E6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118FE38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2533142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甘特图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0B40006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是否使用甘特图展示进度？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908C4C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FA1B65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120EB81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5-2 已给出，但清晰度较低，任务名称难以辨认，建议使用项目管理工具重新导出高清图。</w:t>
            </w:r>
          </w:p>
        </w:tc>
      </w:tr>
      <w:tr w14:paraId="759A3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07939F6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45CC06E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关键路径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16FBD8A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进度中是否标明关键路径？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5D2B6D8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1BCC403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241ECAE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文档明确给出 2.0→3.0→5.0→10.0→11.0→12.0→13.0 的关键路径。</w:t>
            </w:r>
          </w:p>
        </w:tc>
      </w:tr>
      <w:tr w14:paraId="2D70A4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59477A2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46332F3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里程碑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0B85EF2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是否包含各里程碑说明？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3492F3D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2902BF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7A021D8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M0 至 M6 里程碑包含日期和准则。</w:t>
            </w:r>
          </w:p>
        </w:tc>
      </w:tr>
      <w:tr w14:paraId="7B7098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7EADDFA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591E377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人员职责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75547EE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是否标明角色和职责？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706FAEA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51063DE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643A571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6 章给出 RACI 责任矩阵，覆盖主要工作包。</w:t>
            </w:r>
          </w:p>
        </w:tc>
      </w:tr>
      <w:tr w14:paraId="7DA61A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1AF2D8D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784B952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责任矩阵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5F3A05D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是否使用责任矩阵分配负责人和参与人员？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2B52804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1A06457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00943AE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RACI 表标明各成员 R/A/C/I。</w:t>
            </w:r>
          </w:p>
        </w:tc>
      </w:tr>
      <w:tr w14:paraId="70ABB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0D8C773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72106ED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资源需求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5940DD0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是否说明人员、软件工具、硬件设备、开发环境等资源需求？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13ADC79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04928EE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7B2E8D4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工具和设施有所说明，但硬件配置、测试服务器、数据资源、浏览器版本等不够具体。</w:t>
            </w:r>
          </w:p>
        </w:tc>
      </w:tr>
      <w:tr w14:paraId="67800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5FF4A0A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53EF6F1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开发工具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1F5DD7B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是否包含项目开发、测试、协作、版本管理工具？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343CF99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24B141E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41872DC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列出飞书、Git、Vue/Cesium/Three.js、Spring Boot、MySQL、MinIO、Chrome/Edge、Postman 等。</w:t>
            </w:r>
          </w:p>
        </w:tc>
      </w:tr>
      <w:tr w14:paraId="132CF6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00A9FF0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0A44DD3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沟通机制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00BEAAD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是否说明小组内部沟通方式、会议频率、问题反馈方式？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3F9FD4B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2DE1F1F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1A13E3F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WBS 中有周例会与飞书看板维护，但缺少会议频率、参会规则、问题升级路径等细节。</w:t>
            </w:r>
          </w:p>
        </w:tc>
      </w:tr>
      <w:tr w14:paraId="4C25A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46C53AF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62DFFB4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汇报机制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5CEF4D2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是否标明项目汇报机制？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4B42C9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10D100F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7A38EDA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有阶段评审和里程碑，但未明确向课程教师/QA组汇报的时间、责任人和材料。</w:t>
            </w:r>
          </w:p>
        </w:tc>
      </w:tr>
      <w:tr w14:paraId="736A13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610F32F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03BFB47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跟踪监控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103E268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是否说明进度、质量、风险和问题跟踪监控机制？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5201A13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1F8B657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28EB73A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提到飞书看板、阶段评审、代码 Review，但缺少进度偏差处理阈值和缺陷跟踪流程。</w:t>
            </w:r>
          </w:p>
        </w:tc>
      </w:tr>
      <w:tr w14:paraId="2B0DFB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1711613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3A55AA3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风险管理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5E1E4A0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是否包含风险管理计划或风险信息表？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9B45BE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43C1DA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04E8198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7 章提供风险信息表。</w:t>
            </w:r>
          </w:p>
        </w:tc>
      </w:tr>
      <w:tr w14:paraId="26559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62AE219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2377814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风险识别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7D7686D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是否识别主要项目风险？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B7B3B4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5A5B439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1B554BA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识别三维加载慢、上传失败、量测精度、进度延误、技术栈不熟、合规、接口不一致、验收时间不足等。</w:t>
            </w:r>
          </w:p>
        </w:tc>
      </w:tr>
      <w:tr w14:paraId="004474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1F39DCD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26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253A0F7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风险应对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294D49C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风险是否给出概率、影响、触发信号、应对策略和责任人？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0D0D515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74D187A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4147C13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风险表字段较完整。建议补充风险等级排序和残余风险跟踪状态。</w:t>
            </w:r>
          </w:p>
        </w:tc>
      </w:tr>
      <w:tr w14:paraId="5D32CD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48F621B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27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4EF74E6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质量保证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349EF4C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是否包含软件质量保证相关安排？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8517E5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2D2ABEA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3538445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9 章提到阶段评审、代码 Review、测试覆盖，但缺少质量目标、检查项和质量记录模板。</w:t>
            </w:r>
          </w:p>
        </w:tc>
      </w:tr>
      <w:tr w14:paraId="0159A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541BC5B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28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2A6D872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配置管理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6402F49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是否说明版本管理、文档管理、变更控制方法？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32ECF08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7E6F2BD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471E63D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提到 Git 主分支保护和版本号同步，但缺少分支策略、提交规范、变更审批流程。</w:t>
            </w:r>
          </w:p>
        </w:tc>
      </w:tr>
      <w:tr w14:paraId="0B50C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24B9759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29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7F64302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版本发布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4392ED2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是否包含版本发布机制？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2874E3D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28E1D94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4BB2166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部署交付和里程碑存在，但版本号规则、发布内容、发布负责人、回滚方案不够明确。</w:t>
            </w:r>
          </w:p>
        </w:tc>
      </w:tr>
      <w:tr w14:paraId="3E539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0BFBB8A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1735780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培训计划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140D0C1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是否标识必要培训计划？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5A3A74A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DBC4B3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7BE2017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项目涉及 WebGL/Cesium/Three.js、MinIO 等技术，但未列新技术学习或培训安排。</w:t>
            </w:r>
          </w:p>
        </w:tc>
      </w:tr>
      <w:tr w14:paraId="758CC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2A561FD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31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242891E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内外部交付关系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1BC9732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是否标识内部和外部交付关系及依赖？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4E2187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FA2E21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0FAC066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交付包、设计文档、验收报告等有体现，但与 SRS、测试用例、课程报告之间的依赖关系可进一步明确。</w:t>
            </w:r>
          </w:p>
        </w:tc>
      </w:tr>
      <w:tr w14:paraId="6FEFC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7A5A3B0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154CF37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文档规范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372D287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文档格式是否符合学院课程设计报告规范？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D3577C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7B49FF1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440D4E5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章节编号基本规范，但多张表缺少独立表序号和表标题；部分图片清晰度低，图表不完全白底黑字。</w:t>
            </w:r>
          </w:p>
        </w:tc>
      </w:tr>
      <w:tr w14:paraId="42E579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FFFFFF"/>
            <w:vAlign w:val="center"/>
          </w:tcPr>
          <w:p w14:paraId="5C4B996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33</w:t>
            </w:r>
          </w:p>
        </w:tc>
        <w:tc>
          <w:tcPr>
            <w:tcW w:w="1011" w:type="dxa"/>
            <w:shd w:val="clear" w:color="auto" w:fill="FFFFFF"/>
            <w:vAlign w:val="center"/>
          </w:tcPr>
          <w:p w14:paraId="29CA6D7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可执行性</w:t>
            </w:r>
          </w:p>
        </w:tc>
        <w:tc>
          <w:tcPr>
            <w:tcW w:w="1062" w:type="dxa"/>
            <w:shd w:val="clear" w:color="auto" w:fill="FFFFFF"/>
            <w:vAlign w:val="center"/>
          </w:tcPr>
          <w:p w14:paraId="5CE4070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整体计划是否具体、可操作？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7E73AA1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2D06F77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107A8C0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主体框架完整，可指导开发；补全 PERT、测试计划、工具导出图和管理细节后可执行性更强。</w:t>
            </w:r>
          </w:p>
        </w:tc>
      </w:tr>
    </w:tbl>
    <w:p w14:paraId="43DD976B"/>
    <w:p w14:paraId="7560F877">
      <w:pPr>
        <w:spacing w:after="0" w:line="460" w:lineRule="exact"/>
        <w:jc w:val="center"/>
        <w:rPr>
          <w:rFonts w:ascii="黑体" w:hAnsi="黑体" w:eastAsia="黑体"/>
          <w:b/>
          <w:sz w:val="36"/>
        </w:rPr>
      </w:pPr>
    </w:p>
    <w:p w14:paraId="4CC16973">
      <w:pPr>
        <w:spacing w:after="0" w:line="460" w:lineRule="exact"/>
        <w:jc w:val="center"/>
        <w:rPr>
          <w:rFonts w:ascii="黑体" w:hAnsi="黑体" w:eastAsia="黑体"/>
          <w:b/>
          <w:sz w:val="36"/>
        </w:rPr>
      </w:pPr>
    </w:p>
    <w:p w14:paraId="494E7F22">
      <w:pPr>
        <w:spacing w:after="0" w:line="460" w:lineRule="exact"/>
        <w:jc w:val="center"/>
        <w:rPr>
          <w:rFonts w:ascii="黑体" w:hAnsi="黑体" w:eastAsia="黑体"/>
          <w:b/>
          <w:sz w:val="36"/>
        </w:rPr>
      </w:pPr>
    </w:p>
    <w:p w14:paraId="1DDC15C4">
      <w:pPr>
        <w:spacing w:after="0" w:line="460" w:lineRule="exact"/>
        <w:jc w:val="center"/>
      </w:pPr>
      <w:r>
        <w:rPr>
          <w:rFonts w:ascii="黑体" w:hAnsi="黑体" w:eastAsia="黑体"/>
          <w:b/>
          <w:sz w:val="36"/>
        </w:rPr>
        <w:t>第4章 验收测试计划评审结果</w:t>
      </w:r>
    </w:p>
    <w:p w14:paraId="52FBCFE1">
      <w:pPr>
        <w:spacing w:after="0" w:line="460" w:lineRule="exact"/>
        <w:jc w:val="left"/>
      </w:pPr>
      <w:r>
        <w:rPr>
          <w:rFonts w:ascii="宋体" w:hAnsi="宋体" w:eastAsia="宋体"/>
          <w:b w:val="0"/>
          <w:sz w:val="24"/>
        </w:rPr>
        <w:t>当前上传文件中仅包含验收测试计划摘要，并说明完整内容见单独文档。由于未提供独立《验收测试计划》和具体测试用例，本次只能对摘要部分进行初步评审，建议 SE02组补充完整测试计划后由 SE03组复核。</w:t>
      </w:r>
    </w:p>
    <w:p w14:paraId="1ADF26EC">
      <w:pPr>
        <w:spacing w:after="0" w:line="460" w:lineRule="exact"/>
        <w:jc w:val="center"/>
      </w:pPr>
      <w:r>
        <w:rPr>
          <w:rFonts w:ascii="宋体" w:hAnsi="宋体" w:eastAsia="宋体"/>
          <w:b w:val="0"/>
          <w:sz w:val="21"/>
        </w:rPr>
        <w:t>表4-1 验收测试计划评审检查表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1473"/>
        <w:gridCol w:w="1473"/>
        <w:gridCol w:w="1473"/>
        <w:gridCol w:w="1473"/>
        <w:gridCol w:w="1473"/>
      </w:tblGrid>
      <w:tr w14:paraId="76805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6F2A589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189B387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评审内容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437EB40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检查问题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44F8147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1FC457B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分值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BF8CC0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问题说明与修改建议</w:t>
            </w:r>
          </w:p>
        </w:tc>
      </w:tr>
      <w:tr w14:paraId="7B8950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55BEB30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7ED2CB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测试目标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1BFF05E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是否明确验收测试目标和范围？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D636F7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6721DF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6BC5C1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验收测试作为子计划摘要出现，说明覆盖 P0/P1，但目标描述较简略。</w:t>
            </w:r>
          </w:p>
        </w:tc>
      </w:tr>
      <w:tr w14:paraId="49F852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36F5BCB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1BFBCF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测试需求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651107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是否列出软件验收测试需求？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44F659D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24F1A05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694AA2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列出 AT-Browse、AT-Asset、AT-Measure、AT-Supervise、AT-Auth、AT-NFR 等测试需求。</w:t>
            </w:r>
          </w:p>
        </w:tc>
      </w:tr>
      <w:tr w14:paraId="288284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416B70E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5BFCFE9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需求标识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5EDABA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测试需求是否具有编号并对应需求规格？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6B9512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A925D6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2DCAA0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测试需求编号和对应需求标识较清晰。</w:t>
            </w:r>
          </w:p>
        </w:tc>
      </w:tr>
      <w:tr w14:paraId="34DFD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7691C88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2412D17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功能测试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5A7A4C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是否覆盖系统主要功能需求？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CD58A3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6ECDBA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7E4922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浏览、景点信息、成果管理、空间量测、监管查看、权限日志均有测试需求。</w:t>
            </w:r>
          </w:p>
        </w:tc>
      </w:tr>
      <w:tr w14:paraId="79CA6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7E729CE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FE8E8F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非功能测试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2FBA8FF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是否考虑性能、安全、可靠性等非功能需求？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6B2B36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271A2A7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DCFEF5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列出 AT-NFR-01 和 AT-NFR-02，但未展开性能、安全、可靠性指标和判定方法。</w:t>
            </w:r>
          </w:p>
        </w:tc>
      </w:tr>
      <w:tr w14:paraId="46D7D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6972047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4638B59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测试内容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2A224E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是否说明每项测试内容？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4F0D021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5C96807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516DE2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摘要表有测试内容，但粒度偏粗。</w:t>
            </w:r>
          </w:p>
        </w:tc>
      </w:tr>
      <w:tr w14:paraId="6DF4D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45D4549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9439E0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测试目的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5DB38BD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是否说明每项测试目的？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211113E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1AE4496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23AD6DF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当前上传文件未见每项测试目的。</w:t>
            </w:r>
          </w:p>
        </w:tc>
      </w:tr>
      <w:tr w14:paraId="1BF06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2C60EDA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DB9973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测试人员安排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111C86A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是否明确测试人员、职责分工和负责人？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203AD8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637579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40E29A1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验收测试 WBS 中责任人为全组/郑广深/尹玉文东，但未形成独立测试人员分工表。</w:t>
            </w:r>
          </w:p>
        </w:tc>
      </w:tr>
      <w:tr w14:paraId="59885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472A61E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38F648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测试进度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47249AF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是否安排验收测试进度且在 7 月 3 日前完成？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5661E7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1D2FFA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1302B87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文档写明验收测试须于 2026-06-30 前完成。</w:t>
            </w:r>
          </w:p>
        </w:tc>
      </w:tr>
      <w:tr w14:paraId="28F6D8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3970BF1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F9BFCE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测试环境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C6763A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是否说明测试硬件、软件、网络、数据库、浏览器等环境？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4546F18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196EC14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17FCBCF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当前上传文件未见验收测试环境配置。</w:t>
            </w:r>
          </w:p>
        </w:tc>
      </w:tr>
      <w:tr w14:paraId="65D12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3CD7DB4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3BD9D2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测试数据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260F851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是否说明测试数据来源、准备方式和使用要求？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5DBB65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A295F2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5FD25BF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当前上传文件未说明三维示范数据、用户账号、上传文件等测试数据准备。</w:t>
            </w:r>
          </w:p>
        </w:tc>
      </w:tr>
      <w:tr w14:paraId="3D4F6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16AF780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43408DA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测试标准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F1CB46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是否明确通过标准和失败判定标准？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5ED3006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1BE1E69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2E36D36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当前上传文件未见每类验收测试的通过标准。</w:t>
            </w:r>
          </w:p>
        </w:tc>
      </w:tr>
      <w:tr w14:paraId="1DD52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41EE6A9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5F9237B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缺陷处理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269BD32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是否说明缺陷记录、反馈、修复和回归流程？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A98699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54A794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5E6ACD7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当前上传文件未见验收缺陷流转与回归测试规则。</w:t>
            </w:r>
          </w:p>
        </w:tc>
      </w:tr>
      <w:tr w14:paraId="524EE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4698F45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3B5E97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测试用例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10B3BE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是否提供测试用例或说明单独提交？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71AEB2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76E634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2DA046A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文档引用“测试用例.docx”和 70 条用例，但当前仅上传开发计划，未提供完整用例供评审。</w:t>
            </w:r>
          </w:p>
        </w:tc>
      </w:tr>
      <w:tr w14:paraId="4F850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59C9CA0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CB30BB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用例完整性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35B25A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测试用例是否包含编号、前置条件、输入、步骤、预期结果等？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0BBDA7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6BF69A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6CAD04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当前上传文件未包含具体测试用例表，无法验证完整性。</w:t>
            </w:r>
          </w:p>
        </w:tc>
      </w:tr>
      <w:tr w14:paraId="69CFD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14D12E6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259890A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需求覆盖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5025469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测试用例是否覆盖所有验收测试需求？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5F6FBB7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4AB14FC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623637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从摘要看覆盖主线需求，但缺少需求—用例追踪矩阵。</w:t>
            </w:r>
          </w:p>
        </w:tc>
      </w:tr>
      <w:tr w14:paraId="7F35C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7E94647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1F61E6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可执行性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545429F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测试计划是否具体可执行？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5815B70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5BAC206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201960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已有验收测试阶段安排，但缺少环境、数据、标准和用例细节，执行时仍需补充。</w:t>
            </w:r>
          </w:p>
        </w:tc>
      </w:tr>
      <w:tr w14:paraId="35B31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06F4300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962E95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验收交付物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116304B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是否说明验收阶段需提交的成果？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192158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BF7545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E6DA68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WBS 中有验收报告、回归报告、验收结论，但未明确最终测试报告、缺陷清单、签字确认记录。</w:t>
            </w:r>
          </w:p>
        </w:tc>
      </w:tr>
      <w:tr w14:paraId="49AF1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59E85A6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2486F06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验收责任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3084961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是否明确验收确认人员和最终验收方式？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796FDF7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6E1AEE9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C9470F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尹玉文东负责验收结论，但课程验收方、QA/SE确认方式和签字流程不明确。</w:t>
            </w:r>
          </w:p>
        </w:tc>
      </w:tr>
      <w:tr w14:paraId="0094C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FFFFFF"/>
            <w:vAlign w:val="center"/>
          </w:tcPr>
          <w:p w14:paraId="4DA804D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BD6E91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文档规范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20DF918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验收测试计划格式是否清晰、规范？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0AEDD87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部分符合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4863429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473" w:type="dxa"/>
            <w:shd w:val="clear" w:color="auto" w:fill="FFFFFF"/>
            <w:vAlign w:val="center"/>
          </w:tcPr>
          <w:p w14:paraId="1C3E41D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摘要清晰，但完整验收测试计划未随当前文件提交，暂无法进行完整格式评审。</w:t>
            </w:r>
          </w:p>
        </w:tc>
      </w:tr>
    </w:tbl>
    <w:p w14:paraId="41CEB5C2"/>
    <w:p w14:paraId="24911C97">
      <w:pPr>
        <w:spacing w:after="0" w:line="460" w:lineRule="exact"/>
        <w:jc w:val="center"/>
      </w:pPr>
      <w:r>
        <w:rPr>
          <w:rFonts w:ascii="黑体" w:hAnsi="黑体" w:eastAsia="黑体"/>
          <w:b/>
          <w:sz w:val="36"/>
        </w:rPr>
        <w:t>第5章 主要问题汇总</w:t>
      </w:r>
    </w:p>
    <w:p w14:paraId="1A622247">
      <w:pPr>
        <w:spacing w:after="0" w:line="460" w:lineRule="exact"/>
        <w:jc w:val="left"/>
      </w:pPr>
      <w:r>
        <w:rPr>
          <w:rFonts w:ascii="宋体" w:hAnsi="宋体" w:eastAsia="宋体"/>
          <w:b w:val="0"/>
          <w:sz w:val="24"/>
        </w:rPr>
        <w:t>以下问题建议作为 SE03组反馈给 SE02组的核心修改项。高优先级问题应在课堂报告前或文档最终提交前优先完成。</w:t>
      </w:r>
    </w:p>
    <w:p w14:paraId="483FC516">
      <w:pPr>
        <w:spacing w:after="0" w:line="460" w:lineRule="exact"/>
        <w:jc w:val="center"/>
      </w:pPr>
      <w:r>
        <w:rPr>
          <w:rFonts w:ascii="宋体" w:hAnsi="宋体" w:eastAsia="宋体"/>
          <w:b w:val="0"/>
          <w:sz w:val="21"/>
        </w:rPr>
        <w:t>表5-1 评审问题汇总表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 w14:paraId="4E613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5" w:type="dxa"/>
            <w:shd w:val="clear" w:color="auto" w:fill="FFFFFF"/>
            <w:vAlign w:val="center"/>
          </w:tcPr>
          <w:p w14:paraId="2A20D53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3708221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所属文档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711E0CB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问题描述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5325C56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严重程度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54DDFBC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修改建议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512554B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责任人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42EE66F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期望完成时间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789BC03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 w14:paraId="267D9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5" w:type="dxa"/>
            <w:shd w:val="clear" w:color="auto" w:fill="FFFFFF"/>
            <w:vAlign w:val="center"/>
          </w:tcPr>
          <w:p w14:paraId="763FB10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I-01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119FD70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软件开发计划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2ACC634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PERT 三点估计表缺少各 WBS 工作包 O/M/P/TE 明细，仅有表头和关键路径结论。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6EC8910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755BA6E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补齐每个工作包的乐观、最可能、悲观和期望历时，并说明计算公式。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4CCEC36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SE02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775ACB8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6月3日前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62C1EAA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未关闭</w:t>
            </w:r>
          </w:p>
        </w:tc>
      </w:tr>
      <w:tr w14:paraId="1529F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5" w:type="dxa"/>
            <w:shd w:val="clear" w:color="auto" w:fill="FFFFFF"/>
            <w:vAlign w:val="center"/>
          </w:tcPr>
          <w:p w14:paraId="4DA384B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I-02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2459A48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软件开发计划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1B636BC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任务网络图、甘特图、WBS 图清晰度偏低，部分文字难以辨认。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19D8A2E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6F5CC97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使用项目管理工具重新导出高清黑白图片，保证图题、任务名称和关键路径可读。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439C24A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SE02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06BC9F2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6月3日前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35B5916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未关闭</w:t>
            </w:r>
          </w:p>
        </w:tc>
      </w:tr>
      <w:tr w14:paraId="115A9D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5" w:type="dxa"/>
            <w:shd w:val="clear" w:color="auto" w:fill="FFFFFF"/>
            <w:vAlign w:val="center"/>
          </w:tcPr>
          <w:p w14:paraId="607D833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I-03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3E49AB0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验收测试计划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23DE0AF9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当前上传文档仅包含验收测试计划摘要，缺少完整验收测试计划。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377DF66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1CAD4B3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补交独立《验收测试计划》，包含测试需求、人员、进度、标准、环境、测试数据和测试用例。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4839E9E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SE02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6E388C1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6月3日前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7D00E0F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未关闭</w:t>
            </w:r>
          </w:p>
        </w:tc>
      </w:tr>
      <w:tr w14:paraId="4485B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5" w:type="dxa"/>
            <w:shd w:val="clear" w:color="auto" w:fill="FFFFFF"/>
            <w:vAlign w:val="center"/>
          </w:tcPr>
          <w:p w14:paraId="49482E0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I-04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73F4F52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验收测试计划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7C47645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缺少验收通过/失败标准、缺陷处理流程和回归测试规则。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7D1CA2F4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45571F7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按测试需求逐项补充通过标准，建立缺陷等级、处理时限、责任人和回归确认规则。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783AF65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SE02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6B4FBCC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6月4日前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5336265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未关闭</w:t>
            </w:r>
          </w:p>
        </w:tc>
      </w:tr>
      <w:tr w14:paraId="72C99F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5" w:type="dxa"/>
            <w:shd w:val="clear" w:color="auto" w:fill="FFFFFF"/>
            <w:vAlign w:val="center"/>
          </w:tcPr>
          <w:p w14:paraId="7BAEE0B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I-05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13EEC8F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软件开发计划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7F9ADBB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沟通、汇报、跟踪监控机制较简略。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662F9BC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551481A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补充周会时间、会议纪要模板、进度偏差阈值、问题升级路径和对 QA 的反馈方式。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043E018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SE02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085B91C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6月4日前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37159877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未关闭</w:t>
            </w:r>
          </w:p>
        </w:tc>
      </w:tr>
      <w:tr w14:paraId="3744FB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5" w:type="dxa"/>
            <w:shd w:val="clear" w:color="auto" w:fill="FFFFFF"/>
            <w:vAlign w:val="center"/>
          </w:tcPr>
          <w:p w14:paraId="3F0CD2A3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I-06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6D46C6F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软件开发计划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308D3B60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配置管理、版本发布、培训计划不够完整。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1DE830D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3DFD1606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补充分支策略、提交规范、版本号规则、发布负责人、回滚方案及新技术学习安排。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1F025F4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SE02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746C080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6月4日前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5B5F747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未关闭</w:t>
            </w:r>
          </w:p>
        </w:tc>
      </w:tr>
      <w:tr w14:paraId="0F2AC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5" w:type="dxa"/>
            <w:shd w:val="clear" w:color="auto" w:fill="FFFFFF"/>
            <w:vAlign w:val="center"/>
          </w:tcPr>
          <w:p w14:paraId="2671662A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I-07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1E0ADA3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文档规范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1AF96CD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部分表格缺少独立表序号和表标题，图表存在彩色填充。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5D0E007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66263D9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统一“表x-x 表题”“图x-x 图题”，表格跨页重复表头，图表尽量白底黑字。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10B57F6D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SE02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3047FEA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6月4日前</w:t>
            </w:r>
          </w:p>
        </w:tc>
        <w:tc>
          <w:tcPr>
            <w:tcW w:w="1105" w:type="dxa"/>
            <w:shd w:val="clear" w:color="auto" w:fill="FFFFFF"/>
            <w:vAlign w:val="center"/>
          </w:tcPr>
          <w:p w14:paraId="652A335E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未关闭</w:t>
            </w:r>
          </w:p>
        </w:tc>
      </w:tr>
    </w:tbl>
    <w:p w14:paraId="2647D46E"/>
    <w:p w14:paraId="1429210D">
      <w:pPr>
        <w:spacing w:after="0" w:line="460" w:lineRule="exact"/>
        <w:jc w:val="center"/>
        <w:rPr>
          <w:rFonts w:ascii="黑体" w:hAnsi="黑体" w:eastAsia="黑体"/>
          <w:b/>
          <w:sz w:val="36"/>
        </w:rPr>
      </w:pPr>
    </w:p>
    <w:p w14:paraId="79FB7AD8">
      <w:pPr>
        <w:spacing w:after="0" w:line="460" w:lineRule="exact"/>
        <w:jc w:val="center"/>
        <w:rPr>
          <w:rFonts w:ascii="黑体" w:hAnsi="黑体" w:eastAsia="黑体"/>
          <w:b/>
          <w:sz w:val="36"/>
        </w:rPr>
      </w:pPr>
    </w:p>
    <w:p w14:paraId="4E60081D">
      <w:pPr>
        <w:spacing w:after="0" w:line="460" w:lineRule="exact"/>
        <w:jc w:val="center"/>
        <w:rPr>
          <w:rFonts w:ascii="黑体" w:hAnsi="黑体" w:eastAsia="黑体"/>
          <w:b/>
          <w:sz w:val="36"/>
        </w:rPr>
      </w:pPr>
    </w:p>
    <w:p w14:paraId="605BF0AA">
      <w:pPr>
        <w:spacing w:after="0" w:line="460" w:lineRule="exact"/>
        <w:jc w:val="center"/>
        <w:rPr>
          <w:rFonts w:ascii="黑体" w:hAnsi="黑体" w:eastAsia="黑体"/>
          <w:b/>
          <w:sz w:val="36"/>
        </w:rPr>
      </w:pPr>
    </w:p>
    <w:p w14:paraId="6130C3C7">
      <w:pPr>
        <w:spacing w:after="0" w:line="460" w:lineRule="exact"/>
        <w:jc w:val="center"/>
        <w:rPr>
          <w:rFonts w:ascii="黑体" w:hAnsi="黑体" w:eastAsia="黑体"/>
          <w:b/>
          <w:sz w:val="36"/>
        </w:rPr>
      </w:pPr>
    </w:p>
    <w:p w14:paraId="650AD9BF">
      <w:pPr>
        <w:spacing w:after="0" w:line="460" w:lineRule="exact"/>
        <w:jc w:val="center"/>
      </w:pPr>
      <w:r>
        <w:rPr>
          <w:rFonts w:ascii="黑体" w:hAnsi="黑体" w:eastAsia="黑体"/>
          <w:b/>
          <w:sz w:val="36"/>
        </w:rPr>
        <w:t>第6章 评审结论与建议</w:t>
      </w:r>
    </w:p>
    <w:p w14:paraId="16F8068F">
      <w:pPr>
        <w:spacing w:after="0" w:line="460" w:lineRule="exact"/>
        <w:jc w:val="center"/>
      </w:pPr>
      <w:r>
        <w:rPr>
          <w:rFonts w:ascii="宋体" w:hAnsi="宋体" w:eastAsia="宋体"/>
          <w:b w:val="0"/>
          <w:sz w:val="21"/>
        </w:rPr>
        <w:t>表6-1 评审结论表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 w14:paraId="7C765F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19" w:type="dxa"/>
            <w:shd w:val="clear" w:color="auto" w:fill="FFFFFF"/>
            <w:vAlign w:val="center"/>
          </w:tcPr>
          <w:p w14:paraId="5CEC486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结论项</w:t>
            </w:r>
          </w:p>
        </w:tc>
        <w:tc>
          <w:tcPr>
            <w:tcW w:w="4419" w:type="dxa"/>
            <w:shd w:val="clear" w:color="auto" w:fill="FFFFFF"/>
            <w:vAlign w:val="center"/>
          </w:tcPr>
          <w:p w14:paraId="05D3E9B5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 w14:paraId="528E4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FFFFFF"/>
            <w:vAlign w:val="center"/>
          </w:tcPr>
          <w:p w14:paraId="58A84CB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主要优点</w:t>
            </w:r>
          </w:p>
        </w:tc>
        <w:tc>
          <w:tcPr>
            <w:tcW w:w="4419" w:type="dxa"/>
            <w:shd w:val="clear" w:color="auto" w:fill="FFFFFF"/>
            <w:vAlign w:val="center"/>
          </w:tcPr>
          <w:p w14:paraId="28D9F2A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计划框架完整；WBS 覆盖主要工作；里程碑明确；RACI 责任矩阵、风险表和工具清单较清晰；7月3日交付目标明确。</w:t>
            </w:r>
          </w:p>
        </w:tc>
      </w:tr>
      <w:tr w14:paraId="1AF39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FFFFFF"/>
            <w:vAlign w:val="center"/>
          </w:tcPr>
          <w:p w14:paraId="01AD67C1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主要问题</w:t>
            </w:r>
          </w:p>
        </w:tc>
        <w:tc>
          <w:tcPr>
            <w:tcW w:w="4419" w:type="dxa"/>
            <w:shd w:val="clear" w:color="auto" w:fill="FFFFFF"/>
            <w:vAlign w:val="center"/>
          </w:tcPr>
          <w:p w14:paraId="3C7E636B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PERT 三点估计表不完整；图表清晰度不足；完整验收测试计划和测试用例未随当前文件提交；测试标准、环境、数据和缺陷流程缺失；沟通监控、配置发布、培训计划仍需细化。</w:t>
            </w:r>
          </w:p>
        </w:tc>
      </w:tr>
      <w:tr w14:paraId="1CAE3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FFFFFF"/>
            <w:vAlign w:val="center"/>
          </w:tcPr>
          <w:p w14:paraId="48BE028F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修改要求</w:t>
            </w:r>
          </w:p>
        </w:tc>
        <w:tc>
          <w:tcPr>
            <w:tcW w:w="4419" w:type="dxa"/>
            <w:shd w:val="clear" w:color="auto" w:fill="FFFFFF"/>
            <w:vAlign w:val="center"/>
          </w:tcPr>
          <w:p w14:paraId="48D777F2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补全 PERT 明细；重新导出高清黑白 WBS/网络图/甘特图；提交独立验收测试计划和测试用例；补充测试标准、环境、数据、缺陷处理流程；完善版本发布、配置管理和培训安排。</w:t>
            </w:r>
          </w:p>
        </w:tc>
      </w:tr>
      <w:tr w14:paraId="400D7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FFFFFF"/>
            <w:vAlign w:val="center"/>
          </w:tcPr>
          <w:p w14:paraId="498F12DC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最终意见</w:t>
            </w:r>
          </w:p>
        </w:tc>
        <w:tc>
          <w:tcPr>
            <w:tcW w:w="4419" w:type="dxa"/>
            <w:shd w:val="clear" w:color="auto" w:fill="FFFFFF"/>
            <w:vAlign w:val="center"/>
          </w:tcPr>
          <w:p w14:paraId="57FCFEA8">
            <w:pPr>
              <w:spacing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建议 SE02组完成上述高优先级问题后，由 SE03组进行一次快速复核。</w:t>
            </w:r>
          </w:p>
        </w:tc>
      </w:tr>
    </w:tbl>
    <w:p w14:paraId="46592623"/>
    <w:p w14:paraId="4A2D68A8">
      <w:pPr>
        <w:spacing w:after="0" w:line="460" w:lineRule="exact"/>
        <w:jc w:val="left"/>
      </w:pPr>
    </w:p>
    <w:sectPr>
      <w:footerReference r:id="rId5" w:type="default"/>
      <w:pgSz w:w="12240" w:h="15840"/>
      <w:pgMar w:top="1417" w:right="1701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96311">
    <w:pPr>
      <w:pStyle w:val="24"/>
      <w:jc w:val="center"/>
    </w:pPr>
    <w:r>
      <w:rPr>
        <w:rFonts w:ascii="宋体" w:hAnsi="宋体" w:eastAsia="宋体"/>
        <w:b w:val="0"/>
        <w:sz w:val="21"/>
      </w:rPr>
      <w:fldChar w:fldCharType="begin"/>
    </w:r>
    <w:r>
      <w:rPr>
        <w:rFonts w:ascii="宋体" w:hAnsi="宋体" w:eastAsia="宋体"/>
        <w:b w:val="0"/>
        <w:sz w:val="21"/>
      </w:rPr>
      <w:instrText xml:space="preserve">PAGE</w:instrText>
    </w:r>
    <w:r>
      <w:rPr>
        <w:rFonts w:ascii="宋体" w:hAnsi="宋体" w:eastAsia="宋体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AD5CDC"/>
    <w:rsid w:val="34D66156"/>
    <w:rsid w:val="361C403D"/>
    <w:rsid w:val="3BB54D17"/>
    <w:rsid w:val="656B0071"/>
    <w:rsid w:val="6B2667E8"/>
    <w:rsid w:val="6F7A4321"/>
    <w:rsid w:val="6F8F0E00"/>
    <w:rsid w:val="72CC236B"/>
    <w:rsid w:val="77302EC9"/>
    <w:rsid w:val="7ACD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2872</Words>
  <Characters>3254</Characters>
  <Lines>0</Lines>
  <Paragraphs>0</Paragraphs>
  <TotalTime>4</TotalTime>
  <ScaleCrop>false</ScaleCrop>
  <LinksUpToDate>false</LinksUpToDate>
  <CharactersWithSpaces>3353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杜承敖</cp:lastModifiedBy>
  <dcterms:modified xsi:type="dcterms:W3CDTF">2026-06-01T05:36:48Z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eyJoZGlkIjoiZWVhYzM3Y2U0ZDE5N2MyMDQwNjRlOGFjM2FkZmM2YzAiLCJ1c2VySWQiOiIxNjYyNDkyNTQ4In0=</vt:lpwstr>
  </property>
  <property fmtid="{D5CDD505-2E9C-101B-9397-08002B2CF9AE}" pid="3" name="KSOProductBuildVer">
    <vt:lpwstr>2052-12.1.0.25865</vt:lpwstr>
  </property>
  <property fmtid="{D5CDD505-2E9C-101B-9397-08002B2CF9AE}" pid="4" name="ICV">
    <vt:lpwstr>27AD9D35C46744009760C3EFCA5D5C59_12</vt:lpwstr>
  </property>
</Properties>
</file>