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季度报告 Quarterly report</w:t>
      </w:r>
    </w:p>
    <w:p>
      <w:r>
        <w:t>Revenue grew 12% in Q3; costs, as before, stayed "flat".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p>
      <w:pPr>
        <w:pStyle w:val="Heading2"/>
      </w:pPr>
      <w:r>
        <w:t>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Units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a|b</w:t>
            </w:r>
          </w:p>
        </w:tc>
      </w:tr>
      <w:tr>
        <w:tc>
          <w:tcPr>
            <w:tcW w:type="dxa" w:w="2880"/>
          </w:tcPr>
          <w:p>
            <w:r>
              <w:t>南区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Tab</w:t>
        <w:tab/>
        <w:t>separated</w:t>
      </w:r>
    </w:p>
    <w:p>
      <w:r>
        <w:t>The 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