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2.4.4：仅适用于工况甲；规则如下。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测试阈值=17</w:t>
            </w:r>
          </w:p>
        </w:tc>
        <w:tc>
          <w:tcPr>
            <w:tcW w:type="dxa" w:w="4320"/>
          </w:tcPr>
          <w:p/>
        </w:tc>
      </w:tr>
    </w:tbl>
    <w:p>
      <w:r>
        <w:t>例外：工况乙不适用上述表格。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