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h.z5kqdjn70g1h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hd w:fill="f8f8f8" w:val="clear"/>
          <w:rtl w:val="0"/>
        </w:rPr>
        <w:t xml:space="preserve">How does our prototype work?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Two mesh routers will interconnected with wireless backbone (P2MT BackN technology). Mobile AP will provide internet access for the mesh network.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The access mesh router will build a PPTP tunnel to connect with anyfi sdwn core (placed in the P2MT network).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The access mesh router will connect to the anyfi controller(Anyfi-CTRL) and register the radio interface for the anyfi service.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The anyfi-gw will push the services configuration to the mesh access router by the control plane.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The radio interface of the mesh access router will responsible for delivery the 802.11 beacon for the configurated anyfi service.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Client can connect to the service via the SSID. The AAA will be handle by the Anyfi wlan-gw. 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After the AAA process the client can go to the internet via the wlan-gw.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color w:val="333333"/>
          <w:sz w:val="28"/>
          <w:shd w:fill="f8f8f8" w:val="clear"/>
          <w:rtl w:val="0"/>
        </w:rPr>
        <w:t xml:space="preserve">The anyfi-mgmt can provide the management plane for the whole sdwn, administator can access the client informantion by the “Splunk” anyfi management apps. All the services data will be displayed here.</w:t>
      </w:r>
    </w:p>
    <w:p w:rsidR="00000000" w:rsidDel="00000000" w:rsidP="00000000" w:rsidRDefault="00000000" w:rsidRPr="00000000">
      <w:pPr>
        <w:spacing w:after="30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