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Calibri" w:hAnsi="Calibri" w:eastAsia="微软雅黑" w:cs="Calibri"/>
          <w:b/>
          <w:color w:val="1F4E78"/>
          <w:sz w:val="44"/>
        </w:rPr>
        <w:t>VOZEB-PRO OEM / 贴牌商业授权协议</w:t>
      </w:r>
    </w:p>
    <w:p>
      <w:pPr>
        <w:spacing w:after="280"/>
        <w:jc w:val="center"/>
      </w:pPr>
      <w:r>
        <w:rPr>
          <w:rFonts w:ascii="Calibri" w:hAnsi="Calibri" w:eastAsia="微软雅黑" w:cs="Calibri"/>
          <w:b w:val="0"/>
          <w:color w:val="667085"/>
          <w:sz w:val="22"/>
        </w:rPr>
        <w:t>白标、第三方交付与有限下游使用许可｜可签署模板</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协议编号</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VOZEB-PRO-OEM-[填写]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授权软件</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VOZEB-PRO</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公开许可基础</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Business Source License 1.1（BUSL-1.1）；Change Date：2036-01-01；Change License：AGPL-3.0</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模板状态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签署前必须完整填写、逐页确认并由双方有权代表签字或盖章</w:t>
            </w:r>
          </w:p>
        </w:tc>
      </w:tr>
    </w:tbl>
    <w:p>
      <w:pPr>
        <w:spacing w:after="0"/>
      </w:pPr>
    </w:p>
    <w:tbl>
      <w:tblPr>
        <w:tblW w:type="dxa" w:w="9184"/>
        <w:jc w:val="left"/>
        <w:tblLayout w:type="fixed"/>
        <w:tblLook w:firstColumn="1" w:firstRow="1" w:lastColumn="0" w:lastRow="0" w:noHBand="0" w:noVBand="1" w:val="04A0"/>
        <w:tblInd w:w="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184"/>
      </w:tblGrid>
      <w:tr>
        <w:trPr>
          <w:cantSplit/>
        </w:trPr>
        <w:tc>
          <w:tcPr>
            <w:tcW w:type="dxa" w:w="9184"/>
            <w:tcMar>
              <w:top w:w="100" w:type="dxa"/>
              <w:start w:w="120" w:type="dxa"/>
              <w:bottom w:w="100" w:type="dxa"/>
              <w:end w:w="120" w:type="dxa"/>
            </w:tcMar>
            <w:vAlign w:val="center"/>
            <w:shd w:fill="EEF5FA" w:val="clear"/>
          </w:tcPr>
          <w:p>
            <w:pPr>
              <w:spacing w:after="60"/>
            </w:pPr>
            <w:r/>
            <w:r>
              <w:rPr>
                <w:rFonts w:ascii="Calibri" w:hAnsi="Calibri" w:eastAsia="微软雅黑" w:cs="Calibri"/>
                <w:b/>
                <w:color w:val="1F4E78"/>
                <w:sz w:val="21"/>
              </w:rPr>
              <w:t>重要签署提示（请双方特别阅读并单独确认）</w:t>
            </w:r>
          </w:p>
          <w:p>
            <w:pPr>
              <w:spacing w:before="0" w:after="0" w:line="288" w:lineRule="auto"/>
            </w:pPr>
            <w:r>
              <w:rPr>
                <w:rFonts w:ascii="Calibri" w:hAnsi="Calibri" w:eastAsia="宋体" w:cs="Calibri"/>
                <w:b w:val="0"/>
                <w:color w:val="1F2937"/>
                <w:sz w:val="19"/>
              </w:rPr>
              <w:t>本协议仅面向具有完全民事行为能力的经营主体之间的软件商业许可，不面向以生活消费为目的的自然人。方括号、横线和勾选项均须在签署前填写；未填写、未勾选或含义不明的事项不视为授权。授权边界、禁止事项、软件现状、责任限制、终止、争议管辖等条款与双方有重大利害关系，双方应充分协商，不得仅依赖口头承诺、聊天记录或付款凭证扩大授权。</w:t>
            </w:r>
          </w:p>
        </w:tc>
      </w:tr>
    </w:tbl>
    <w:p>
      <w:pPr>
        <w:spacing w:after="0"/>
      </w:pPr>
    </w:p>
    <w:tbl>
      <w:tblPr>
        <w:tblW w:type="dxa" w:w="9184"/>
        <w:jc w:val="left"/>
        <w:tblLayout w:type="fixed"/>
        <w:tblLook w:firstColumn="1" w:firstRow="1" w:lastColumn="0" w:lastRow="0" w:noHBand="0" w:noVBand="1" w:val="04A0"/>
        <w:tblInd w:w="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9184"/>
      </w:tblGrid>
      <w:tr>
        <w:trPr>
          <w:cantSplit/>
        </w:trPr>
        <w:tc>
          <w:tcPr>
            <w:tcW w:type="dxa" w:w="9184"/>
            <w:tcMar>
              <w:top w:w="100" w:type="dxa"/>
              <w:start w:w="120" w:type="dxa"/>
              <w:bottom w:w="100" w:type="dxa"/>
              <w:end w:w="120" w:type="dxa"/>
            </w:tcMar>
            <w:vAlign w:val="center"/>
            <w:shd w:fill="FFF4CE" w:val="clear"/>
          </w:tcPr>
          <w:p>
            <w:pPr>
              <w:spacing w:after="60"/>
            </w:pPr>
            <w:r/>
            <w:r>
              <w:rPr>
                <w:rFonts w:ascii="Calibri" w:hAnsi="Calibri" w:eastAsia="微软雅黑" w:cs="Calibri"/>
                <w:b/>
                <w:color w:val="8A5B00"/>
                <w:sz w:val="21"/>
              </w:rPr>
              <w:t>软件著作权登记状态</w:t>
            </w:r>
          </w:p>
          <w:p>
            <w:pPr>
              <w:spacing w:before="0" w:after="0" w:line="288" w:lineRule="auto"/>
            </w:pPr>
            <w:r>
              <w:rPr>
                <w:rFonts w:ascii="Calibri" w:hAnsi="Calibri" w:eastAsia="宋体" w:cs="Calibri"/>
                <w:b w:val="0"/>
                <w:color w:val="1F2937"/>
                <w:sz w:val="19"/>
              </w:rPr>
              <w:t>截至本协议签署日，VOZEB-PRO 尚未办理软件著作权登记。乙方确认在签署前已经知悉：软件著作权依法可自软件开发完成之日起产生，登记证明属于登记事项的初步证明；甲方不以不存在的登记证书、登记号或“已登记”状态作出陈述，软件著作权登记证书也不属于默认交付物。甲方能否授权仍以其真实权利来源、开发记录、贡献许可和第三方许可证为准。</w:t>
            </w:r>
          </w:p>
        </w:tc>
      </w:tr>
    </w:tbl>
    <w:p>
      <w:pPr>
        <w:spacing w:after="0"/>
      </w:pPr>
    </w:p>
    <w:p>
      <w:pPr>
        <w:pStyle w:val="Heading1"/>
      </w:pPr>
      <w:r>
        <w:rPr>
          <w:rFonts w:ascii="Calibri" w:hAnsi="Calibri" w:eastAsia="微软雅黑" w:cs="Calibri"/>
          <w:b/>
          <w:color w:val="1F4E78"/>
          <w:sz w:val="26"/>
        </w:rPr>
        <w:t>第一条 合同主体与签署前提</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3542"/>
        <w:gridCol w:w="3542"/>
      </w:tblGrid>
      <w:tr>
        <w:trPr>
          <w:cantSplit/>
        </w:trPr>
        <w:tc>
          <w:tcPr>
            <w:tcW w:type="dxa" w:w="2100"/>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主体信息</w:t>
            </w:r>
          </w:p>
        </w:tc>
        <w:tc>
          <w:tcPr>
            <w:tcW w:type="dxa" w:w="354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授权方（甲方）</w:t>
            </w:r>
          </w:p>
        </w:tc>
        <w:tc>
          <w:tcPr>
            <w:tcW w:type="dxa" w:w="354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被授权方（乙方）</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法定全称</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[甲方真实姓名/企业完整名称]</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[乙方企业完整名称]</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统一社会信用代码/证件号</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住所/注册地址</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有权代表</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联系人及电话</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通知邮箱</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bl>
    <w:p>
      <w:pPr>
        <w:spacing w:after="0"/>
      </w:pPr>
    </w:p>
    <w:p>
      <w:pPr>
        <w:pStyle w:val="ContractBody"/>
      </w:pPr>
      <w:r>
        <w:rPr>
          <w:rFonts w:ascii="Calibri" w:hAnsi="Calibri" w:eastAsia="宋体" w:cs="Calibri"/>
          <w:b w:val="0"/>
          <w:color w:val="1F2937"/>
          <w:sz w:val="21"/>
        </w:rPr>
        <w:t>“VOZEB”“VOZEB PRO”是项目或品牌识别名称，不替代甲方真实法定主体。甲方栏未填写真实姓名或企业完整名称、证件信息及有效送达地址的，本协议不得作为已完成签署的授权文件使用。双方声明签署人已取得必要授权，所填信息真实、准确、完整。</w:t>
      </w:r>
    </w:p>
    <w:p>
      <w:pPr>
        <w:pStyle w:val="Heading1"/>
      </w:pPr>
      <w:r>
        <w:rPr>
          <w:rFonts w:ascii="Calibri" w:hAnsi="Calibri" w:eastAsia="微软雅黑" w:cs="Calibri"/>
          <w:b/>
          <w:color w:val="1F4E78"/>
          <w:sz w:val="26"/>
        </w:rPr>
        <w:t>第二条 定义与授权模型</w:t>
      </w:r>
    </w:p>
    <w:p>
      <w:pPr>
        <w:numPr>
          <w:ilvl w:val="0"/>
          <w:numId w:val="10"/>
        </w:numPr>
        <w:pStyle w:val="ContractClause"/>
      </w:pPr>
      <w:r>
        <w:rPr>
          <w:rFonts w:ascii="Calibri" w:hAnsi="Calibri" w:eastAsia="宋体" w:cs="Calibri"/>
          <w:b/>
          <w:color w:val="1F2937"/>
          <w:sz w:val="21"/>
        </w:rPr>
        <w:t>“OEM 产品”</w:t>
      </w:r>
      <w:r>
        <w:rPr>
          <w:rFonts w:ascii="Calibri" w:hAnsi="Calibri" w:eastAsia="宋体" w:cs="Calibri"/>
          <w:b w:val="0"/>
          <w:color w:val="1F2937"/>
          <w:sz w:val="21"/>
        </w:rPr>
        <w:t>指乙方将授权软件集成、修改并以乙方或经批准品牌对外提供的产品，仅限授权订单列明的名称、品牌、业务形态和版本。</w:t>
      </w:r>
    </w:p>
    <w:p>
      <w:pPr>
        <w:numPr>
          <w:ilvl w:val="0"/>
          <w:numId w:val="10"/>
        </w:numPr>
        <w:pStyle w:val="ContractClause"/>
      </w:pPr>
      <w:r>
        <w:rPr>
          <w:rFonts w:ascii="Calibri" w:hAnsi="Calibri" w:eastAsia="宋体" w:cs="Calibri"/>
          <w:b/>
          <w:color w:val="1F2937"/>
          <w:sz w:val="21"/>
        </w:rPr>
        <w:t>“授权客户”</w:t>
      </w:r>
      <w:r>
        <w:rPr>
          <w:rFonts w:ascii="Calibri" w:hAnsi="Calibri" w:eastAsia="宋体" w:cs="Calibri"/>
          <w:b w:val="0"/>
          <w:color w:val="1F2937"/>
          <w:sz w:val="21"/>
        </w:rPr>
        <w:t>指附件二逐一列明或在订单数量上限内、经甲方书面确认可接收 OEM 产品的最终客户。乙方的潜在客户、关联方和渠道商不当然属于授权客户。</w:t>
      </w:r>
    </w:p>
    <w:p>
      <w:pPr>
        <w:numPr>
          <w:ilvl w:val="0"/>
          <w:numId w:val="10"/>
        </w:numPr>
        <w:pStyle w:val="ContractClause"/>
      </w:pPr>
      <w:r>
        <w:rPr>
          <w:rFonts w:ascii="Calibri" w:hAnsi="Calibri" w:eastAsia="宋体" w:cs="Calibri"/>
          <w:b/>
          <w:color w:val="1F2937"/>
          <w:sz w:val="21"/>
        </w:rPr>
        <w:t>“下游使用许可”</w:t>
      </w:r>
      <w:r>
        <w:rPr>
          <w:rFonts w:ascii="Calibri" w:hAnsi="Calibri" w:eastAsia="宋体" w:cs="Calibri"/>
          <w:b w:val="0"/>
          <w:color w:val="1F2937"/>
          <w:sz w:val="21"/>
        </w:rPr>
        <w:t>指乙方仅为让授权客户运行已获准 OEM 产品而授予的必要、受限、不可转让、不可再许可的目标代码使用权；不等于乙方有权转让甲方软件著作权或开放式转授权。</w:t>
      </w:r>
    </w:p>
    <w:p>
      <w:pPr>
        <w:numPr>
          <w:ilvl w:val="0"/>
          <w:numId w:val="10"/>
        </w:numPr>
        <w:pStyle w:val="ContractClause"/>
      </w:pPr>
      <w:r>
        <w:rPr>
          <w:rFonts w:ascii="Calibri" w:hAnsi="Calibri" w:eastAsia="宋体" w:cs="Calibri"/>
          <w:b/>
          <w:color w:val="1F2937"/>
          <w:sz w:val="21"/>
        </w:rPr>
        <w:t>“私有化交付”</w:t>
      </w:r>
      <w:r>
        <w:rPr>
          <w:rFonts w:ascii="Calibri" w:hAnsi="Calibri" w:eastAsia="宋体" w:cs="Calibri"/>
          <w:b w:val="0"/>
          <w:color w:val="1F2937"/>
          <w:sz w:val="21"/>
        </w:rPr>
        <w:t>指将 OEM 产品部署到授权客户拥有或控制的环境。是否允许私有化交付、客户数量和实例范围必须在授权订单中明确勾选。</w:t>
      </w:r>
    </w:p>
    <w:p>
      <w:pPr>
        <w:numPr>
          <w:ilvl w:val="0"/>
          <w:numId w:val="10"/>
        </w:numPr>
        <w:pStyle w:val="ContractClause"/>
      </w:pPr>
      <w:r>
        <w:rPr>
          <w:rFonts w:ascii="Calibri" w:hAnsi="Calibri" w:eastAsia="宋体" w:cs="Calibri"/>
          <w:b/>
          <w:color w:val="1F2937"/>
          <w:sz w:val="21"/>
        </w:rPr>
        <w:t>“源码交付”</w:t>
      </w:r>
      <w:r>
        <w:rPr>
          <w:rFonts w:ascii="Calibri" w:hAnsi="Calibri" w:eastAsia="宋体" w:cs="Calibri"/>
          <w:b w:val="0"/>
          <w:color w:val="1F2937"/>
          <w:sz w:val="21"/>
        </w:rPr>
        <w:t>指向乙方或下游提供可读源代码、私有仓库权限或足以重建软件的材料。除附件明确逐项授权外，本协议默认仅允许乙方为开发 OEM 产品内部接触必要源码，禁止向下游交付源码。</w:t>
      </w:r>
    </w:p>
    <w:p>
      <w:pPr>
        <w:numPr>
          <w:ilvl w:val="0"/>
          <w:numId w:val="10"/>
        </w:numPr>
        <w:pStyle w:val="ContractClause"/>
      </w:pPr>
      <w:r>
        <w:rPr>
          <w:rFonts w:ascii="Calibri" w:hAnsi="Calibri" w:eastAsia="宋体" w:cs="Calibri"/>
          <w:b/>
          <w:color w:val="1F2937"/>
          <w:sz w:val="21"/>
        </w:rPr>
        <w:t>“授权版本”</w:t>
      </w:r>
      <w:r>
        <w:rPr>
          <w:rFonts w:ascii="Calibri" w:hAnsi="Calibri" w:eastAsia="宋体" w:cs="Calibri"/>
          <w:b w:val="0"/>
          <w:color w:val="1F2937"/>
          <w:sz w:val="21"/>
        </w:rPr>
        <w:t>指附件一以版本号、Git 标签、提交哈希或制品校验值唯一确定的版本；后续版本不自动纳入。</w:t>
      </w:r>
    </w:p>
    <w:p>
      <w:pPr>
        <w:pStyle w:val="ContractBody"/>
      </w:pPr>
      <w:r>
        <w:rPr>
          <w:rFonts w:ascii="Calibri" w:hAnsi="Calibri" w:eastAsia="宋体" w:cs="Calibri"/>
          <w:b w:val="0"/>
          <w:color w:val="1F2937"/>
          <w:sz w:val="21"/>
        </w:rPr>
        <w:t>文件效力顺序为：双方后签署并明确变更前文的补充协议或订单、授权书、本协议正文及附件、仓库商业授权说明、公开 LICENSE。第三方组件及服务始终适用各自条款。任何口头承诺或普通聊天不得扩大客户数、交付方式、源码范围或转授权范围。</w:t>
      </w:r>
    </w:p>
    <w:p>
      <w:pPr>
        <w:pStyle w:val="Heading1"/>
      </w:pPr>
      <w:r>
        <w:rPr>
          <w:rFonts w:ascii="Calibri" w:hAnsi="Calibri" w:eastAsia="微软雅黑" w:cs="Calibri"/>
          <w:b/>
          <w:color w:val="1F4E78"/>
          <w:sz w:val="26"/>
        </w:rPr>
        <w:t>第三条 OEM 授权订单（必须逐项填写或勾选）</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被授权主体</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[乙方完整法定名称]</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OEM 产品/品牌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[填写；未列明品牌不得使用]</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授权版本</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[版本号 + Git 标签/提交哈希/制品 SHA-256]</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授权地域</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[中国大陆 / 全球 / 其他：填写]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授权期限</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[起始日] 至 [终止日] / 永久但仅限列明版本（由双方明确勾选）</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允许商业形态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 乙方托管 SaaS　□ 授权客户私有化部署　□ 目标代码交付　□ 其他：[填写]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授权客户数量</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最多 [____] 个独立法律主体；或仅限附件二已列明客户</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每客户实例/环境</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[生产、灾备、测试实例上限或“不限实例但仅供该客户内部使用”]</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下游源码交付</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默认禁止；如允许，须填写客户、范围、保密措施和单独费用：[填写/不适用]</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渠道/分销商</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默认禁止；经批准渠道商名单及权限：[填写/不适用]</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授权费（留空待签署）</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人民币（大写）：________________；￥：________________（含税/不含税：[填写]）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付款与发票</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[付款节点、收款账户、发票类型、税费承担]</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客户增购机制</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新增客户、品牌、产品、地域或源码交付前必须签署增购订单并完成付款</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服务与 SLA</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默认无；乙方向下游承担的任何支持、交付或 SLA 不约束甲方，除非甲方另行签署</w:t>
            </w:r>
          </w:p>
        </w:tc>
      </w:tr>
    </w:tbl>
    <w:p>
      <w:pPr>
        <w:spacing w:after="0"/>
      </w:pPr>
    </w:p>
    <w:p>
      <w:pPr>
        <w:pStyle w:val="Heading1"/>
      </w:pPr>
      <w:r>
        <w:rPr>
          <w:rFonts w:ascii="Calibri" w:hAnsi="Calibri" w:eastAsia="微软雅黑" w:cs="Calibri"/>
          <w:b/>
          <w:color w:val="1F4E78"/>
          <w:sz w:val="26"/>
        </w:rPr>
        <w:t>第四条 OEM 商业许可授予</w:t>
      </w:r>
    </w:p>
    <w:p>
      <w:pPr>
        <w:numPr>
          <w:ilvl w:val="0"/>
          <w:numId w:val="11"/>
        </w:numPr>
        <w:pStyle w:val="ContractClause"/>
      </w:pPr>
      <w:r>
        <w:rPr>
          <w:rFonts w:ascii="Calibri" w:hAnsi="Calibri" w:eastAsia="宋体" w:cs="Calibri"/>
          <w:b w:val="0"/>
          <w:color w:val="1F2937"/>
          <w:sz w:val="21"/>
        </w:rPr>
        <w:t>在生效条件满足后，甲方授予乙方一项非独占、不可转让、仅可按本协议向授权客户授予有限下游使用许可的 OEM 商业许可。</w:t>
      </w:r>
    </w:p>
    <w:p>
      <w:pPr>
        <w:numPr>
          <w:ilvl w:val="0"/>
          <w:numId w:val="11"/>
        </w:numPr>
        <w:pStyle w:val="ContractClause"/>
      </w:pPr>
      <w:r>
        <w:rPr>
          <w:rFonts w:ascii="Calibri" w:hAnsi="Calibri" w:eastAsia="宋体" w:cs="Calibri"/>
          <w:b w:val="0"/>
          <w:color w:val="1F2937"/>
          <w:sz w:val="21"/>
        </w:rPr>
        <w:t>乙方可为开发 OEM 产品，在内部复制、安装、运行和修改授权版本，并在批准范围内替换面向最终用户的产品名称、Logo、主题和界面品牌。</w:t>
      </w:r>
    </w:p>
    <w:p>
      <w:pPr>
        <w:numPr>
          <w:ilvl w:val="0"/>
          <w:numId w:val="11"/>
        </w:numPr>
        <w:pStyle w:val="ContractClause"/>
      </w:pPr>
      <w:r>
        <w:rPr>
          <w:rFonts w:ascii="Calibri" w:hAnsi="Calibri" w:eastAsia="宋体" w:cs="Calibri"/>
          <w:b w:val="0"/>
          <w:color w:val="1F2937"/>
          <w:sz w:val="21"/>
        </w:rPr>
        <w:t>乙方可按订单勾选的商业形态，以目标代码、托管服务或授权客户私有化部署方式交付 OEM 产品，并向授权客户收取费用。</w:t>
      </w:r>
    </w:p>
    <w:p>
      <w:pPr>
        <w:numPr>
          <w:ilvl w:val="0"/>
          <w:numId w:val="11"/>
        </w:numPr>
        <w:pStyle w:val="ContractClause"/>
      </w:pPr>
      <w:r>
        <w:rPr>
          <w:rFonts w:ascii="Calibri" w:hAnsi="Calibri" w:eastAsia="宋体" w:cs="Calibri"/>
          <w:b w:val="0"/>
          <w:color w:val="1F2937"/>
          <w:sz w:val="21"/>
        </w:rPr>
        <w:t>乙方可将其合法 OEM 修改保持闭源，无须仅因本商业许可向甲方公开；但不得以此对抗甲方及其他权利人对原有代码、第三方组件和公共版本的权利。</w:t>
      </w:r>
    </w:p>
    <w:p>
      <w:pPr>
        <w:numPr>
          <w:ilvl w:val="0"/>
          <w:numId w:val="11"/>
        </w:numPr>
        <w:pStyle w:val="ContractClause"/>
      </w:pPr>
      <w:r>
        <w:rPr>
          <w:rFonts w:ascii="Calibri" w:hAnsi="Calibri" w:eastAsia="宋体" w:cs="Calibri"/>
          <w:b w:val="0"/>
          <w:color w:val="1F2937"/>
          <w:sz w:val="21"/>
        </w:rPr>
        <w:t>乙方仅可让其员工和受书面保密、最小权限、用途及删除义务约束的承包商接触必要源码；相关人员行为视为乙方行为。</w:t>
      </w:r>
    </w:p>
    <w:p>
      <w:pPr>
        <w:numPr>
          <w:ilvl w:val="0"/>
          <w:numId w:val="11"/>
        </w:numPr>
        <w:pStyle w:val="ContractClause"/>
      </w:pPr>
      <w:r>
        <w:rPr>
          <w:rFonts w:ascii="Calibri" w:hAnsi="Calibri" w:eastAsia="宋体" w:cs="Calibri"/>
          <w:b w:val="0"/>
          <w:color w:val="1F2937"/>
          <w:sz w:val="21"/>
        </w:rPr>
        <w:t>本条未明确授予的发行、出租、信息网络传播、改编、再许可、源码交付、商标使用或其他权利均不授予。</w:t>
      </w:r>
    </w:p>
    <w:p>
      <w:pPr>
        <w:pStyle w:val="Heading1"/>
      </w:pPr>
      <w:r>
        <w:rPr>
          <w:rFonts w:ascii="Calibri" w:hAnsi="Calibri" w:eastAsia="微软雅黑" w:cs="Calibri"/>
          <w:b/>
          <w:color w:val="1F4E78"/>
          <w:sz w:val="26"/>
        </w:rPr>
        <w:t>第五条 下游许可与客户合同</w:t>
      </w:r>
    </w:p>
    <w:tbl>
      <w:tblPr>
        <w:tblW w:type="dxa" w:w="9184"/>
        <w:jc w:val="left"/>
        <w:tblLayout w:type="fixed"/>
        <w:tblLook w:firstColumn="1" w:firstRow="1" w:lastColumn="0" w:lastRow="0" w:noHBand="0" w:noVBand="1" w:val="04A0"/>
        <w:tblInd w:w="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9184"/>
      </w:tblGrid>
      <w:tr>
        <w:trPr>
          <w:cantSplit/>
        </w:trPr>
        <w:tc>
          <w:tcPr>
            <w:tcW w:type="dxa" w:w="9184"/>
            <w:tcMar>
              <w:top w:w="100" w:type="dxa"/>
              <w:start w:w="120" w:type="dxa"/>
              <w:bottom w:w="100" w:type="dxa"/>
              <w:end w:w="120" w:type="dxa"/>
            </w:tcMar>
            <w:vAlign w:val="center"/>
            <w:shd w:fill="FFF4CE" w:val="clear"/>
          </w:tcPr>
          <w:p>
            <w:pPr>
              <w:spacing w:after="60"/>
            </w:pPr>
            <w:r/>
            <w:r>
              <w:rPr>
                <w:rFonts w:ascii="Calibri" w:hAnsi="Calibri" w:eastAsia="微软雅黑" w:cs="Calibri"/>
                <w:b/>
                <w:color w:val="8A5B00"/>
                <w:sz w:val="21"/>
              </w:rPr>
              <w:t>OEM 的核心合规要求</w:t>
            </w:r>
          </w:p>
          <w:p>
            <w:pPr>
              <w:spacing w:before="0" w:after="0" w:line="288" w:lineRule="auto"/>
            </w:pPr>
            <w:r>
              <w:rPr>
                <w:rFonts w:ascii="Calibri" w:hAnsi="Calibri" w:eastAsia="宋体" w:cs="Calibri"/>
                <w:b w:val="0"/>
                <w:color w:val="1F2937"/>
                <w:sz w:val="19"/>
              </w:rPr>
              <w:t>乙方不是甲方的开放式授权经销商。乙方只能向授权客户授予运行已批准 OEM 产品所必需的有限使用权，并必须以书面下游协议落实不得转售、再许可、提取源码、移除第三方声明或违法使用等最低限制。</w:t>
            </w:r>
          </w:p>
        </w:tc>
      </w:tr>
    </w:tbl>
    <w:p>
      <w:pPr>
        <w:spacing w:after="0"/>
      </w:pPr>
    </w:p>
    <w:p>
      <w:pPr>
        <w:numPr>
          <w:ilvl w:val="0"/>
          <w:numId w:val="12"/>
        </w:numPr>
        <w:pStyle w:val="ContractClause"/>
      </w:pPr>
      <w:r>
        <w:rPr>
          <w:rFonts w:ascii="Calibri" w:hAnsi="Calibri" w:eastAsia="宋体" w:cs="Calibri"/>
          <w:b w:val="0"/>
          <w:color w:val="1F2937"/>
          <w:sz w:val="21"/>
        </w:rPr>
        <w:t>乙方应在授权客户获得系统访问、制品或部署前，与其签署可执行的下游许可或服务协议，并至少包含附件三规定的最低条款。</w:t>
      </w:r>
    </w:p>
    <w:p>
      <w:pPr>
        <w:numPr>
          <w:ilvl w:val="0"/>
          <w:numId w:val="12"/>
        </w:numPr>
        <w:pStyle w:val="ContractClause"/>
      </w:pPr>
      <w:r>
        <w:rPr>
          <w:rFonts w:ascii="Calibri" w:hAnsi="Calibri" w:eastAsia="宋体" w:cs="Calibri"/>
          <w:b w:val="0"/>
          <w:color w:val="1F2937"/>
          <w:sz w:val="21"/>
        </w:rPr>
        <w:t>下游许可只能覆盖该授权客户及其获准环境，不得允许客户向关联方、客户、供应商或公众再许可、转售、出租、复制部署或提供独立服务。</w:t>
      </w:r>
    </w:p>
    <w:p>
      <w:pPr>
        <w:numPr>
          <w:ilvl w:val="0"/>
          <w:numId w:val="12"/>
        </w:numPr>
        <w:pStyle w:val="ContractClause"/>
      </w:pPr>
      <w:r>
        <w:rPr>
          <w:rFonts w:ascii="Calibri" w:hAnsi="Calibri" w:eastAsia="宋体" w:cs="Calibri"/>
          <w:b w:val="0"/>
          <w:color w:val="1F2937"/>
          <w:sz w:val="21"/>
        </w:rPr>
        <w:t>未经甲方逐项书面同意，乙方不得向下游披露或交付源代码、私有仓库、构建脚本、签名密钥、许可证生成能力或足以绕过授权控制的材料。</w:t>
      </w:r>
    </w:p>
    <w:p>
      <w:pPr>
        <w:numPr>
          <w:ilvl w:val="0"/>
          <w:numId w:val="12"/>
        </w:numPr>
        <w:pStyle w:val="ContractClause"/>
      </w:pPr>
      <w:r>
        <w:rPr>
          <w:rFonts w:ascii="Calibri" w:hAnsi="Calibri" w:eastAsia="宋体" w:cs="Calibri"/>
          <w:b w:val="0"/>
          <w:color w:val="1F2937"/>
          <w:sz w:val="21"/>
        </w:rPr>
        <w:t>乙方不得向授权客户承诺甲方直接提供支持、升级、漏洞修复、赔偿、SLA、数据托管或持续经营保障；任何乙方自行承诺由乙方独立承担。</w:t>
      </w:r>
    </w:p>
    <w:p>
      <w:pPr>
        <w:numPr>
          <w:ilvl w:val="0"/>
          <w:numId w:val="12"/>
        </w:numPr>
        <w:pStyle w:val="ContractClause"/>
      </w:pPr>
      <w:r>
        <w:rPr>
          <w:rFonts w:ascii="Calibri" w:hAnsi="Calibri" w:eastAsia="宋体" w:cs="Calibri"/>
          <w:b w:val="0"/>
          <w:color w:val="1F2937"/>
          <w:sz w:val="21"/>
        </w:rPr>
        <w:t>乙方应保存授权客户合同、主体信息、交付时间、版本、部署范围和终止记录，在不泄露无关商业秘密的前提下用于授权核验。</w:t>
      </w:r>
    </w:p>
    <w:p>
      <w:pPr>
        <w:numPr>
          <w:ilvl w:val="0"/>
          <w:numId w:val="12"/>
        </w:numPr>
        <w:pStyle w:val="ContractClause"/>
      </w:pPr>
      <w:r>
        <w:rPr>
          <w:rFonts w:ascii="Calibri" w:hAnsi="Calibri" w:eastAsia="宋体" w:cs="Calibri"/>
          <w:b w:val="0"/>
          <w:color w:val="1F2937"/>
          <w:sz w:val="21"/>
        </w:rPr>
        <w:t>授权客户违反下游限制时，乙方应及时制止、暂停相关使用并采取合理追责措施；乙方明知或应知而放任的，视为乙方违约。</w:t>
      </w:r>
    </w:p>
    <w:p>
      <w:pPr>
        <w:pStyle w:val="Heading1"/>
      </w:pPr>
      <w:r>
        <w:rPr>
          <w:rFonts w:ascii="Calibri" w:hAnsi="Calibri" w:eastAsia="微软雅黑" w:cs="Calibri"/>
          <w:b/>
          <w:color w:val="1F4E78"/>
          <w:sz w:val="26"/>
        </w:rPr>
        <w:t>第六条 客户、实例、品牌和渠道边界</w:t>
      </w:r>
    </w:p>
    <w:p>
      <w:pPr>
        <w:numPr>
          <w:ilvl w:val="0"/>
          <w:numId w:val="13"/>
        </w:numPr>
        <w:pStyle w:val="ContractClause"/>
      </w:pPr>
      <w:r>
        <w:rPr>
          <w:rFonts w:ascii="Calibri" w:hAnsi="Calibri" w:eastAsia="宋体" w:cs="Calibri"/>
          <w:b w:val="0"/>
          <w:color w:val="1F2937"/>
          <w:sz w:val="21"/>
        </w:rPr>
        <w:t>每个独立法律主体原则上计为一个授权客户；集团内多个主体、品牌或面向不同客户的独立产品是否合并计算，必须在订单中明确。</w:t>
      </w:r>
    </w:p>
    <w:p>
      <w:pPr>
        <w:numPr>
          <w:ilvl w:val="0"/>
          <w:numId w:val="13"/>
        </w:numPr>
        <w:pStyle w:val="ContractClause"/>
      </w:pPr>
      <w:r>
        <w:rPr>
          <w:rFonts w:ascii="Calibri" w:hAnsi="Calibri" w:eastAsia="宋体" w:cs="Calibri"/>
          <w:b w:val="0"/>
          <w:color w:val="1F2937"/>
          <w:sz w:val="21"/>
        </w:rPr>
        <w:t>乙方不得通过多租户、共享账号、统一网关、镜像复制、关联方代持或其他方式规避客户数、产品数、实例数、地域或期限限制。</w:t>
      </w:r>
    </w:p>
    <w:p>
      <w:pPr>
        <w:numPr>
          <w:ilvl w:val="0"/>
          <w:numId w:val="13"/>
        </w:numPr>
        <w:pStyle w:val="ContractClause"/>
      </w:pPr>
      <w:r>
        <w:rPr>
          <w:rFonts w:ascii="Calibri" w:hAnsi="Calibri" w:eastAsia="宋体" w:cs="Calibri"/>
          <w:b w:val="0"/>
          <w:color w:val="1F2937"/>
          <w:sz w:val="21"/>
        </w:rPr>
        <w:t>渠道商只能在批准名单和权限内介绍或实施项目，不得自行签发授权、改变价格承诺、复制源码或授予客户权利；乙方对渠道商行为承担合同责任。</w:t>
      </w:r>
    </w:p>
    <w:p>
      <w:pPr>
        <w:numPr>
          <w:ilvl w:val="0"/>
          <w:numId w:val="13"/>
        </w:numPr>
        <w:pStyle w:val="ContractClause"/>
      </w:pPr>
      <w:r>
        <w:rPr>
          <w:rFonts w:ascii="Calibri" w:hAnsi="Calibri" w:eastAsia="宋体" w:cs="Calibri"/>
          <w:b w:val="0"/>
          <w:color w:val="1F2937"/>
          <w:sz w:val="21"/>
        </w:rPr>
        <w:t>新增客户、品牌、产品、地域、部署类型或源码交付属于授权扩张，必须在发生前签署增购订单。邮件或 QQ 报备只有在甲方明确书面确认并完成约定付款后才生效。</w:t>
      </w:r>
    </w:p>
    <w:p>
      <w:pPr>
        <w:pStyle w:val="Heading1"/>
      </w:pPr>
      <w:r>
        <w:rPr>
          <w:rFonts w:ascii="Calibri" w:hAnsi="Calibri" w:eastAsia="微软雅黑" w:cs="Calibri"/>
          <w:b/>
          <w:color w:val="1F4E78"/>
          <w:sz w:val="26"/>
        </w:rPr>
        <w:t>第七条 品牌、署名与对外陈述</w:t>
      </w:r>
    </w:p>
    <w:p>
      <w:pPr>
        <w:numPr>
          <w:ilvl w:val="0"/>
          <w:numId w:val="14"/>
        </w:numPr>
        <w:pStyle w:val="ContractClause"/>
      </w:pPr>
      <w:r>
        <w:rPr>
          <w:rFonts w:ascii="Calibri" w:hAnsi="Calibri" w:eastAsia="宋体" w:cs="Calibri"/>
          <w:b w:val="0"/>
          <w:color w:val="1F2937"/>
          <w:sz w:val="21"/>
        </w:rPr>
        <w:t>在订单允许的白标范围内，乙方可在面向最终用户的 OEM 产品界面使用乙方或批准品牌；这不转让 VOZEB、VOZEB PRO 名称、Logo、域名或其他标识权益。</w:t>
      </w:r>
    </w:p>
    <w:p>
      <w:pPr>
        <w:numPr>
          <w:ilvl w:val="0"/>
          <w:numId w:val="14"/>
        </w:numPr>
        <w:pStyle w:val="ContractClause"/>
      </w:pPr>
      <w:r>
        <w:rPr>
          <w:rFonts w:ascii="Calibri" w:hAnsi="Calibri" w:eastAsia="宋体" w:cs="Calibri"/>
          <w:b w:val="0"/>
          <w:color w:val="1F2937"/>
          <w:sz w:val="21"/>
        </w:rPr>
        <w:t>未经甲方单独书面同意，乙方不得宣称是 VOZEB 官方、唯一合作方、总代、技术服务商或商标被许可人，也不得注册近似域名、商标、账号或企业名称。</w:t>
      </w:r>
    </w:p>
    <w:p>
      <w:pPr>
        <w:numPr>
          <w:ilvl w:val="0"/>
          <w:numId w:val="14"/>
        </w:numPr>
        <w:pStyle w:val="ContractClause"/>
      </w:pPr>
      <w:r>
        <w:rPr>
          <w:rFonts w:ascii="Calibri" w:hAnsi="Calibri" w:eastAsia="宋体" w:cs="Calibri"/>
          <w:b w:val="0"/>
          <w:color w:val="1F2937"/>
          <w:sz w:val="21"/>
        </w:rPr>
        <w:t>乙方不得删除源代码和交付包中依法或第三方许可证要求保留的版权、许可证、NOTICE 和免责声明。允许隐藏前台品牌不等于允许删除法定或第三方通知。</w:t>
      </w:r>
    </w:p>
    <w:p>
      <w:pPr>
        <w:numPr>
          <w:ilvl w:val="0"/>
          <w:numId w:val="14"/>
        </w:numPr>
        <w:pStyle w:val="ContractClause"/>
      </w:pPr>
      <w:r>
        <w:rPr>
          <w:rFonts w:ascii="Calibri" w:hAnsi="Calibri" w:eastAsia="宋体" w:cs="Calibri"/>
          <w:b w:val="0"/>
          <w:color w:val="1F2937"/>
          <w:sz w:val="21"/>
        </w:rPr>
        <w:t>乙方对其产品名称、Logo、宣传文案、客户承诺和营销合规独立负责，确保不侵犯第三方权利或构成虚假、误导宣传。</w:t>
      </w:r>
    </w:p>
    <w:p>
      <w:pPr>
        <w:pStyle w:val="Heading1"/>
      </w:pPr>
      <w:r>
        <w:rPr>
          <w:rFonts w:ascii="Calibri" w:hAnsi="Calibri" w:eastAsia="微软雅黑" w:cs="Calibri"/>
          <w:b/>
          <w:color w:val="1F4E78"/>
          <w:sz w:val="26"/>
        </w:rPr>
        <w:t>第八条 权利来源、未登记事实与成果归属</w:t>
      </w:r>
    </w:p>
    <w:p>
      <w:pPr>
        <w:numPr>
          <w:ilvl w:val="0"/>
          <w:numId w:val="15"/>
        </w:numPr>
        <w:pStyle w:val="ContractClause"/>
      </w:pPr>
      <w:r>
        <w:rPr>
          <w:rFonts w:ascii="Calibri" w:hAnsi="Calibri" w:eastAsia="宋体" w:cs="Calibri"/>
          <w:b w:val="0"/>
          <w:color w:val="1F2937"/>
          <w:sz w:val="21"/>
        </w:rPr>
        <w:t>截至签署日，VOZEB-PRO 尚未办理软件著作权登记。乙方已知该事实，甲方不提供不存在的登记证书或登记号，也不以“已登记”作为缔约陈述。</w:t>
      </w:r>
    </w:p>
    <w:p>
      <w:pPr>
        <w:numPr>
          <w:ilvl w:val="0"/>
          <w:numId w:val="15"/>
        </w:numPr>
        <w:pStyle w:val="ContractClause"/>
      </w:pPr>
      <w:r>
        <w:rPr>
          <w:rFonts w:ascii="Calibri" w:hAnsi="Calibri" w:eastAsia="宋体" w:cs="Calibri"/>
          <w:b w:val="0"/>
          <w:color w:val="1F2937"/>
          <w:sz w:val="21"/>
        </w:rPr>
        <w:t>甲方仅就能证明系自行开发、依法承继或已依贡献协议及其他文件取得商业再许可权的部分授权。附件一的版本哈希、开发记录、贡献许可索引和第三方许可证清单用于证明和限定权利来源。</w:t>
      </w:r>
    </w:p>
    <w:p>
      <w:pPr>
        <w:numPr>
          <w:ilvl w:val="0"/>
          <w:numId w:val="15"/>
        </w:numPr>
        <w:pStyle w:val="ContractClause"/>
      </w:pPr>
      <w:r>
        <w:rPr>
          <w:rFonts w:ascii="Calibri" w:hAnsi="Calibri" w:eastAsia="宋体" w:cs="Calibri"/>
          <w:b w:val="0"/>
          <w:color w:val="1F2937"/>
          <w:sz w:val="21"/>
        </w:rPr>
        <w:t>甲方保留授权软件原有代码、文档和标识的相关权利；乙方保留其预先存在的知识产权、业务数据、品牌素材及不包含授权软件的独立代码。</w:t>
      </w:r>
    </w:p>
    <w:p>
      <w:pPr>
        <w:numPr>
          <w:ilvl w:val="0"/>
          <w:numId w:val="15"/>
        </w:numPr>
        <w:pStyle w:val="ContractClause"/>
      </w:pPr>
      <w:r>
        <w:rPr>
          <w:rFonts w:ascii="Calibri" w:hAnsi="Calibri" w:eastAsia="宋体" w:cs="Calibri"/>
          <w:b w:val="0"/>
          <w:color w:val="1F2937"/>
          <w:sz w:val="21"/>
        </w:rPr>
        <w:t>乙方对 OEM 修改中新创作且依法可独立享有权利的表达可保留相应权利，但不得据此限制甲方使用其原有代码，也不得超出本协议发行、转售或再许可包含授权软件的组合成果。</w:t>
      </w:r>
    </w:p>
    <w:p>
      <w:pPr>
        <w:numPr>
          <w:ilvl w:val="0"/>
          <w:numId w:val="15"/>
        </w:numPr>
        <w:pStyle w:val="ContractClause"/>
      </w:pPr>
      <w:r>
        <w:rPr>
          <w:rFonts w:ascii="Calibri" w:hAnsi="Calibri" w:eastAsia="宋体" w:cs="Calibri"/>
          <w:b w:val="0"/>
          <w:color w:val="1F2937"/>
          <w:sz w:val="21"/>
        </w:rPr>
        <w:t>除非另行签署贡献或委托开发文件，乙方没有义务将其闭源修改授权给甲方，甲方也不取得乙方客户数据或业务秘密。</w:t>
      </w:r>
    </w:p>
    <w:p>
      <w:pPr>
        <w:numPr>
          <w:ilvl w:val="0"/>
          <w:numId w:val="15"/>
        </w:numPr>
        <w:pStyle w:val="ContractClause"/>
      </w:pPr>
      <w:r>
        <w:rPr>
          <w:rFonts w:ascii="Calibri" w:hAnsi="Calibri" w:eastAsia="宋体" w:cs="Calibri"/>
          <w:b w:val="0"/>
          <w:color w:val="1F2937"/>
          <w:sz w:val="21"/>
        </w:rPr>
        <w:t>第三方组件、模型、字体、素材、数据集、插件和服务继续适用各自许可证与条款，双方均不得授予其无权授予的权利。</w:t>
      </w:r>
    </w:p>
    <w:p>
      <w:pPr>
        <w:pStyle w:val="Heading1"/>
      </w:pPr>
      <w:r>
        <w:rPr>
          <w:rFonts w:ascii="Calibri" w:hAnsi="Calibri" w:eastAsia="微软雅黑" w:cs="Calibri"/>
          <w:b/>
          <w:color w:val="1F4E78"/>
          <w:sz w:val="26"/>
        </w:rPr>
        <w:t>第九条 运营、数据、内容与行业合规</w:t>
      </w:r>
    </w:p>
    <w:p>
      <w:pPr>
        <w:numPr>
          <w:ilvl w:val="0"/>
          <w:numId w:val="16"/>
        </w:numPr>
        <w:pStyle w:val="ContractClause"/>
      </w:pPr>
      <w:r>
        <w:rPr>
          <w:rFonts w:ascii="Calibri" w:hAnsi="Calibri" w:eastAsia="宋体" w:cs="Calibri"/>
          <w:b w:val="0"/>
          <w:color w:val="1F2937"/>
          <w:sz w:val="21"/>
        </w:rPr>
        <w:t>乙方是 OEM 业务、渠道、交付和下游服务的直接责任主体，应依法取得经营、网站/应用、支付、内容、算法、网络、数据、税务和行业资质、备案、授权及同意。</w:t>
      </w:r>
    </w:p>
    <w:p>
      <w:pPr>
        <w:numPr>
          <w:ilvl w:val="0"/>
          <w:numId w:val="16"/>
        </w:numPr>
        <w:pStyle w:val="ContractClause"/>
      </w:pPr>
      <w:r>
        <w:rPr>
          <w:rFonts w:ascii="Calibri" w:hAnsi="Calibri" w:eastAsia="宋体" w:cs="Calibri"/>
          <w:b w:val="0"/>
          <w:color w:val="1F2937"/>
          <w:sz w:val="21"/>
        </w:rPr>
        <w:t>乙方应为授权客户提供合法、清晰的用户协议、隐私政策、数据处理说明和必要的内容治理措施，并对个人信息保护、数据安全、网络安全、未成年人保护、消费者权益和营销宣传负责。</w:t>
      </w:r>
    </w:p>
    <w:p>
      <w:pPr>
        <w:numPr>
          <w:ilvl w:val="0"/>
          <w:numId w:val="16"/>
        </w:numPr>
        <w:pStyle w:val="ContractClause"/>
      </w:pPr>
      <w:r>
        <w:rPr>
          <w:rFonts w:ascii="Calibri" w:hAnsi="Calibri" w:eastAsia="宋体" w:cs="Calibri"/>
          <w:b w:val="0"/>
          <w:color w:val="1F2937"/>
          <w:sz w:val="21"/>
        </w:rPr>
        <w:t>除甲方另签数据处理协议并实际受托处理数据外，甲方不因本 OEM 许可成为乙方或授权客户的个人信息受托处理者、共同处理者、数据托管方或面向最终用户的服务提供者。</w:t>
      </w:r>
    </w:p>
    <w:p>
      <w:pPr>
        <w:numPr>
          <w:ilvl w:val="0"/>
          <w:numId w:val="16"/>
        </w:numPr>
        <w:pStyle w:val="ContractClause"/>
      </w:pPr>
      <w:r>
        <w:rPr>
          <w:rFonts w:ascii="Calibri" w:hAnsi="Calibri" w:eastAsia="宋体" w:cs="Calibri"/>
          <w:b w:val="0"/>
          <w:color w:val="1F2937"/>
          <w:sz w:val="21"/>
        </w:rPr>
        <w:t>乙方应确保其输入、上传、生成、训练、发布和交付的代码、数据、图片、音视频、声音、肖像、商标和其他内容具有合法来源及必要权利，并落实模型提供商条款和显著标识等适用义务。</w:t>
      </w:r>
    </w:p>
    <w:p>
      <w:pPr>
        <w:numPr>
          <w:ilvl w:val="0"/>
          <w:numId w:val="16"/>
        </w:numPr>
        <w:pStyle w:val="ContractClause"/>
      </w:pPr>
      <w:r>
        <w:rPr>
          <w:rFonts w:ascii="Calibri" w:hAnsi="Calibri" w:eastAsia="宋体" w:cs="Calibri"/>
          <w:b w:val="0"/>
          <w:color w:val="1F2937"/>
          <w:sz w:val="21"/>
        </w:rPr>
        <w:t>乙方不得利用 OEM 产品从事违法活动；发生重大安全事件、监管调查或可能影响甲方权益的第三方主张时，应在法律允许范围内及时通知并采取止损措施。</w:t>
      </w:r>
    </w:p>
    <w:p>
      <w:pPr>
        <w:pStyle w:val="Heading1"/>
      </w:pPr>
      <w:r>
        <w:rPr>
          <w:rFonts w:ascii="Calibri" w:hAnsi="Calibri" w:eastAsia="微软雅黑" w:cs="Calibri"/>
          <w:b/>
          <w:color w:val="1F4E78"/>
          <w:sz w:val="26"/>
        </w:rPr>
        <w:t>第十条 源码、商业秘密与安全控制</w:t>
      </w:r>
    </w:p>
    <w:p>
      <w:pPr>
        <w:numPr>
          <w:ilvl w:val="0"/>
          <w:numId w:val="17"/>
        </w:numPr>
        <w:pStyle w:val="ContractClause"/>
      </w:pPr>
      <w:r>
        <w:rPr>
          <w:rFonts w:ascii="Calibri" w:hAnsi="Calibri" w:eastAsia="宋体" w:cs="Calibri"/>
          <w:b w:val="0"/>
          <w:color w:val="1F2937"/>
          <w:sz w:val="21"/>
        </w:rPr>
        <w:t>公开仓库中已合法公开的代码不属于保密信息，但公开可得不等于可以超出许可证商业使用。甲方未公开代码、乙方闭源修改、授权凭证、私有仓库、构建密钥、客户清单、价格和审计材料可构成保密信息。</w:t>
      </w:r>
    </w:p>
    <w:p>
      <w:pPr>
        <w:numPr>
          <w:ilvl w:val="0"/>
          <w:numId w:val="17"/>
        </w:numPr>
        <w:pStyle w:val="ContractClause"/>
      </w:pPr>
      <w:r>
        <w:rPr>
          <w:rFonts w:ascii="Calibri" w:hAnsi="Calibri" w:eastAsia="宋体" w:cs="Calibri"/>
          <w:b w:val="0"/>
          <w:color w:val="1F2937"/>
          <w:sz w:val="21"/>
        </w:rPr>
        <w:t>接收方仅为履行本协议使用保密信息，限制为确有必要人员访问，并采用访问控制、日志、加密、备份和离职/项目结束回收措施。</w:t>
      </w:r>
    </w:p>
    <w:p>
      <w:pPr>
        <w:numPr>
          <w:ilvl w:val="0"/>
          <w:numId w:val="17"/>
        </w:numPr>
        <w:pStyle w:val="ContractClause"/>
      </w:pPr>
      <w:r>
        <w:rPr>
          <w:rFonts w:ascii="Calibri" w:hAnsi="Calibri" w:eastAsia="宋体" w:cs="Calibri"/>
          <w:b w:val="0"/>
          <w:color w:val="1F2937"/>
          <w:sz w:val="21"/>
        </w:rPr>
        <w:t>乙方向承包商或授权客户提供任何受保护材料前，应确保其承担不低于本协议的保密、用途、不得复制、不得再披露和终止后删除义务。</w:t>
      </w:r>
    </w:p>
    <w:p>
      <w:pPr>
        <w:numPr>
          <w:ilvl w:val="0"/>
          <w:numId w:val="17"/>
        </w:numPr>
        <w:pStyle w:val="ContractClause"/>
      </w:pPr>
      <w:r>
        <w:rPr>
          <w:rFonts w:ascii="Calibri" w:hAnsi="Calibri" w:eastAsia="宋体" w:cs="Calibri"/>
          <w:b w:val="0"/>
          <w:color w:val="1F2937"/>
          <w:sz w:val="21"/>
        </w:rPr>
        <w:t>商业秘密保密义务持续至其依法不再构成商业秘密；其他保密信息保护期限为披露之日起 [____] 年。依法披露应尽量提前通知并限制范围。</w:t>
      </w:r>
    </w:p>
    <w:p>
      <w:pPr>
        <w:numPr>
          <w:ilvl w:val="0"/>
          <w:numId w:val="17"/>
        </w:numPr>
        <w:pStyle w:val="ContractClause"/>
      </w:pPr>
      <w:r>
        <w:rPr>
          <w:rFonts w:ascii="Calibri" w:hAnsi="Calibri" w:eastAsia="宋体" w:cs="Calibri"/>
          <w:b w:val="0"/>
          <w:color w:val="1F2937"/>
          <w:sz w:val="21"/>
        </w:rPr>
        <w:t>乙方不得移除许可校验、绕过授权计量、共享签名密钥、伪造授权文件或向下游提供生成无限授权的能力，但适用法律明确允许且不得以合同排除的行为除外。</w:t>
      </w:r>
    </w:p>
    <w:p>
      <w:pPr>
        <w:pStyle w:val="Heading1"/>
      </w:pPr>
      <w:r>
        <w:rPr>
          <w:rFonts w:ascii="Calibri" w:hAnsi="Calibri" w:eastAsia="微软雅黑" w:cs="Calibri"/>
          <w:b/>
          <w:color w:val="1F4E78"/>
          <w:sz w:val="26"/>
        </w:rPr>
        <w:t>第十一条 交付、验收与支持责任</w:t>
      </w:r>
    </w:p>
    <w:p>
      <w:pPr>
        <w:numPr>
          <w:ilvl w:val="0"/>
          <w:numId w:val="18"/>
        </w:numPr>
        <w:pStyle w:val="ContractClause"/>
      </w:pPr>
      <w:r>
        <w:rPr>
          <w:rFonts w:ascii="Calibri" w:hAnsi="Calibri" w:eastAsia="宋体" w:cs="Calibri"/>
          <w:b w:val="0"/>
          <w:color w:val="1F2937"/>
          <w:sz w:val="21"/>
        </w:rPr>
        <w:t>甲方按订单交付授权书、版本标识和列明材料；乙方负责 OEM 产品的集成、测试、部署、客户验收、培训、支持和运维，除非双方另签服务协议。</w:t>
      </w:r>
    </w:p>
    <w:p>
      <w:pPr>
        <w:numPr>
          <w:ilvl w:val="0"/>
          <w:numId w:val="18"/>
        </w:numPr>
        <w:pStyle w:val="ContractClause"/>
      </w:pPr>
      <w:r>
        <w:rPr>
          <w:rFonts w:ascii="Calibri" w:hAnsi="Calibri" w:eastAsia="宋体" w:cs="Calibri"/>
          <w:b w:val="0"/>
          <w:color w:val="1F2937"/>
          <w:sz w:val="21"/>
        </w:rPr>
        <w:t>乙方应在收到交付材料后 [____] 个工作日内核对主体、版本、哈希和材料完整性，并在自己的目标环境完成安全和业务测试。文书性错误应及时通知更正。</w:t>
      </w:r>
    </w:p>
    <w:p>
      <w:pPr>
        <w:numPr>
          <w:ilvl w:val="0"/>
          <w:numId w:val="18"/>
        </w:numPr>
        <w:pStyle w:val="ContractClause"/>
      </w:pPr>
      <w:r>
        <w:rPr>
          <w:rFonts w:ascii="Calibri" w:hAnsi="Calibri" w:eastAsia="宋体" w:cs="Calibri"/>
          <w:b w:val="0"/>
          <w:color w:val="1F2937"/>
          <w:sz w:val="21"/>
        </w:rPr>
        <w:t>授权费用不当然包含部署、定制、数据迁移、培训、技术支持、更新、漏洞修复、运维、托管、SLA、服务器、存储、模型 API 或乙方对客户承诺的任何服务。</w:t>
      </w:r>
    </w:p>
    <w:p>
      <w:pPr>
        <w:numPr>
          <w:ilvl w:val="0"/>
          <w:numId w:val="18"/>
        </w:numPr>
        <w:pStyle w:val="ContractClause"/>
      </w:pPr>
      <w:r>
        <w:rPr>
          <w:rFonts w:ascii="Calibri" w:hAnsi="Calibri" w:eastAsia="宋体" w:cs="Calibri"/>
          <w:b w:val="0"/>
          <w:color w:val="1F2937"/>
          <w:sz w:val="21"/>
        </w:rPr>
        <w:t>甲方对乙方客户没有直接合同义务。乙方不得以甲方名义签约、收款、承诺、开票或处理投诉；确需甲方直接承担义务的，必须由甲方与相关方另签文件。</w:t>
      </w:r>
    </w:p>
    <w:p>
      <w:pPr>
        <w:pStyle w:val="Heading1"/>
      </w:pPr>
      <w:r>
        <w:rPr>
          <w:rFonts w:ascii="Calibri" w:hAnsi="Calibri" w:eastAsia="微软雅黑" w:cs="Calibri"/>
          <w:b/>
          <w:color w:val="1F4E78"/>
          <w:sz w:val="26"/>
        </w:rPr>
        <w:t>第十二条 费用、税务与订单管理</w:t>
      </w:r>
    </w:p>
    <w:p>
      <w:pPr>
        <w:numPr>
          <w:ilvl w:val="0"/>
          <w:numId w:val="19"/>
        </w:numPr>
        <w:pStyle w:val="ContractClause"/>
      </w:pPr>
      <w:r>
        <w:rPr>
          <w:rFonts w:ascii="Calibri" w:hAnsi="Calibri" w:eastAsia="宋体" w:cs="Calibri"/>
          <w:b w:val="0"/>
          <w:color w:val="1F2937"/>
          <w:sz w:val="21"/>
        </w:rPr>
        <w:t>授权费、付款节点、收款账户、发票类型和税费承担以已签署订单为准；本模板不预填任何价格。未填写或未签署价格条款时，不因付款截图、口头报价或公开页面自动产生 OEM 权利。</w:t>
      </w:r>
    </w:p>
    <w:p>
      <w:pPr>
        <w:numPr>
          <w:ilvl w:val="0"/>
          <w:numId w:val="19"/>
        </w:numPr>
        <w:pStyle w:val="ContractClause"/>
      </w:pPr>
      <w:r>
        <w:rPr>
          <w:rFonts w:ascii="Calibri" w:hAnsi="Calibri" w:eastAsia="宋体" w:cs="Calibri"/>
          <w:b w:val="0"/>
          <w:color w:val="1F2937"/>
          <w:sz w:val="21"/>
        </w:rPr>
        <w:t>许可在双方签署且约定款项足额到账之较晚日生效。若双方确需无偿授权，必须在订单中明确写明零对价、授权原因和范围并单独盖章确认。</w:t>
      </w:r>
    </w:p>
    <w:p>
      <w:pPr>
        <w:numPr>
          <w:ilvl w:val="0"/>
          <w:numId w:val="19"/>
        </w:numPr>
        <w:pStyle w:val="ContractClause"/>
      </w:pPr>
      <w:r>
        <w:rPr>
          <w:rFonts w:ascii="Calibri" w:hAnsi="Calibri" w:eastAsia="宋体" w:cs="Calibri"/>
          <w:b w:val="0"/>
          <w:color w:val="1F2937"/>
          <w:sz w:val="21"/>
        </w:rPr>
        <w:t>乙方新增授权客户或扩大范围前，应完成增购订单和付款。甲方接受报备、技术沟通或客户信息，不等于默认批准扩张。</w:t>
      </w:r>
    </w:p>
    <w:p>
      <w:pPr>
        <w:numPr>
          <w:ilvl w:val="0"/>
          <w:numId w:val="19"/>
        </w:numPr>
        <w:pStyle w:val="ContractClause"/>
      </w:pPr>
      <w:r>
        <w:rPr>
          <w:rFonts w:ascii="Calibri" w:hAnsi="Calibri" w:eastAsia="宋体" w:cs="Calibri"/>
          <w:b w:val="0"/>
          <w:color w:val="1F2937"/>
          <w:sz w:val="21"/>
        </w:rPr>
        <w:t>乙方与客户之间的定价、收款、退款、发票、税务和坏账由乙方负责，与甲方授权费相互独立。</w:t>
      </w:r>
    </w:p>
    <w:p>
      <w:pPr>
        <w:pStyle w:val="Heading1"/>
      </w:pPr>
      <w:r>
        <w:rPr>
          <w:rFonts w:ascii="Calibri" w:hAnsi="Calibri" w:eastAsia="微软雅黑" w:cs="Calibri"/>
          <w:b/>
          <w:color w:val="1F4E78"/>
          <w:sz w:val="26"/>
        </w:rPr>
        <w:t>第十三条 双方陈述与知识产权主张处理</w:t>
      </w:r>
    </w:p>
    <w:p>
      <w:pPr>
        <w:numPr>
          <w:ilvl w:val="0"/>
          <w:numId w:val="20"/>
        </w:numPr>
        <w:pStyle w:val="ContractClause"/>
      </w:pPr>
      <w:r>
        <w:rPr>
          <w:rFonts w:ascii="Calibri" w:hAnsi="Calibri" w:eastAsia="宋体" w:cs="Calibri"/>
          <w:b w:val="0"/>
          <w:color w:val="1F2937"/>
          <w:sz w:val="21"/>
        </w:rPr>
        <w:t>双方保证有权签署并履行本协议，提供的主体、权属、客户、交付和付款信息真实，不以欺诈或重大遗漏促成交易。</w:t>
      </w:r>
    </w:p>
    <w:p>
      <w:pPr>
        <w:numPr>
          <w:ilvl w:val="0"/>
          <w:numId w:val="20"/>
        </w:numPr>
        <w:pStyle w:val="ContractClause"/>
      </w:pPr>
      <w:r>
        <w:rPr>
          <w:rFonts w:ascii="Calibri" w:hAnsi="Calibri" w:eastAsia="宋体" w:cs="Calibri"/>
          <w:b w:val="0"/>
          <w:color w:val="1F2937"/>
          <w:sz w:val="21"/>
        </w:rPr>
        <w:t>授权软件按“现状”和“现有可用”状态许可。除明确书面指标外，甲方不保证软件无错误、不中断、适合所有客户、持续兼容第三方服务或满足乙方对外承诺。</w:t>
      </w:r>
    </w:p>
    <w:p>
      <w:pPr>
        <w:numPr>
          <w:ilvl w:val="0"/>
          <w:numId w:val="20"/>
        </w:numPr>
        <w:pStyle w:val="ContractClause"/>
      </w:pPr>
      <w:r>
        <w:rPr>
          <w:rFonts w:ascii="Calibri" w:hAnsi="Calibri" w:eastAsia="宋体" w:cs="Calibri"/>
          <w:b w:val="0"/>
          <w:color w:val="1F2937"/>
          <w:sz w:val="21"/>
        </w:rPr>
        <w:t>如生效判决或仲裁裁决认定甲方授权的软件核心部分侵犯第三方权利并阻止 OEM 使用，甲方可选择取得继续使用权、替换或修改受影响部分，或终止受影响授权并按订单约定方式处理对应授权费。</w:t>
      </w:r>
    </w:p>
    <w:p>
      <w:pPr>
        <w:numPr>
          <w:ilvl w:val="0"/>
          <w:numId w:val="20"/>
        </w:numPr>
        <w:pStyle w:val="ContractClause"/>
      </w:pPr>
      <w:r>
        <w:rPr>
          <w:rFonts w:ascii="Calibri" w:hAnsi="Calibri" w:eastAsia="宋体" w:cs="Calibri"/>
          <w:b w:val="0"/>
          <w:color w:val="1F2937"/>
          <w:sz w:val="21"/>
        </w:rPr>
        <w:t>前款不适用于乙方修改、组合、客户内容、第三方组件、未按文档使用、超范围使用或继续使用已通知替代版本导致的主张。甲方欺诈、故意侵权和依法不得限制的责任不受限制。</w:t>
      </w:r>
    </w:p>
    <w:p>
      <w:pPr>
        <w:pStyle w:val="Heading1"/>
      </w:pPr>
      <w:r>
        <w:rPr>
          <w:rFonts w:ascii="Calibri" w:hAnsi="Calibri" w:eastAsia="微软雅黑" w:cs="Calibri"/>
          <w:b/>
          <w:color w:val="1F4E78"/>
          <w:sz w:val="26"/>
        </w:rPr>
        <w:t>第十四条 下游责任与相互赔偿</w:t>
      </w:r>
    </w:p>
    <w:p>
      <w:pPr>
        <w:numPr>
          <w:ilvl w:val="0"/>
          <w:numId w:val="21"/>
        </w:numPr>
        <w:pStyle w:val="ContractClause"/>
      </w:pPr>
      <w:r>
        <w:rPr>
          <w:rFonts w:ascii="Calibri" w:hAnsi="Calibri" w:eastAsia="宋体" w:cs="Calibri"/>
          <w:b w:val="0"/>
          <w:color w:val="1F2937"/>
          <w:sz w:val="21"/>
        </w:rPr>
        <w:t>乙方应处理其 OEM 产品、客户合同、部署、数据、内容、营销、支持、SLA、渠道和违法运营引发的第三方主张；如因此使甲方承担责任，乙方应赔偿依法确定且与其行为有因果关系的实际损失。</w:t>
      </w:r>
    </w:p>
    <w:p>
      <w:pPr>
        <w:numPr>
          <w:ilvl w:val="0"/>
          <w:numId w:val="21"/>
        </w:numPr>
        <w:pStyle w:val="ContractClause"/>
      </w:pPr>
      <w:r>
        <w:rPr>
          <w:rFonts w:ascii="Calibri" w:hAnsi="Calibri" w:eastAsia="宋体" w:cs="Calibri"/>
          <w:b w:val="0"/>
          <w:color w:val="1F2937"/>
          <w:sz w:val="21"/>
        </w:rPr>
        <w:t>因甲方无权授予其明确承诺有权授权的核心代码，且非因乙方原因导致第三方有效知识产权主张的，甲方按第十三条提供救济并承担其依法应承担的责任。</w:t>
      </w:r>
    </w:p>
    <w:p>
      <w:pPr>
        <w:numPr>
          <w:ilvl w:val="0"/>
          <w:numId w:val="21"/>
        </w:numPr>
        <w:pStyle w:val="ContractClause"/>
      </w:pPr>
      <w:r>
        <w:rPr>
          <w:rFonts w:ascii="Calibri" w:hAnsi="Calibri" w:eastAsia="宋体" w:cs="Calibri"/>
          <w:b w:val="0"/>
          <w:color w:val="1F2937"/>
          <w:sz w:val="21"/>
        </w:rPr>
        <w:t>被请求赔偿方应及时通知、保存证据并提供合理协助。承担赔偿义务方可在不损害对方合法权益的情况下主导抗辩或和解；和解不得未经对方书面同意承认其违法、处分其权利或增加非金钱义务。</w:t>
      </w:r>
    </w:p>
    <w:p>
      <w:pPr>
        <w:numPr>
          <w:ilvl w:val="0"/>
          <w:numId w:val="21"/>
        </w:numPr>
        <w:pStyle w:val="ContractClause"/>
      </w:pPr>
      <w:r>
        <w:rPr>
          <w:rFonts w:ascii="Calibri" w:hAnsi="Calibri" w:eastAsia="宋体" w:cs="Calibri"/>
          <w:b w:val="0"/>
          <w:color w:val="1F2937"/>
          <w:sz w:val="21"/>
        </w:rPr>
        <w:t>任何一方均应采取合理措施防止损失扩大；因未采取合理措施造成扩大的损失，不得要求对方赔偿。</w:t>
      </w:r>
    </w:p>
    <w:p>
      <w:pPr>
        <w:pStyle w:val="Heading1"/>
      </w:pPr>
      <w:r>
        <w:rPr>
          <w:rFonts w:ascii="Calibri" w:hAnsi="Calibri" w:eastAsia="微软雅黑" w:cs="Calibri"/>
          <w:b/>
          <w:color w:val="1F4E78"/>
          <w:sz w:val="26"/>
        </w:rPr>
        <w:t>第十五条 责任限制</w:t>
      </w:r>
    </w:p>
    <w:tbl>
      <w:tblPr>
        <w:tblW w:type="dxa" w:w="9184"/>
        <w:jc w:val="left"/>
        <w:tblLayout w:type="fixed"/>
        <w:tblLook w:firstColumn="1" w:firstRow="1" w:lastColumn="0" w:lastRow="0" w:noHBand="0" w:noVBand="1" w:val="04A0"/>
        <w:tblInd w:w="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9184"/>
      </w:tblGrid>
      <w:tr>
        <w:trPr>
          <w:cantSplit/>
        </w:trPr>
        <w:tc>
          <w:tcPr>
            <w:tcW w:type="dxa" w:w="9184"/>
            <w:tcMar>
              <w:top w:w="100" w:type="dxa"/>
              <w:start w:w="120" w:type="dxa"/>
              <w:bottom w:w="100" w:type="dxa"/>
              <w:end w:w="120" w:type="dxa"/>
            </w:tcMar>
            <w:vAlign w:val="center"/>
            <w:shd w:fill="FFF4CE" w:val="clear"/>
          </w:tcPr>
          <w:p>
            <w:pPr>
              <w:spacing w:after="60"/>
            </w:pPr>
            <w:r/>
            <w:r>
              <w:rPr>
                <w:rFonts w:ascii="Calibri" w:hAnsi="Calibri" w:eastAsia="微软雅黑" w:cs="Calibri"/>
                <w:b/>
                <w:color w:val="8A5B00"/>
                <w:sz w:val="21"/>
              </w:rPr>
              <w:t>责任限制属于重大利害条款</w:t>
            </w:r>
          </w:p>
          <w:p>
            <w:pPr>
              <w:spacing w:before="0" w:after="0" w:line="288" w:lineRule="auto"/>
            </w:pPr>
            <w:r>
              <w:rPr>
                <w:rFonts w:ascii="Calibri" w:hAnsi="Calibri" w:eastAsia="宋体" w:cs="Calibri"/>
                <w:b w:val="0"/>
                <w:color w:val="1F2937"/>
                <w:sz w:val="19"/>
              </w:rPr>
              <w:t>OEM 涉及第三方客户、数据和运营责任，双方应结合客户数量、合同金额、保险、部署形态和可预见风险协商责任上限。本条不限制依法不得限制的责任。</w:t>
            </w:r>
          </w:p>
        </w:tc>
      </w:tr>
    </w:tbl>
    <w:p>
      <w:pPr>
        <w:spacing w:after="0"/>
      </w:pPr>
    </w:p>
    <w:p>
      <w:pPr>
        <w:numPr>
          <w:ilvl w:val="0"/>
          <w:numId w:val="22"/>
        </w:numPr>
        <w:pStyle w:val="ContractClause"/>
      </w:pPr>
      <w:r>
        <w:rPr>
          <w:rFonts w:ascii="Calibri" w:hAnsi="Calibri" w:eastAsia="宋体" w:cs="Calibri"/>
          <w:b w:val="0"/>
          <w:color w:val="1F2937"/>
          <w:sz w:val="21"/>
        </w:rPr>
        <w:t>任何一方仅对与其违约有因果关系的实际、直接和可预见损失承担责任。合理且有凭证的律师费、保全费、公证费、鉴定费和调查费，可在法律支持范围内由责任方承担。</w:t>
      </w:r>
    </w:p>
    <w:p>
      <w:pPr>
        <w:numPr>
          <w:ilvl w:val="0"/>
          <w:numId w:val="22"/>
        </w:numPr>
        <w:pStyle w:val="ContractClause"/>
      </w:pPr>
      <w:r>
        <w:rPr>
          <w:rFonts w:ascii="Calibri" w:hAnsi="Calibri" w:eastAsia="宋体" w:cs="Calibri"/>
          <w:b w:val="0"/>
          <w:color w:val="1F2937"/>
          <w:sz w:val="21"/>
        </w:rPr>
        <w:t>在适用法律允许范围内，甲方对本协议的累计赔偿责任以争议所涉订单项下甲方实际收取的授权费总额为上限；如为周期性 OEM 订单，可在订单中另行约定以争议发生前十二个月已收授权费为限。</w:t>
      </w:r>
    </w:p>
    <w:p>
      <w:pPr>
        <w:numPr>
          <w:ilvl w:val="0"/>
          <w:numId w:val="22"/>
        </w:numPr>
        <w:pStyle w:val="ContractClause"/>
      </w:pPr>
      <w:r>
        <w:rPr>
          <w:rFonts w:ascii="Calibri" w:hAnsi="Calibri" w:eastAsia="宋体" w:cs="Calibri"/>
          <w:b w:val="0"/>
          <w:color w:val="1F2937"/>
          <w:sz w:val="21"/>
        </w:rPr>
        <w:t>甲方不对乙方利润损失、客户流失、商誉损失、业务中断、数据间接损失或乙方自行承诺的违约金和 SLA 赔偿负责，但甲方订约时已经预见并明确书面接受的除外。</w:t>
      </w:r>
    </w:p>
    <w:p>
      <w:pPr>
        <w:numPr>
          <w:ilvl w:val="0"/>
          <w:numId w:val="22"/>
        </w:numPr>
        <w:pStyle w:val="ContractClause"/>
      </w:pPr>
      <w:r>
        <w:rPr>
          <w:rFonts w:ascii="Calibri" w:hAnsi="Calibri" w:eastAsia="宋体" w:cs="Calibri"/>
          <w:b w:val="0"/>
          <w:color w:val="1F2937"/>
          <w:sz w:val="21"/>
        </w:rPr>
        <w:t>责任限制不适用于欺诈、故意或重大过失、人身损害、侵犯商业秘密或知识产权、乙方超范围 OEM/转授权/源码交付、未付款，以及依法不得限制的责任。</w:t>
      </w:r>
    </w:p>
    <w:p>
      <w:pPr>
        <w:pStyle w:val="Heading1"/>
      </w:pPr>
      <w:r>
        <w:rPr>
          <w:rFonts w:ascii="Calibri" w:hAnsi="Calibri" w:eastAsia="微软雅黑" w:cs="Calibri"/>
          <w:b/>
          <w:color w:val="1F4E78"/>
          <w:sz w:val="26"/>
        </w:rPr>
        <w:t>第十六条 报告、核验与审计</w:t>
      </w:r>
    </w:p>
    <w:p>
      <w:pPr>
        <w:numPr>
          <w:ilvl w:val="0"/>
          <w:numId w:val="23"/>
        </w:numPr>
        <w:pStyle w:val="ContractClause"/>
      </w:pPr>
      <w:r>
        <w:rPr>
          <w:rFonts w:ascii="Calibri" w:hAnsi="Calibri" w:eastAsia="宋体" w:cs="Calibri"/>
          <w:b w:val="0"/>
          <w:color w:val="1F2937"/>
          <w:sz w:val="21"/>
        </w:rPr>
        <w:t>乙方应按 [月/季度/半年] 向甲方提交新增授权客户、交付版本、部署形态和终止情况清单；没有新增也应按订单约定进行零申报。</w:t>
      </w:r>
    </w:p>
    <w:p>
      <w:pPr>
        <w:numPr>
          <w:ilvl w:val="0"/>
          <w:numId w:val="23"/>
        </w:numPr>
        <w:pStyle w:val="ContractClause"/>
      </w:pPr>
      <w:r>
        <w:rPr>
          <w:rFonts w:ascii="Calibri" w:hAnsi="Calibri" w:eastAsia="宋体" w:cs="Calibri"/>
          <w:b w:val="0"/>
          <w:color w:val="1F2937"/>
          <w:sz w:val="21"/>
        </w:rPr>
        <w:t>甲方一般每十二个月可进行一次合规核验，并至少提前十个工作日书面通知；有重大违约证据、监管/司法要求或客户数明显异常时不受一般频次限制。</w:t>
      </w:r>
    </w:p>
    <w:p>
      <w:pPr>
        <w:numPr>
          <w:ilvl w:val="0"/>
          <w:numId w:val="23"/>
        </w:numPr>
        <w:pStyle w:val="ContractClause"/>
      </w:pPr>
      <w:r>
        <w:rPr>
          <w:rFonts w:ascii="Calibri" w:hAnsi="Calibri" w:eastAsia="宋体" w:cs="Calibri"/>
          <w:b w:val="0"/>
          <w:color w:val="1F2937"/>
          <w:sz w:val="21"/>
        </w:rPr>
        <w:t>核验应限于授权所需数据，不得无关访问个人信息、客户业务数据、源密钥或乙方其他商业秘密；必要时委托独立审计机构并承担保密义务。</w:t>
      </w:r>
    </w:p>
    <w:p>
      <w:pPr>
        <w:numPr>
          <w:ilvl w:val="0"/>
          <w:numId w:val="23"/>
        </w:numPr>
        <w:pStyle w:val="ContractClause"/>
      </w:pPr>
      <w:r>
        <w:rPr>
          <w:rFonts w:ascii="Calibri" w:hAnsi="Calibri" w:eastAsia="宋体" w:cs="Calibri"/>
          <w:b w:val="0"/>
          <w:color w:val="1F2937"/>
          <w:sz w:val="21"/>
        </w:rPr>
        <w:t>审计费用原则上由甲方承担；如确认存在超过订单范围的客户、交付或源码泄露，乙方应承担合理审计费用、补办授权或停止使用，并依法承担违约责任。</w:t>
      </w:r>
    </w:p>
    <w:p>
      <w:pPr>
        <w:pStyle w:val="Heading1"/>
      </w:pPr>
      <w:r>
        <w:rPr>
          <w:rFonts w:ascii="Calibri" w:hAnsi="Calibri" w:eastAsia="微软雅黑" w:cs="Calibri"/>
          <w:b/>
          <w:color w:val="1F4E78"/>
          <w:sz w:val="26"/>
        </w:rPr>
        <w:t>第十七条 期限、终止与客户退出</w:t>
      </w:r>
    </w:p>
    <w:p>
      <w:pPr>
        <w:numPr>
          <w:ilvl w:val="0"/>
          <w:numId w:val="24"/>
        </w:numPr>
        <w:pStyle w:val="ContractClause"/>
      </w:pPr>
      <w:r>
        <w:rPr>
          <w:rFonts w:ascii="Calibri" w:hAnsi="Calibri" w:eastAsia="宋体" w:cs="Calibri"/>
          <w:b w:val="0"/>
          <w:color w:val="1F2937"/>
          <w:sz w:val="21"/>
        </w:rPr>
        <w:t>许可期限以订单为准。期限届满而未续签的，乙方不得新增客户、交付新版本或扩大部署；既有授权客户能否继续使用必须在订单中明确，未明确的按到期停止商业使用处理。</w:t>
      </w:r>
    </w:p>
    <w:p>
      <w:pPr>
        <w:numPr>
          <w:ilvl w:val="0"/>
          <w:numId w:val="24"/>
        </w:numPr>
        <w:pStyle w:val="ContractClause"/>
      </w:pPr>
      <w:r>
        <w:rPr>
          <w:rFonts w:ascii="Calibri" w:hAnsi="Calibri" w:eastAsia="宋体" w:cs="Calibri"/>
          <w:b w:val="0"/>
          <w:color w:val="1F2937"/>
          <w:sz w:val="21"/>
        </w:rPr>
        <w:t>对可补救重大违约，守约方应书面通知并给予不少于 [____] 个工作日的合理整改期；逾期未改且合同目的不能实现的，可解除受影响部分或本协议。</w:t>
      </w:r>
    </w:p>
    <w:p>
      <w:pPr>
        <w:numPr>
          <w:ilvl w:val="0"/>
          <w:numId w:val="24"/>
        </w:numPr>
        <w:pStyle w:val="ContractClause"/>
      </w:pPr>
      <w:r>
        <w:rPr>
          <w:rFonts w:ascii="Calibri" w:hAnsi="Calibri" w:eastAsia="宋体" w:cs="Calibri"/>
          <w:b w:val="0"/>
          <w:color w:val="1F2937"/>
          <w:sz w:val="21"/>
        </w:rPr>
        <w:t>未经授权新增客户、转授权、向下游交付源码、伪造授权文件、故意隐瞒客户数量、泄露密钥或严重违法使用，可能构成无法补救的重大违约；甲方可依法立即暂停相应许可并申请行为、证据或财产保全。</w:t>
      </w:r>
    </w:p>
    <w:p>
      <w:pPr>
        <w:numPr>
          <w:ilvl w:val="0"/>
          <w:numId w:val="24"/>
        </w:numPr>
        <w:pStyle w:val="ContractClause"/>
      </w:pPr>
      <w:r>
        <w:rPr>
          <w:rFonts w:ascii="Calibri" w:hAnsi="Calibri" w:eastAsia="宋体" w:cs="Calibri"/>
          <w:b w:val="0"/>
          <w:color w:val="1F2937"/>
          <w:sz w:val="21"/>
        </w:rPr>
        <w:t>终止后乙方应停止新增销售和交付，通知受影响客户，按订单确定迁移、停止、删除或转签安排，并在 [____] 个工作日内返还或销毁非公开材料和授权凭证。依法需留存的证据副本应隔离保存。</w:t>
      </w:r>
    </w:p>
    <w:p>
      <w:pPr>
        <w:numPr>
          <w:ilvl w:val="0"/>
          <w:numId w:val="24"/>
        </w:numPr>
        <w:pStyle w:val="ContractClause"/>
      </w:pPr>
      <w:r>
        <w:rPr>
          <w:rFonts w:ascii="Calibri" w:hAnsi="Calibri" w:eastAsia="宋体" w:cs="Calibri"/>
          <w:b w:val="0"/>
          <w:color w:val="1F2937"/>
          <w:sz w:val="21"/>
        </w:rPr>
        <w:t>乙方和授权客户如继续使用公开版本，只能遵守届时适用的 BUSL-1.1、Change License 或另行取得有效许可；终止不消灭付款、保密、权属、责任、审计和争议解决条款。</w:t>
      </w:r>
    </w:p>
    <w:p>
      <w:pPr>
        <w:pStyle w:val="Heading1"/>
      </w:pPr>
      <w:r>
        <w:rPr>
          <w:rFonts w:ascii="Calibri" w:hAnsi="Calibri" w:eastAsia="微软雅黑" w:cs="Calibri"/>
          <w:b/>
          <w:color w:val="1F4E78"/>
          <w:sz w:val="26"/>
        </w:rPr>
        <w:t>第十八条 通知、法律适用与争议解决</w:t>
      </w:r>
    </w:p>
    <w:p>
      <w:pPr>
        <w:numPr>
          <w:ilvl w:val="0"/>
          <w:numId w:val="25"/>
        </w:numPr>
        <w:pStyle w:val="ContractClause"/>
      </w:pPr>
      <w:r>
        <w:rPr>
          <w:rFonts w:ascii="Calibri" w:hAnsi="Calibri" w:eastAsia="宋体" w:cs="Calibri"/>
          <w:b w:val="0"/>
          <w:color w:val="1F2937"/>
          <w:sz w:val="21"/>
        </w:rPr>
        <w:t>正式通知发送至第一条地址和邮箱。快递以签收或依法退回之日、电子邮件以进入指定系统且未退信之日视为送达。QQ 可作提醒或磋商，不单独变更客户数、源码范围或解除合同。</w:t>
      </w:r>
    </w:p>
    <w:p>
      <w:pPr>
        <w:numPr>
          <w:ilvl w:val="0"/>
          <w:numId w:val="25"/>
        </w:numPr>
        <w:pStyle w:val="ContractClause"/>
      </w:pPr>
      <w:r>
        <w:rPr>
          <w:rFonts w:ascii="Calibri" w:hAnsi="Calibri" w:eastAsia="宋体" w:cs="Calibri"/>
          <w:b w:val="0"/>
          <w:color w:val="1F2937"/>
          <w:sz w:val="21"/>
        </w:rPr>
        <w:t>本协议适用中华人民共和国大陆地区法律，不含冲突规范。涉及境外客户、跨境数据或技术出口时，双方应另行核验并履行适用审批、备案或合同义务。</w:t>
      </w:r>
    </w:p>
    <w:p>
      <w:pPr>
        <w:numPr>
          <w:ilvl w:val="0"/>
          <w:numId w:val="25"/>
        </w:numPr>
        <w:pStyle w:val="ContractClause"/>
      </w:pPr>
      <w:r>
        <w:rPr>
          <w:rFonts w:ascii="Calibri" w:hAnsi="Calibri" w:eastAsia="宋体" w:cs="Calibri"/>
          <w:b w:val="0"/>
          <w:color w:val="1F2937"/>
          <w:sz w:val="21"/>
        </w:rPr>
        <w:t>争议发生后先进行不少于十五个工作日的善意协商；协商不成的，任何一方可向甲方住所地有管辖权的人民法院起诉。保全、禁令类救济和防止时效届满不受协商期限限制。</w:t>
      </w:r>
    </w:p>
    <w:p>
      <w:pPr>
        <w:numPr>
          <w:ilvl w:val="0"/>
          <w:numId w:val="25"/>
        </w:numPr>
        <w:pStyle w:val="ContractClause"/>
      </w:pPr>
      <w:r>
        <w:rPr>
          <w:rFonts w:ascii="Calibri" w:hAnsi="Calibri" w:eastAsia="宋体" w:cs="Calibri"/>
          <w:b w:val="0"/>
          <w:color w:val="1F2937"/>
          <w:sz w:val="21"/>
        </w:rPr>
        <w:t>可靠电子签名、电子印章、邮件、Git 记录、版本哈希、授权客户清单、交付和部署记录、审计材料及双方确认的即时通讯记录，可依法作为证据。</w:t>
      </w:r>
    </w:p>
    <w:p>
      <w:pPr>
        <w:pStyle w:val="Heading1"/>
      </w:pPr>
      <w:r>
        <w:rPr>
          <w:rFonts w:ascii="Calibri" w:hAnsi="Calibri" w:eastAsia="微软雅黑" w:cs="Calibri"/>
          <w:b/>
          <w:color w:val="1F4E78"/>
          <w:sz w:val="26"/>
        </w:rPr>
        <w:t>第十九条 其他</w:t>
      </w:r>
    </w:p>
    <w:p>
      <w:pPr>
        <w:numPr>
          <w:ilvl w:val="0"/>
          <w:numId w:val="26"/>
        </w:numPr>
        <w:pStyle w:val="ContractClause"/>
      </w:pPr>
      <w:r>
        <w:rPr>
          <w:rFonts w:ascii="Calibri" w:hAnsi="Calibri" w:eastAsia="宋体" w:cs="Calibri"/>
          <w:b w:val="0"/>
          <w:color w:val="1F2937"/>
          <w:sz w:val="21"/>
        </w:rPr>
        <w:t>本协议及附件构成完整约定。任何修改、弃权、客户增购或授权扩张须由双方有权代表签署或盖章。</w:t>
      </w:r>
    </w:p>
    <w:p>
      <w:pPr>
        <w:numPr>
          <w:ilvl w:val="0"/>
          <w:numId w:val="26"/>
        </w:numPr>
        <w:pStyle w:val="ContractClause"/>
      </w:pPr>
      <w:r>
        <w:rPr>
          <w:rFonts w:ascii="Calibri" w:hAnsi="Calibri" w:eastAsia="宋体" w:cs="Calibri"/>
          <w:b w:val="0"/>
          <w:color w:val="1F2937"/>
          <w:sz w:val="21"/>
        </w:rPr>
        <w:t>乙方不得转让本协议或通过合并、分立、资产出售使未授权主体取得权利；确需承继的，应事先取得甲方书面同意并完成主体变更文件。</w:t>
      </w:r>
    </w:p>
    <w:p>
      <w:pPr>
        <w:numPr>
          <w:ilvl w:val="0"/>
          <w:numId w:val="26"/>
        </w:numPr>
        <w:pStyle w:val="ContractClause"/>
      </w:pPr>
      <w:r>
        <w:rPr>
          <w:rFonts w:ascii="Calibri" w:hAnsi="Calibri" w:eastAsia="宋体" w:cs="Calibri"/>
          <w:b w:val="0"/>
          <w:color w:val="1F2937"/>
          <w:sz w:val="21"/>
        </w:rPr>
        <w:t>部分条款无效或不可执行不影响其他条款，双方应以最接近原合法商业目的且公平的条款替代。</w:t>
      </w:r>
    </w:p>
    <w:p>
      <w:pPr>
        <w:numPr>
          <w:ilvl w:val="0"/>
          <w:numId w:val="26"/>
        </w:numPr>
        <w:pStyle w:val="ContractClause"/>
      </w:pPr>
      <w:r>
        <w:rPr>
          <w:rFonts w:ascii="Calibri" w:hAnsi="Calibri" w:eastAsia="宋体" w:cs="Calibri"/>
          <w:b w:val="0"/>
          <w:color w:val="1F2937"/>
          <w:sz w:val="21"/>
        </w:rPr>
        <w:t>本协议可采用纸质或双方认可的可靠电子签名方式签署，分份签署文本合并构成同一协议。</w:t>
      </w:r>
    </w:p>
    <w:p>
      <w:pPr>
        <w:pStyle w:val="Heading1"/>
      </w:pPr>
      <w:r>
        <w:rPr>
          <w:rFonts w:ascii="Calibri" w:hAnsi="Calibri" w:eastAsia="微软雅黑" w:cs="Calibri"/>
          <w:b/>
          <w:color w:val="1F4E78"/>
          <w:sz w:val="26"/>
        </w:rPr>
        <w:t>第二十条 重大条款提示与独立确认</w:t>
      </w:r>
    </w:p>
    <w:p>
      <w:pPr>
        <w:pStyle w:val="ContractBody"/>
      </w:pPr>
      <w:r>
        <w:rPr>
          <w:rFonts w:ascii="Calibri" w:hAnsi="Calibri" w:eastAsia="宋体" w:cs="Calibri"/>
          <w:b w:val="0"/>
          <w:color w:val="1F2937"/>
          <w:sz w:val="21"/>
        </w:rPr>
        <w:t>乙方确认：甲方已特别提示并按乙方要求说明授权客户及实例限制、有限下游许可、源码交付默认禁止、软件著作权尚未登记、第三方组件、无默认支持、乙方对客户和数据的责任、审计、赔偿、责任限制、终止退出及甲方住所地法院管辖等重大条款；乙方已有充分时间咨询、协商和修改。</w:t>
      </w:r>
    </w:p>
    <w:p>
      <w:pPr>
        <w:pStyle w:val="ContractBody"/>
      </w:pPr>
      <w:r>
        <w:rPr>
          <w:rFonts w:ascii="Calibri" w:hAnsi="Calibri" w:eastAsia="宋体" w:cs="Calibri"/>
          <w:b/>
          <w:color w:val="1F2937"/>
          <w:sz w:val="21"/>
        </w:rPr>
        <w:t>双方确认：授权订单、客户数量、交付方式、源码范围、期限和金额等空白项均须签署前补齐；仍为空白的授权范围一律按“不授权”解释，不得以实际接触代码、试用、付款或口头沟通推定扩大授权。</w:t>
      </w:r>
    </w:p>
    <w:p>
      <w:r>
        <w:br w:type="page"/>
      </w:r>
    </w:p>
    <w:p>
      <w:pPr>
        <w:pStyle w:val="Heading1"/>
      </w:pPr>
      <w:r>
        <w:rPr>
          <w:rFonts w:ascii="Calibri" w:hAnsi="Calibri" w:eastAsia="微软雅黑" w:cs="Calibri"/>
          <w:b/>
          <w:color w:val="1F4E78"/>
          <w:sz w:val="26"/>
        </w:rPr>
        <w:t>第二十一条 签署</w:t>
      </w:r>
    </w:p>
    <w:tbl>
      <w:tblPr>
        <w:tblW w:type="dxa" w:w="9184"/>
        <w:jc w:val="left"/>
        <w:tblLayout w:type="fixed"/>
        <w:tblLook w:firstColumn="1" w:firstRow="1" w:lastColumn="0" w:lastRow="0" w:noHBand="0" w:noVBand="1" w:val="04A0"/>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4592"/>
        <w:gridCol w:w="4592"/>
      </w:tblGrid>
      <w:tr>
        <w:trPr>
          <w:cantSplit/>
        </w:trPr>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授权方（甲方）</w:t>
            </w:r>
          </w:p>
        </w:tc>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被授权方（乙方）</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r>
    </w:tbl>
    <w:p>
      <w:r>
        <w:br w:type="page"/>
      </w:r>
    </w:p>
    <w:p>
      <w:pPr>
        <w:pStyle w:val="Heading1"/>
      </w:pPr>
      <w:r>
        <w:rPr>
          <w:rFonts w:ascii="Calibri" w:hAnsi="Calibri" w:eastAsia="微软雅黑" w:cs="Calibri"/>
          <w:b/>
          <w:color w:val="1F4E78"/>
          <w:sz w:val="26"/>
        </w:rPr>
        <w:t>附件一 授权版本与权利证据清单</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仓库/交付地址</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版本号/Git 标签</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提交哈希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制品与 SHA-256</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甲方自研依据索引</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[开发记录、职务/委托/合作开发文件索引]</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贡献许可依据</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[CLA 接受记录、贡献者清单或其他依据]</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软件著作权登记</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尚未办理；无登记号、无登记证书</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第三方许可证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[依赖/NOTICE/许可证清单版本]</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允许隐藏的前台标识</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不得删除的声明</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[第三方 NOTICE、源文件版权头等]</w:t>
            </w:r>
          </w:p>
        </w:tc>
      </w:tr>
    </w:tbl>
    <w:p>
      <w:pPr>
        <w:spacing w:after="0"/>
      </w:pPr>
    </w:p>
    <w:p>
      <w:pPr>
        <w:pStyle w:val="Heading1"/>
      </w:pPr>
      <w:r>
        <w:rPr>
          <w:rFonts w:ascii="Calibri" w:hAnsi="Calibri" w:eastAsia="微软雅黑" w:cs="Calibri"/>
          <w:b/>
          <w:color w:val="1F4E78"/>
          <w:sz w:val="26"/>
        </w:rPr>
        <w:t>附件二 授权客户与部署清单</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650"/>
        <w:gridCol w:w="2200"/>
        <w:gridCol w:w="1450"/>
        <w:gridCol w:w="1600"/>
        <w:gridCol w:w="1600"/>
        <w:gridCol w:w="1684"/>
      </w:tblGrid>
      <w:tr>
        <w:trPr>
          <w:cantSplit/>
        </w:trPr>
        <w:tc>
          <w:tcPr>
            <w:tcW w:type="dxa" w:w="650"/>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7"/>
              </w:rPr>
              <w:t>序号</w:t>
            </w:r>
          </w:p>
        </w:tc>
        <w:tc>
          <w:tcPr>
            <w:tcW w:type="dxa" w:w="2200"/>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7"/>
              </w:rPr>
              <w:t>客户法定名称</w:t>
            </w:r>
          </w:p>
        </w:tc>
        <w:tc>
          <w:tcPr>
            <w:tcW w:type="dxa" w:w="1450"/>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7"/>
              </w:rPr>
              <w:t>统一社会信用代码</w:t>
            </w:r>
          </w:p>
        </w:tc>
        <w:tc>
          <w:tcPr>
            <w:tcW w:type="dxa" w:w="1600"/>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7"/>
              </w:rPr>
              <w:t>部署形态</w:t>
            </w:r>
          </w:p>
        </w:tc>
        <w:tc>
          <w:tcPr>
            <w:tcW w:type="dxa" w:w="1600"/>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7"/>
              </w:rPr>
              <w:t>版本/实例</w:t>
            </w:r>
          </w:p>
        </w:tc>
        <w:tc>
          <w:tcPr>
            <w:tcW w:type="dxa" w:w="1684"/>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7"/>
              </w:rPr>
              <w:t>生效与终止</w:t>
            </w:r>
          </w:p>
        </w:tc>
      </w:tr>
      <w:tr>
        <w:trPr>
          <w:cantSplit/>
        </w:trPr>
        <w:tc>
          <w:tcPr>
            <w:tcW w:type="dxa" w:w="650"/>
            <w:tcMar>
              <w:top w:w="100" w:type="dxa"/>
              <w:start w:w="120" w:type="dxa"/>
              <w:bottom w:w="100" w:type="dxa"/>
              <w:end w:w="120" w:type="dxa"/>
            </w:tcMar>
            <w:vAlign w:val="center"/>
          </w:tcPr>
          <w:p>
            <w:pPr>
              <w:spacing w:before="0" w:after="0" w:line="276" w:lineRule="auto"/>
              <w:jc w:val="center"/>
            </w:pPr>
            <w:r/>
            <w:r>
              <w:rPr>
                <w:rFonts w:ascii="Calibri" w:hAnsi="Calibri" w:eastAsia="宋体" w:cs="Calibri"/>
                <w:b w:val="0"/>
                <w:color w:val="1F2937"/>
                <w:sz w:val="17"/>
              </w:rPr>
              <w:t>1</w:t>
            </w:r>
          </w:p>
        </w:tc>
        <w:tc>
          <w:tcPr>
            <w:tcW w:type="dxa" w:w="22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45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[SaaS/私有化/制品]</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r>
      <w:tr>
        <w:trPr>
          <w:cantSplit/>
        </w:trPr>
        <w:tc>
          <w:tcPr>
            <w:tcW w:type="dxa" w:w="650"/>
            <w:tcMar>
              <w:top w:w="100" w:type="dxa"/>
              <w:start w:w="120" w:type="dxa"/>
              <w:bottom w:w="100" w:type="dxa"/>
              <w:end w:w="120" w:type="dxa"/>
            </w:tcMar>
            <w:vAlign w:val="center"/>
          </w:tcPr>
          <w:p>
            <w:pPr>
              <w:spacing w:before="0" w:after="0" w:line="276" w:lineRule="auto"/>
              <w:jc w:val="center"/>
            </w:pPr>
            <w:r/>
            <w:r>
              <w:rPr>
                <w:rFonts w:ascii="Calibri" w:hAnsi="Calibri" w:eastAsia="宋体" w:cs="Calibri"/>
                <w:b w:val="0"/>
                <w:color w:val="1F2937"/>
                <w:sz w:val="17"/>
              </w:rPr>
              <w:t>2</w:t>
            </w:r>
          </w:p>
        </w:tc>
        <w:tc>
          <w:tcPr>
            <w:tcW w:type="dxa" w:w="22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45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[SaaS/私有化/制品]</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r>
      <w:tr>
        <w:trPr>
          <w:cantSplit/>
        </w:trPr>
        <w:tc>
          <w:tcPr>
            <w:tcW w:type="dxa" w:w="650"/>
            <w:tcMar>
              <w:top w:w="100" w:type="dxa"/>
              <w:start w:w="120" w:type="dxa"/>
              <w:bottom w:w="100" w:type="dxa"/>
              <w:end w:w="120" w:type="dxa"/>
            </w:tcMar>
            <w:vAlign w:val="center"/>
          </w:tcPr>
          <w:p>
            <w:pPr>
              <w:spacing w:before="0" w:after="0" w:line="276" w:lineRule="auto"/>
              <w:jc w:val="center"/>
            </w:pPr>
            <w:r/>
            <w:r>
              <w:rPr>
                <w:rFonts w:ascii="Calibri" w:hAnsi="Calibri" w:eastAsia="宋体" w:cs="Calibri"/>
                <w:b w:val="0"/>
                <w:color w:val="1F2937"/>
                <w:sz w:val="17"/>
              </w:rPr>
              <w:t>3</w:t>
            </w:r>
          </w:p>
        </w:tc>
        <w:tc>
          <w:tcPr>
            <w:tcW w:type="dxa" w:w="22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45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[SaaS/私有化/制品]</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r>
      <w:tr>
        <w:trPr>
          <w:cantSplit/>
        </w:trPr>
        <w:tc>
          <w:tcPr>
            <w:tcW w:type="dxa" w:w="650"/>
            <w:tcMar>
              <w:top w:w="100" w:type="dxa"/>
              <w:start w:w="120" w:type="dxa"/>
              <w:bottom w:w="100" w:type="dxa"/>
              <w:end w:w="120" w:type="dxa"/>
            </w:tcMar>
            <w:vAlign w:val="center"/>
          </w:tcPr>
          <w:p>
            <w:pPr>
              <w:spacing w:before="0" w:after="0" w:line="276" w:lineRule="auto"/>
              <w:jc w:val="center"/>
            </w:pPr>
            <w:r/>
            <w:r>
              <w:rPr>
                <w:rFonts w:ascii="Calibri" w:hAnsi="Calibri" w:eastAsia="宋体" w:cs="Calibri"/>
                <w:b w:val="0"/>
                <w:color w:val="1F2937"/>
                <w:sz w:val="17"/>
              </w:rPr>
              <w:t>4</w:t>
            </w:r>
          </w:p>
        </w:tc>
        <w:tc>
          <w:tcPr>
            <w:tcW w:type="dxa" w:w="22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45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[SaaS/私有化/制品]</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r>
      <w:tr>
        <w:trPr>
          <w:cantSplit/>
        </w:trPr>
        <w:tc>
          <w:tcPr>
            <w:tcW w:type="dxa" w:w="650"/>
            <w:tcMar>
              <w:top w:w="100" w:type="dxa"/>
              <w:start w:w="120" w:type="dxa"/>
              <w:bottom w:w="100" w:type="dxa"/>
              <w:end w:w="120" w:type="dxa"/>
            </w:tcMar>
            <w:vAlign w:val="center"/>
          </w:tcPr>
          <w:p>
            <w:pPr>
              <w:spacing w:before="0" w:after="0" w:line="276" w:lineRule="auto"/>
              <w:jc w:val="center"/>
            </w:pPr>
            <w:r/>
            <w:r>
              <w:rPr>
                <w:rFonts w:ascii="Calibri" w:hAnsi="Calibri" w:eastAsia="宋体" w:cs="Calibri"/>
                <w:b w:val="0"/>
                <w:color w:val="1F2937"/>
                <w:sz w:val="17"/>
              </w:rPr>
              <w:t>5</w:t>
            </w:r>
          </w:p>
        </w:tc>
        <w:tc>
          <w:tcPr>
            <w:tcW w:type="dxa" w:w="22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45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[SaaS/私有化/制品]</w:t>
            </w:r>
          </w:p>
        </w:tc>
        <w:tc>
          <w:tcPr>
            <w:tcW w:type="dxa" w:w="1600"/>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c>
          <w:tcPr>
            <w:tcW w:type="dxa" w:w="16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7"/>
              </w:rPr>
              <w:t>[填写]</w:t>
            </w:r>
          </w:p>
        </w:tc>
      </w:tr>
    </w:tbl>
    <w:p>
      <w:pPr>
        <w:pStyle w:val="ContractBody"/>
      </w:pPr>
      <w:r>
        <w:rPr>
          <w:rFonts w:ascii="Calibri" w:hAnsi="Calibri" w:eastAsia="宋体" w:cs="Calibri"/>
          <w:b w:val="0"/>
          <w:color w:val="1F2937"/>
          <w:sz w:val="21"/>
        </w:rPr>
        <w:t>超过本表数量或新增客户时，须先签署增购订单。本表仅列明客户身份与部署范围，不替代乙方与客户签署的下游许可。</w:t>
      </w:r>
    </w:p>
    <w:p>
      <w:pPr>
        <w:pStyle w:val="Heading1"/>
      </w:pPr>
      <w:r>
        <w:rPr>
          <w:rFonts w:ascii="Calibri" w:hAnsi="Calibri" w:eastAsia="微软雅黑" w:cs="Calibri"/>
          <w:b/>
          <w:color w:val="1F4E78"/>
          <w:sz w:val="26"/>
        </w:rPr>
        <w:t>附件三 下游许可最低条款</w:t>
      </w:r>
    </w:p>
    <w:p>
      <w:pPr>
        <w:numPr>
          <w:ilvl w:val="0"/>
          <w:numId w:val="27"/>
        </w:numPr>
        <w:pStyle w:val="ContractClause"/>
      </w:pPr>
      <w:r>
        <w:rPr>
          <w:rFonts w:ascii="Calibri" w:hAnsi="Calibri" w:eastAsia="宋体" w:cs="Calibri"/>
          <w:b w:val="0"/>
          <w:color w:val="1F2937"/>
          <w:sz w:val="21"/>
        </w:rPr>
        <w:t>授权客户仅可为自身内部业务运行已交付的 OEM 产品，不得向任何第三方转售、出租、转授权、共享、代运营或提供独立服务。</w:t>
      </w:r>
    </w:p>
    <w:p>
      <w:pPr>
        <w:numPr>
          <w:ilvl w:val="0"/>
          <w:numId w:val="27"/>
        </w:numPr>
        <w:pStyle w:val="ContractClause"/>
      </w:pPr>
      <w:r>
        <w:rPr>
          <w:rFonts w:ascii="Calibri" w:hAnsi="Calibri" w:eastAsia="宋体" w:cs="Calibri"/>
          <w:b w:val="0"/>
          <w:color w:val="1F2937"/>
          <w:sz w:val="21"/>
        </w:rPr>
        <w:t>授权客户不得提取、索取、传播源代码、构建材料、许可密钥或私有仓库权限；经甲方特别批准的源码交付按单独协议执行。</w:t>
      </w:r>
    </w:p>
    <w:p>
      <w:pPr>
        <w:numPr>
          <w:ilvl w:val="0"/>
          <w:numId w:val="27"/>
        </w:numPr>
        <w:pStyle w:val="ContractClause"/>
      </w:pPr>
      <w:r>
        <w:rPr>
          <w:rFonts w:ascii="Calibri" w:hAnsi="Calibri" w:eastAsia="宋体" w:cs="Calibri"/>
          <w:b w:val="0"/>
          <w:color w:val="1F2937"/>
          <w:sz w:val="21"/>
        </w:rPr>
        <w:t>授权客户不得删除依法或第三方许可证必须保留的版权、NOTICE、许可证和免责声明，不得冒用 VOZEB 官方或合作身份。</w:t>
      </w:r>
    </w:p>
    <w:p>
      <w:pPr>
        <w:numPr>
          <w:ilvl w:val="0"/>
          <w:numId w:val="27"/>
        </w:numPr>
        <w:pStyle w:val="ContractClause"/>
      </w:pPr>
      <w:r>
        <w:rPr>
          <w:rFonts w:ascii="Calibri" w:hAnsi="Calibri" w:eastAsia="宋体" w:cs="Calibri"/>
          <w:b w:val="0"/>
          <w:color w:val="1F2937"/>
          <w:sz w:val="21"/>
        </w:rPr>
        <w:t>授权客户应依法处理数据、个人信息和内容，落实账号、网络、备份和安全措施，并对自身业务与用户承担责任。</w:t>
      </w:r>
    </w:p>
    <w:p>
      <w:pPr>
        <w:numPr>
          <w:ilvl w:val="0"/>
          <w:numId w:val="27"/>
        </w:numPr>
        <w:pStyle w:val="ContractClause"/>
      </w:pPr>
      <w:r>
        <w:rPr>
          <w:rFonts w:ascii="Calibri" w:hAnsi="Calibri" w:eastAsia="宋体" w:cs="Calibri"/>
          <w:b w:val="0"/>
          <w:color w:val="1F2937"/>
          <w:sz w:val="21"/>
        </w:rPr>
        <w:t>许可期限、版本、实例、地域和终止后的停止/删除义务必须明确；不得赋予超过乙方从甲方取得的权利。</w:t>
      </w:r>
    </w:p>
    <w:p>
      <w:pPr>
        <w:numPr>
          <w:ilvl w:val="0"/>
          <w:numId w:val="27"/>
        </w:numPr>
        <w:pStyle w:val="ContractClause"/>
      </w:pPr>
      <w:r>
        <w:rPr>
          <w:rFonts w:ascii="Calibri" w:hAnsi="Calibri" w:eastAsia="宋体" w:cs="Calibri"/>
          <w:b w:val="0"/>
          <w:color w:val="1F2937"/>
          <w:sz w:val="21"/>
        </w:rPr>
        <w:t>乙方是下游合同相对方和服务责任人；除非甲方另行签署，授权客户不得直接向甲方主张乙方承诺的支持、赔偿、SLA 或交付义务。</w:t>
      </w:r>
    </w:p>
    <w:p>
      <w:pPr>
        <w:pStyle w:val="Heading1"/>
      </w:pPr>
      <w:r>
        <w:rPr>
          <w:rFonts w:ascii="Calibri" w:hAnsi="Calibri" w:eastAsia="微软雅黑" w:cs="Calibri"/>
          <w:b/>
          <w:color w:val="1F4E78"/>
          <w:sz w:val="26"/>
        </w:rPr>
        <w:t>附件四 OEM 商业授权书</w:t>
      </w:r>
    </w:p>
    <w:tbl>
      <w:tblPr>
        <w:tblW w:type="dxa" w:w="9184"/>
        <w:jc w:val="left"/>
        <w:tblLayout w:type="fixed"/>
        <w:tblLook w:firstColumn="1" w:firstRow="1" w:lastColumn="0" w:lastRow="0" w:noHBand="0" w:noVBand="1" w:val="04A0"/>
        <w:tblInd w:w="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184"/>
      </w:tblGrid>
      <w:tr>
        <w:trPr>
          <w:cantSplit/>
        </w:trPr>
        <w:tc>
          <w:tcPr>
            <w:tcW w:type="dxa" w:w="9184"/>
            <w:tcMar>
              <w:top w:w="100" w:type="dxa"/>
              <w:start w:w="120" w:type="dxa"/>
              <w:bottom w:w="100" w:type="dxa"/>
              <w:end w:w="120" w:type="dxa"/>
            </w:tcMar>
            <w:vAlign w:val="center"/>
            <w:shd w:fill="EEF5FA" w:val="clear"/>
          </w:tcPr>
          <w:p>
            <w:pPr>
              <w:spacing w:after="60"/>
            </w:pPr>
            <w:r/>
            <w:r>
              <w:rPr>
                <w:rFonts w:ascii="Calibri" w:hAnsi="Calibri" w:eastAsia="微软雅黑" w:cs="Calibri"/>
                <w:b/>
                <w:color w:val="1F4E78"/>
                <w:sz w:val="21"/>
              </w:rPr>
              <w:t>授权结论</w:t>
            </w:r>
          </w:p>
          <w:p>
            <w:pPr>
              <w:spacing w:before="0" w:after="0" w:line="288" w:lineRule="auto"/>
            </w:pPr>
            <w:r>
              <w:rPr>
                <w:rFonts w:ascii="Calibri" w:hAnsi="Calibri" w:eastAsia="宋体" w:cs="Calibri"/>
                <w:b w:val="0"/>
                <w:color w:val="1F2937"/>
                <w:sz w:val="19"/>
              </w:rPr>
              <w:t>在主协议及订单生效、授权费足额支付并持续合规的前提下，甲方允许乙方仅按本授权书列明的 OEM 产品、客户数量、交付形态、地域、期限和版本开展白标或第三方交付。任何未列明事项均不授权。</w:t>
            </w:r>
          </w:p>
        </w:tc>
      </w:tr>
    </w:tbl>
    <w:p>
      <w:pPr>
        <w:spacing w:after="0"/>
      </w:pP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授权书编号</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VOZEB-PRO-OEM-[填写]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被授权主体</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[乙方完整法定名称]</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OEM 产品/品牌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授权版本与哈希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授权客户数量/名单</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允许交付形态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源码交付</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默认禁止 / [特别批准内容]</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地域</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期限</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软著登记状态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尚未办理，不提供登记证书或登记号</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服务与 SLA</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不包含；除非另有签章服务协议</w:t>
            </w:r>
          </w:p>
        </w:tc>
      </w:tr>
    </w:tbl>
    <w:p>
      <w:pPr>
        <w:spacing w:after="0"/>
      </w:pPr>
    </w:p>
    <w:p>
      <w:pPr>
        <w:pStyle w:val="ContractBody"/>
      </w:pPr>
      <w:r>
        <w:rPr>
          <w:rFonts w:ascii="Calibri" w:hAnsi="Calibri" w:eastAsia="宋体" w:cs="Calibri"/>
          <w:b w:val="0"/>
          <w:color w:val="1F2937"/>
          <w:sz w:val="21"/>
        </w:rPr>
        <w:t>本授权书须与主协议、OEM 授权订单、授权客户清单和附件一共同使用。单独持有本页、截图、付款记录或未盖章副本，不产生或扩大 OEM 权利。</w:t>
      </w:r>
    </w:p>
    <w:p>
      <w:r>
        <w:br w:type="page"/>
      </w:r>
    </w:p>
    <w:tbl>
      <w:tblPr>
        <w:tblW w:type="dxa" w:w="9184"/>
        <w:jc w:val="left"/>
        <w:tblLayout w:type="fixed"/>
        <w:tblLook w:firstColumn="1" w:firstRow="1" w:lastColumn="0" w:lastRow="0" w:noHBand="0" w:noVBand="1" w:val="04A0"/>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4592"/>
        <w:gridCol w:w="4592"/>
      </w:tblGrid>
      <w:tr>
        <w:trPr>
          <w:cantSplit/>
        </w:trPr>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授权方（甲方）</w:t>
            </w:r>
          </w:p>
        </w:tc>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被授权方（乙方）</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r>
    </w:tbl>
    <w:sectPr w:rsidR="00FC693F" w:rsidRPr="0006063C" w:rsidSect="00034616">
      <w:headerReference w:type="default" r:id="rId9"/>
      <w:footerReference w:type="default" r:id="rId10"/>
      <w:pgSz w:w="11906" w:h="16838"/>
      <w:pgMar w:top="1247" w:right="1361"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s="Calibri"/>
        <w:b w:val="0"/>
        <w:color w:val="667085"/>
        <w:sz w:val="18"/>
      </w:rPr>
      <w:t xml:space="preserve">第 </w:t>
    </w:r>
    <w:r>
      <w:rPr>
        <w:rFonts w:ascii="Calibri" w:hAnsi="Calibri" w:eastAsia="宋体" w:cs="Calibri"/>
        <w:b w:val="0"/>
        <w:color w:val="667085"/>
        <w:sz w:val="18"/>
      </w:rPr>
      <w:fldChar w:fldCharType="begin"/>
      <w:instrText xml:space="preserve">PAGE</w:instrText>
      <w:fldChar w:fldCharType="separate"/>
      <w:t>1</w:t>
      <w:fldChar w:fldCharType="end"/>
    </w:r>
    <w:r>
      <w:rPr>
        <w:rFonts w:ascii="Calibri" w:hAnsi="Calibri" w:eastAsia="宋体" w:cs="Calibri"/>
        <w:b w:val="0"/>
        <w:color w:val="667085"/>
        <w:sz w:val="18"/>
      </w:rPr>
      <w:t xml:space="preserve"> 页 / 共 </w:t>
    </w:r>
    <w:r>
      <w:rPr>
        <w:rFonts w:ascii="Calibri" w:hAnsi="Calibri" w:eastAsia="宋体" w:cs="Calibri"/>
        <w:b w:val="0"/>
        <w:color w:val="667085"/>
        <w:sz w:val="18"/>
      </w:rPr>
      <w:fldChar w:fldCharType="begin"/>
      <w:instrText xml:space="preserve">NUMPAGES</w:instrText>
      <w:fldChar w:fldCharType="separate"/>
      <w:t>1</w:t>
      <w:fldChar w:fldCharType="end"/>
    </w:r>
    <w:r>
      <w:rPr>
        <w:rFonts w:ascii="Calibri" w:hAnsi="Calibri" w:eastAsia="宋体" w:cs="Calibri"/>
        <w:b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微软雅黑" w:cs="Calibri"/>
        <w:b/>
        <w:color w:val="667085"/>
        <w:sz w:val="17"/>
      </w:rPr>
      <w:t>VOZEB PRO  |  COMMERCIAL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300"/>
      </w:pPr>
      <w:rPr>
        <w:rFonts w:ascii="Calibri" w:hAnsi="Calibri" w:eastAsia="宋体"/>
      </w:rPr>
    </w:lvl>
  </w:abstract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12" w:lineRule="auto"/>
      <w:jc w:val="both"/>
    </w:pPr>
    <w:rPr>
      <w:rFonts w:ascii="Calibri" w:hAnsi="Calibri" w:eastAsia="宋体" w:cs="Calibr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微软雅黑" w:cs="Calibr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微软雅黑" w:cs="Calibri"/>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Body">
    <w:name w:val="ContractBody"/>
    <w:pPr>
      <w:spacing w:line="312" w:lineRule="auto" w:after="60"/>
      <w:ind w:firstLine="420"/>
      <w:jc w:val="both"/>
    </w:pPr>
    <w:rPr>
      <w:rFonts w:ascii="Calibri" w:hAnsi="Calibri" w:eastAsia="宋体" w:cs="Calibri"/>
      <w:b w:val="0"/>
      <w:color w:val="1F2937"/>
      <w:sz w:val="21"/>
    </w:rPr>
  </w:style>
  <w:style w:type="paragraph" w:customStyle="1" w:styleId="ContractClause">
    <w:name w:val="ContractClause"/>
    <w:pPr>
      <w:keepLines/>
      <w:spacing w:line="312" w:lineRule="auto" w:after="60"/>
      <w:jc w:val="both"/>
    </w:pPr>
    <w:rPr>
      <w:rFonts w:ascii="Calibri" w:hAnsi="Calibri" w:eastAsia="宋体" w:cs="Calibri"/>
      <w:b w:val="0"/>
      <w:color w:val="1F2937"/>
      <w:sz w:val="21"/>
    </w:rPr>
  </w:style>
  <w:style w:type="paragraph" w:customStyle="1" w:styleId="ContractSmall">
    <w:name w:val="ContractSmall"/>
    <w:pPr>
      <w:spacing w:line="276" w:lineRule="auto" w:after="40"/>
    </w:pPr>
    <w:rPr>
      <w:rFonts w:ascii="Calibri" w:hAnsi="Calibri" w:eastAsia="宋体" w:cs="Calibri"/>
      <w:b w:val="0"/>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