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3AD" w:rsidRDefault="006D63AD" w:rsidP="006D63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20 Business Thesis</w:t>
      </w:r>
    </w:p>
    <w:p w:rsidR="006D63AD" w:rsidRDefault="006D63AD">
      <w:pPr>
        <w:rPr>
          <w:rFonts w:ascii="Times New Roman" w:hAnsi="Times New Roman" w:cs="Times New Roman"/>
          <w:sz w:val="24"/>
        </w:rPr>
      </w:pPr>
    </w:p>
    <w:p w:rsidR="005C15E0" w:rsidRDefault="00AC744E" w:rsidP="006D63A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Based on the results, </w:t>
      </w:r>
      <w:r w:rsidR="002C298B">
        <w:rPr>
          <w:rFonts w:ascii="Times New Roman" w:hAnsi="Times New Roman" w:cs="Times New Roman"/>
          <w:sz w:val="24"/>
        </w:rPr>
        <w:t>it is</w:t>
      </w:r>
      <w:r>
        <w:rPr>
          <w:rFonts w:ascii="Times New Roman" w:hAnsi="Times New Roman" w:cs="Times New Roman"/>
          <w:sz w:val="24"/>
        </w:rPr>
        <w:t xml:space="preserve"> </w:t>
      </w:r>
      <w:r w:rsidR="002C298B">
        <w:rPr>
          <w:rFonts w:ascii="Times New Roman" w:hAnsi="Times New Roman" w:cs="Times New Roman"/>
          <w:sz w:val="24"/>
        </w:rPr>
        <w:t>recommended</w:t>
      </w:r>
      <w:r>
        <w:rPr>
          <w:rFonts w:ascii="Times New Roman" w:hAnsi="Times New Roman" w:cs="Times New Roman"/>
          <w:sz w:val="24"/>
        </w:rPr>
        <w:t xml:space="preserve"> </w:t>
      </w:r>
      <w:r w:rsidR="002C298B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>invest in</w:t>
      </w:r>
      <w:r w:rsidR="00266063">
        <w:rPr>
          <w:rFonts w:ascii="Times New Roman" w:hAnsi="Times New Roman" w:cs="Times New Roman"/>
          <w:sz w:val="24"/>
        </w:rPr>
        <w:t xml:space="preserve"> </w:t>
      </w:r>
      <w:r w:rsidR="00266063" w:rsidRPr="00266063">
        <w:rPr>
          <w:rFonts w:ascii="Times New Roman" w:hAnsi="Times New Roman" w:cs="Times New Roman"/>
          <w:b/>
          <w:sz w:val="24"/>
        </w:rPr>
        <w:t>Synchrony</w:t>
      </w:r>
      <w:r w:rsidR="00266063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because of [REASON1], [REASON2], and [REASON3]. </w:t>
      </w:r>
    </w:p>
    <w:p w:rsidR="00306CD9" w:rsidRDefault="00AC744E" w:rsidP="005C15E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Looking at data going back five years from January 1</w:t>
      </w:r>
      <w:r w:rsidRPr="00AC744E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>, 2019, the standard devastation</w:t>
      </w:r>
      <w:r w:rsidR="002C0340">
        <w:rPr>
          <w:rFonts w:ascii="Times New Roman" w:hAnsi="Times New Roman" w:cs="Times New Roman"/>
          <w:sz w:val="24"/>
        </w:rPr>
        <w:t xml:space="preserve"> for the </w:t>
      </w:r>
      <w:r w:rsidR="001E5AB9">
        <w:rPr>
          <w:rFonts w:ascii="Times New Roman" w:hAnsi="Times New Roman" w:cs="Times New Roman"/>
          <w:sz w:val="24"/>
        </w:rPr>
        <w:t>four companies can be seen below in the table, along with their means and how much the variance weights over the mean.</w:t>
      </w:r>
      <w:r w:rsidR="005C15E0">
        <w:rPr>
          <w:rFonts w:ascii="Times New Roman" w:hAnsi="Times New Roman" w:cs="Times New Roman"/>
          <w:sz w:val="24"/>
        </w:rPr>
        <w:t xml:space="preserve"> </w:t>
      </w:r>
      <w:r w:rsidR="005C15E0">
        <w:rPr>
          <w:rFonts w:ascii="Times New Roman" w:hAnsi="Times New Roman" w:cs="Times New Roman"/>
          <w:sz w:val="24"/>
        </w:rPr>
        <w:t xml:space="preserve">From this table, </w:t>
      </w:r>
      <w:r w:rsidR="002C298B">
        <w:rPr>
          <w:rFonts w:ascii="Times New Roman" w:hAnsi="Times New Roman" w:cs="Times New Roman"/>
          <w:sz w:val="24"/>
        </w:rPr>
        <w:t>Synchrony is seen to have the least volatility over the past five years as the variance around the average value of the stock was about 12%.</w:t>
      </w:r>
    </w:p>
    <w:p w:rsidR="001E5AB9" w:rsidRDefault="001E5AB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20"/>
        <w:gridCol w:w="2672"/>
        <w:gridCol w:w="2797"/>
        <w:gridCol w:w="2501"/>
      </w:tblGrid>
      <w:tr w:rsidR="001E5AB9" w:rsidTr="006D63AD">
        <w:tc>
          <w:tcPr>
            <w:tcW w:w="1307" w:type="pct"/>
            <w:vAlign w:val="center"/>
          </w:tcPr>
          <w:p w:rsidR="001E5AB9" w:rsidRPr="00266063" w:rsidRDefault="001E5AB9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6063">
              <w:rPr>
                <w:rFonts w:ascii="Times New Roman" w:hAnsi="Times New Roman" w:cs="Times New Roman"/>
                <w:sz w:val="24"/>
              </w:rPr>
              <w:t>Company</w:t>
            </w:r>
          </w:p>
        </w:tc>
        <w:tc>
          <w:tcPr>
            <w:tcW w:w="1238" w:type="pct"/>
            <w:vAlign w:val="center"/>
          </w:tcPr>
          <w:p w:rsidR="001E5AB9" w:rsidRPr="00266063" w:rsidRDefault="001E5AB9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6063">
              <w:rPr>
                <w:rFonts w:ascii="Times New Roman" w:hAnsi="Times New Roman" w:cs="Times New Roman"/>
                <w:sz w:val="24"/>
              </w:rPr>
              <w:t>Mean</w:t>
            </w:r>
          </w:p>
        </w:tc>
        <w:tc>
          <w:tcPr>
            <w:tcW w:w="1296" w:type="pct"/>
            <w:vAlign w:val="center"/>
          </w:tcPr>
          <w:p w:rsidR="001E5AB9" w:rsidRPr="00266063" w:rsidRDefault="001E5AB9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6063">
              <w:rPr>
                <w:rFonts w:ascii="Times New Roman" w:hAnsi="Times New Roman" w:cs="Times New Roman"/>
                <w:sz w:val="24"/>
              </w:rPr>
              <w:t>Variance</w:t>
            </w:r>
          </w:p>
        </w:tc>
        <w:tc>
          <w:tcPr>
            <w:tcW w:w="1159" w:type="pct"/>
            <w:vAlign w:val="center"/>
          </w:tcPr>
          <w:p w:rsidR="001E5AB9" w:rsidRPr="00266063" w:rsidRDefault="001E5AB9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6063">
              <w:rPr>
                <w:rFonts w:ascii="Times New Roman" w:hAnsi="Times New Roman" w:cs="Times New Roman"/>
                <w:sz w:val="24"/>
              </w:rPr>
              <w:t>Variance/Mean*100</w:t>
            </w:r>
          </w:p>
        </w:tc>
      </w:tr>
      <w:tr w:rsidR="001E5AB9" w:rsidTr="006D63AD">
        <w:tc>
          <w:tcPr>
            <w:tcW w:w="1307" w:type="pct"/>
            <w:vAlign w:val="center"/>
          </w:tcPr>
          <w:p w:rsidR="001E5AB9" w:rsidRPr="00266063" w:rsidRDefault="001E5AB9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6063">
              <w:rPr>
                <w:rFonts w:ascii="Times New Roman" w:hAnsi="Times New Roman" w:cs="Times New Roman"/>
                <w:sz w:val="24"/>
              </w:rPr>
              <w:t>3M</w:t>
            </w:r>
          </w:p>
        </w:tc>
        <w:tc>
          <w:tcPr>
            <w:tcW w:w="1238" w:type="pct"/>
            <w:vAlign w:val="center"/>
          </w:tcPr>
          <w:p w:rsidR="001E5AB9" w:rsidRDefault="00CB42FB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176.79</w:t>
            </w:r>
          </w:p>
        </w:tc>
        <w:tc>
          <w:tcPr>
            <w:tcW w:w="1296" w:type="pct"/>
            <w:vAlign w:val="center"/>
          </w:tcPr>
          <w:p w:rsidR="001E5AB9" w:rsidRDefault="00CB42FB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30.02</w:t>
            </w:r>
          </w:p>
        </w:tc>
        <w:tc>
          <w:tcPr>
            <w:tcW w:w="1159" w:type="pct"/>
            <w:vAlign w:val="center"/>
          </w:tcPr>
          <w:p w:rsidR="001E5AB9" w:rsidRDefault="005C15E0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16.98%</w:t>
            </w:r>
          </w:p>
        </w:tc>
      </w:tr>
      <w:tr w:rsidR="001E5AB9" w:rsidTr="006D63AD">
        <w:tc>
          <w:tcPr>
            <w:tcW w:w="1307" w:type="pct"/>
            <w:shd w:val="clear" w:color="auto" w:fill="FFFF00"/>
            <w:vAlign w:val="center"/>
          </w:tcPr>
          <w:p w:rsidR="001E5AB9" w:rsidRPr="00266063" w:rsidRDefault="001E5AB9" w:rsidP="00792F5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66063">
              <w:rPr>
                <w:rFonts w:ascii="Times New Roman" w:hAnsi="Times New Roman" w:cs="Times New Roman"/>
                <w:b/>
                <w:sz w:val="24"/>
              </w:rPr>
              <w:t>Synchrony</w:t>
            </w:r>
          </w:p>
        </w:tc>
        <w:tc>
          <w:tcPr>
            <w:tcW w:w="1238" w:type="pct"/>
            <w:shd w:val="clear" w:color="auto" w:fill="FFFF00"/>
            <w:vAlign w:val="center"/>
          </w:tcPr>
          <w:p w:rsidR="001E5AB9" w:rsidRPr="00C811F6" w:rsidRDefault="00CB42FB" w:rsidP="00792F5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11F6">
              <w:rPr>
                <w:rFonts w:ascii="Times New Roman" w:hAnsi="Times New Roman" w:cs="Times New Roman"/>
                <w:b/>
                <w:sz w:val="24"/>
              </w:rPr>
              <w:t>30.99</w:t>
            </w:r>
          </w:p>
        </w:tc>
        <w:tc>
          <w:tcPr>
            <w:tcW w:w="1296" w:type="pct"/>
            <w:shd w:val="clear" w:color="auto" w:fill="FFFF00"/>
            <w:vAlign w:val="center"/>
          </w:tcPr>
          <w:p w:rsidR="001E5AB9" w:rsidRPr="00C811F6" w:rsidRDefault="00CB42FB" w:rsidP="00792F5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11F6">
              <w:rPr>
                <w:rFonts w:ascii="Times New Roman" w:hAnsi="Times New Roman" w:cs="Times New Roman"/>
                <w:b/>
                <w:sz w:val="24"/>
              </w:rPr>
              <w:t>3.66</w:t>
            </w:r>
          </w:p>
        </w:tc>
        <w:tc>
          <w:tcPr>
            <w:tcW w:w="1159" w:type="pct"/>
            <w:shd w:val="clear" w:color="auto" w:fill="FFFF00"/>
            <w:vAlign w:val="center"/>
          </w:tcPr>
          <w:p w:rsidR="001E5AB9" w:rsidRPr="00C811F6" w:rsidRDefault="005C15E0" w:rsidP="00792F5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11F6">
              <w:rPr>
                <w:rFonts w:ascii="Times New Roman" w:hAnsi="Times New Roman" w:cs="Times New Roman"/>
                <w:b/>
                <w:sz w:val="24"/>
              </w:rPr>
              <w:t>11.81%</w:t>
            </w:r>
          </w:p>
        </w:tc>
      </w:tr>
      <w:tr w:rsidR="001E5AB9" w:rsidTr="006D63AD">
        <w:tc>
          <w:tcPr>
            <w:tcW w:w="1307" w:type="pct"/>
            <w:vAlign w:val="center"/>
          </w:tcPr>
          <w:p w:rsidR="001E5AB9" w:rsidRPr="00266063" w:rsidRDefault="001E5AB9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6063">
              <w:rPr>
                <w:rFonts w:ascii="Times New Roman" w:hAnsi="Times New Roman" w:cs="Times New Roman"/>
                <w:sz w:val="24"/>
              </w:rPr>
              <w:t>Honeywell</w:t>
            </w:r>
          </w:p>
        </w:tc>
        <w:tc>
          <w:tcPr>
            <w:tcW w:w="1238" w:type="pct"/>
            <w:vAlign w:val="center"/>
          </w:tcPr>
          <w:p w:rsidR="001E5AB9" w:rsidRDefault="00CB42FB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113.73</w:t>
            </w:r>
          </w:p>
        </w:tc>
        <w:tc>
          <w:tcPr>
            <w:tcW w:w="1296" w:type="pct"/>
            <w:vAlign w:val="center"/>
          </w:tcPr>
          <w:p w:rsidR="001E5AB9" w:rsidRDefault="00CB42FB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21.66</w:t>
            </w:r>
          </w:p>
        </w:tc>
        <w:tc>
          <w:tcPr>
            <w:tcW w:w="1159" w:type="pct"/>
            <w:vAlign w:val="center"/>
          </w:tcPr>
          <w:p w:rsidR="001E5AB9" w:rsidRDefault="005C15E0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19.05%</w:t>
            </w:r>
          </w:p>
        </w:tc>
      </w:tr>
      <w:tr w:rsidR="001E5AB9" w:rsidTr="006D63AD">
        <w:tc>
          <w:tcPr>
            <w:tcW w:w="1307" w:type="pct"/>
            <w:vAlign w:val="center"/>
          </w:tcPr>
          <w:p w:rsidR="001E5AB9" w:rsidRPr="00266063" w:rsidRDefault="00E41C3C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6063">
              <w:rPr>
                <w:rFonts w:ascii="Times New Roman" w:hAnsi="Times New Roman" w:cs="Times New Roman"/>
                <w:sz w:val="24"/>
              </w:rPr>
              <w:t>Bayer</w:t>
            </w:r>
          </w:p>
        </w:tc>
        <w:tc>
          <w:tcPr>
            <w:tcW w:w="1238" w:type="pct"/>
            <w:vAlign w:val="center"/>
          </w:tcPr>
          <w:p w:rsidR="001E5AB9" w:rsidRDefault="00CB42FB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23.35</w:t>
            </w:r>
          </w:p>
        </w:tc>
        <w:tc>
          <w:tcPr>
            <w:tcW w:w="1296" w:type="pct"/>
            <w:vAlign w:val="center"/>
          </w:tcPr>
          <w:p w:rsidR="00CB42FB" w:rsidRDefault="00CB42FB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4.34</w:t>
            </w:r>
          </w:p>
        </w:tc>
        <w:tc>
          <w:tcPr>
            <w:tcW w:w="1159" w:type="pct"/>
            <w:vAlign w:val="center"/>
          </w:tcPr>
          <w:p w:rsidR="001E5AB9" w:rsidRDefault="005C15E0" w:rsidP="00792F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18.87%</w:t>
            </w:r>
          </w:p>
        </w:tc>
      </w:tr>
    </w:tbl>
    <w:p w:rsidR="001E5AB9" w:rsidRDefault="001E5AB9">
      <w:pPr>
        <w:rPr>
          <w:rFonts w:ascii="Times New Roman" w:hAnsi="Times New Roman" w:cs="Times New Roman"/>
          <w:sz w:val="24"/>
        </w:rPr>
      </w:pPr>
    </w:p>
    <w:p w:rsidR="002E5515" w:rsidRDefault="002E55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Looking at data from all four of companies for the closing rate between 2014 and 2019 and plotting the closings that were greater than 1% from the previous closings, the Honeywell stock is seen to be the one that grew the most over the past four years</w:t>
      </w:r>
      <w:r w:rsidR="0060680F">
        <w:rPr>
          <w:rFonts w:ascii="Times New Roman" w:hAnsi="Times New Roman" w:cs="Times New Roman"/>
          <w:sz w:val="24"/>
        </w:rPr>
        <w:t>. However, this implies that it is too late to invest into the Honeywell company.</w:t>
      </w:r>
      <w:r w:rsidR="002E58F4">
        <w:rPr>
          <w:rFonts w:ascii="Times New Roman" w:hAnsi="Times New Roman" w:cs="Times New Roman"/>
          <w:sz w:val="24"/>
        </w:rPr>
        <w:t xml:space="preserve"> Instead, it would be better to invest in </w:t>
      </w:r>
      <w:r w:rsidR="00DC69A4" w:rsidRPr="00266063">
        <w:rPr>
          <w:rFonts w:ascii="Times New Roman" w:hAnsi="Times New Roman" w:cs="Times New Roman"/>
          <w:b/>
          <w:sz w:val="24"/>
        </w:rPr>
        <w:t>Synchrony</w:t>
      </w:r>
      <w:r w:rsidR="00DC69A4">
        <w:rPr>
          <w:rFonts w:ascii="Times New Roman" w:hAnsi="Times New Roman" w:cs="Times New Roman"/>
          <w:b/>
          <w:sz w:val="24"/>
        </w:rPr>
        <w:t xml:space="preserve"> </w:t>
      </w:r>
      <w:r w:rsidR="00DC69A4">
        <w:rPr>
          <w:rFonts w:ascii="Times New Roman" w:hAnsi="Times New Roman" w:cs="Times New Roman"/>
          <w:sz w:val="24"/>
        </w:rPr>
        <w:t xml:space="preserve">as the company is </w:t>
      </w:r>
      <w:r w:rsidR="00C811F6">
        <w:rPr>
          <w:rFonts w:ascii="Times New Roman" w:hAnsi="Times New Roman" w:cs="Times New Roman"/>
          <w:sz w:val="24"/>
        </w:rPr>
        <w:t>cycling regularly between the highs and lows of their stock.</w:t>
      </w:r>
      <w:r w:rsidR="00524E39">
        <w:rPr>
          <w:rFonts w:ascii="Times New Roman" w:hAnsi="Times New Roman" w:cs="Times New Roman"/>
          <w:sz w:val="24"/>
        </w:rPr>
        <w:t xml:space="preserve"> For Synchrony, the company is at a valley or peak every 100 changes greater than 1%</w:t>
      </w:r>
      <w:r w:rsidR="006D0A5E">
        <w:rPr>
          <w:rFonts w:ascii="Times New Roman" w:hAnsi="Times New Roman" w:cs="Times New Roman"/>
          <w:sz w:val="24"/>
        </w:rPr>
        <w:t>.</w:t>
      </w:r>
      <w:r w:rsidR="00266063">
        <w:rPr>
          <w:rFonts w:ascii="Times New Roman" w:hAnsi="Times New Roman" w:cs="Times New Roman"/>
          <w:sz w:val="24"/>
        </w:rPr>
        <w:t xml:space="preserve"> With 500 being the next low, a peak is expected to occur at around 100 more changes.</w:t>
      </w:r>
      <w:r w:rsidR="00854C20">
        <w:rPr>
          <w:rFonts w:ascii="Times New Roman" w:hAnsi="Times New Roman" w:cs="Times New Roman"/>
          <w:sz w:val="24"/>
        </w:rPr>
        <w:t xml:space="preserve"> The tables are below.</w:t>
      </w:r>
    </w:p>
    <w:p w:rsidR="00266063" w:rsidRPr="00DC69A4" w:rsidRDefault="00266063">
      <w:pPr>
        <w:rPr>
          <w:rFonts w:ascii="Times New Roman" w:hAnsi="Times New Roman" w:cs="Times New Roman"/>
          <w:sz w:val="24"/>
        </w:rPr>
      </w:pPr>
    </w:p>
    <w:p w:rsidR="005C15E0" w:rsidRDefault="00792F50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>
            <wp:extent cx="3337560" cy="2367561"/>
            <wp:effectExtent l="0" t="0" r="0" b="0"/>
            <wp:docPr id="2" name="Picture 2" descr="C:\Users\Chris\AppData\Local\Microsoft\Windows\INetCache\Content.MSO\111C10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MSO\111C109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36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337560" cy="2367562"/>
            <wp:effectExtent l="0" t="0" r="0" b="0"/>
            <wp:docPr id="3" name="Picture 3" descr="C:\Users\Chris\AppData\Local\Microsoft\Windows\INetCache\Content.MSO\1F84CE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AppData\Local\Microsoft\Windows\INetCache\Content.MSO\1F84CE7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36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F50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337560" cy="2345142"/>
            <wp:effectExtent l="0" t="0" r="0" b="0"/>
            <wp:docPr id="4" name="Picture 4" descr="C:\Users\Chris\AppData\Local\Microsoft\Windows\INetCache\Content.MSO\C175ED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\AppData\Local\Microsoft\Windows\INetCache\Content.MSO\C175EDF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34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F50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337560" cy="2367562"/>
            <wp:effectExtent l="0" t="0" r="0" b="0"/>
            <wp:docPr id="5" name="Picture 5" descr="C:\Users\Chris\AppData\Local\Microsoft\Windows\INetCache\Content.MSO\FA0AC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\AppData\Local\Microsoft\Windows\INetCache\Content.MSO\FA0ACAB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36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C20" w:rsidRPr="00854C20" w:rsidRDefault="00854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After training a Geometric Brownian Motion model on data from the past four years,</w:t>
      </w:r>
      <w:r w:rsidR="00CE36C9">
        <w:rPr>
          <w:rFonts w:ascii="Times New Roman" w:hAnsi="Times New Roman" w:cs="Times New Roman"/>
          <w:sz w:val="24"/>
        </w:rPr>
        <w:t xml:space="preserve"> the model was used to extrapolate on what is expected to occur in the first six weeks of 2019. </w:t>
      </w:r>
      <w:bookmarkStart w:id="0" w:name="_GoBack"/>
      <w:bookmarkEnd w:id="0"/>
    </w:p>
    <w:sectPr w:rsidR="00854C20" w:rsidRPr="00854C20" w:rsidSect="006D63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4E"/>
    <w:rsid w:val="001E5AB9"/>
    <w:rsid w:val="00266063"/>
    <w:rsid w:val="002C0340"/>
    <w:rsid w:val="002C298B"/>
    <w:rsid w:val="002E5515"/>
    <w:rsid w:val="002E58F4"/>
    <w:rsid w:val="00306CD9"/>
    <w:rsid w:val="00524E39"/>
    <w:rsid w:val="00592962"/>
    <w:rsid w:val="005C15E0"/>
    <w:rsid w:val="0060680F"/>
    <w:rsid w:val="00614B3F"/>
    <w:rsid w:val="006D0A5E"/>
    <w:rsid w:val="006D63AD"/>
    <w:rsid w:val="00721194"/>
    <w:rsid w:val="00792F50"/>
    <w:rsid w:val="00854C20"/>
    <w:rsid w:val="00A828E8"/>
    <w:rsid w:val="00AC744E"/>
    <w:rsid w:val="00BF4DFE"/>
    <w:rsid w:val="00C811F6"/>
    <w:rsid w:val="00CB42FB"/>
    <w:rsid w:val="00CE36C9"/>
    <w:rsid w:val="00DC69A4"/>
    <w:rsid w:val="00E41C3C"/>
    <w:rsid w:val="00E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5EF2"/>
  <w15:chartTrackingRefBased/>
  <w15:docId w15:val="{34F08444-7438-4F6A-B5AD-272EA378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16</cp:revision>
  <dcterms:created xsi:type="dcterms:W3CDTF">2019-02-16T18:37:00Z</dcterms:created>
  <dcterms:modified xsi:type="dcterms:W3CDTF">2019-02-17T02:13:00Z</dcterms:modified>
</cp:coreProperties>
</file>