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3AD" w:rsidRDefault="006D63AD" w:rsidP="006D63AD">
      <w:pPr>
        <w:jc w:val="center"/>
        <w:rPr>
          <w:rFonts w:ascii="Times New Roman" w:hAnsi="Times New Roman" w:cs="Times New Roman"/>
          <w:sz w:val="24"/>
        </w:rPr>
      </w:pPr>
      <w:r>
        <w:rPr>
          <w:rFonts w:ascii="Times New Roman" w:hAnsi="Times New Roman" w:cs="Times New Roman"/>
          <w:sz w:val="24"/>
        </w:rPr>
        <w:t xml:space="preserve">Team 20 </w:t>
      </w:r>
      <w:bookmarkStart w:id="0" w:name="_GoBack"/>
      <w:bookmarkEnd w:id="0"/>
      <w:r>
        <w:rPr>
          <w:rFonts w:ascii="Times New Roman" w:hAnsi="Times New Roman" w:cs="Times New Roman"/>
          <w:sz w:val="24"/>
        </w:rPr>
        <w:t>Business Thesis</w:t>
      </w:r>
    </w:p>
    <w:p w:rsidR="006D63AD" w:rsidRDefault="006D63AD">
      <w:pPr>
        <w:rPr>
          <w:rFonts w:ascii="Times New Roman" w:hAnsi="Times New Roman" w:cs="Times New Roman"/>
          <w:sz w:val="24"/>
        </w:rPr>
      </w:pPr>
    </w:p>
    <w:p w:rsidR="005C15E0" w:rsidRDefault="00AC744E" w:rsidP="006D63AD">
      <w:pPr>
        <w:ind w:firstLine="720"/>
        <w:rPr>
          <w:rFonts w:ascii="Times New Roman" w:hAnsi="Times New Roman" w:cs="Times New Roman"/>
          <w:sz w:val="24"/>
        </w:rPr>
      </w:pPr>
      <w:r>
        <w:rPr>
          <w:rFonts w:ascii="Times New Roman" w:hAnsi="Times New Roman" w:cs="Times New Roman"/>
          <w:sz w:val="24"/>
        </w:rPr>
        <w:t xml:space="preserve">Based on the results, </w:t>
      </w:r>
      <w:r w:rsidR="002C298B">
        <w:rPr>
          <w:rFonts w:ascii="Times New Roman" w:hAnsi="Times New Roman" w:cs="Times New Roman"/>
          <w:sz w:val="24"/>
        </w:rPr>
        <w:t>it is</w:t>
      </w:r>
      <w:r>
        <w:rPr>
          <w:rFonts w:ascii="Times New Roman" w:hAnsi="Times New Roman" w:cs="Times New Roman"/>
          <w:sz w:val="24"/>
        </w:rPr>
        <w:t xml:space="preserve"> </w:t>
      </w:r>
      <w:r w:rsidR="002C298B">
        <w:rPr>
          <w:rFonts w:ascii="Times New Roman" w:hAnsi="Times New Roman" w:cs="Times New Roman"/>
          <w:sz w:val="24"/>
        </w:rPr>
        <w:t>recommended</w:t>
      </w:r>
      <w:r>
        <w:rPr>
          <w:rFonts w:ascii="Times New Roman" w:hAnsi="Times New Roman" w:cs="Times New Roman"/>
          <w:sz w:val="24"/>
        </w:rPr>
        <w:t xml:space="preserve"> </w:t>
      </w:r>
      <w:r w:rsidR="002C298B">
        <w:rPr>
          <w:rFonts w:ascii="Times New Roman" w:hAnsi="Times New Roman" w:cs="Times New Roman"/>
          <w:sz w:val="24"/>
        </w:rPr>
        <w:t xml:space="preserve">to </w:t>
      </w:r>
      <w:r>
        <w:rPr>
          <w:rFonts w:ascii="Times New Roman" w:hAnsi="Times New Roman" w:cs="Times New Roman"/>
          <w:sz w:val="24"/>
        </w:rPr>
        <w:t>invest in</w:t>
      </w:r>
      <w:r w:rsidR="00266063">
        <w:rPr>
          <w:rFonts w:ascii="Times New Roman" w:hAnsi="Times New Roman" w:cs="Times New Roman"/>
          <w:sz w:val="24"/>
        </w:rPr>
        <w:t xml:space="preserve"> </w:t>
      </w:r>
      <w:r w:rsidR="00266063" w:rsidRPr="00266063">
        <w:rPr>
          <w:rFonts w:ascii="Times New Roman" w:hAnsi="Times New Roman" w:cs="Times New Roman"/>
          <w:b/>
          <w:sz w:val="24"/>
        </w:rPr>
        <w:t>Synchrony</w:t>
      </w:r>
      <w:r w:rsidR="00266063">
        <w:rPr>
          <w:rFonts w:ascii="Times New Roman" w:hAnsi="Times New Roman" w:cs="Times New Roman"/>
          <w:b/>
          <w:sz w:val="24"/>
        </w:rPr>
        <w:t xml:space="preserve"> </w:t>
      </w:r>
      <w:r>
        <w:rPr>
          <w:rFonts w:ascii="Times New Roman" w:hAnsi="Times New Roman" w:cs="Times New Roman"/>
          <w:sz w:val="24"/>
        </w:rPr>
        <w:t xml:space="preserve">because of </w:t>
      </w:r>
      <w:r w:rsidR="00202C6F">
        <w:rPr>
          <w:rFonts w:ascii="Times New Roman" w:hAnsi="Times New Roman" w:cs="Times New Roman"/>
          <w:sz w:val="24"/>
        </w:rPr>
        <w:t>the stock’s low volatility to date, its consistent cycling and current position on the cycle</w:t>
      </w:r>
      <w:r>
        <w:rPr>
          <w:rFonts w:ascii="Times New Roman" w:hAnsi="Times New Roman" w:cs="Times New Roman"/>
          <w:sz w:val="24"/>
        </w:rPr>
        <w:t xml:space="preserve">, and </w:t>
      </w:r>
      <w:r w:rsidR="00202C6F">
        <w:rPr>
          <w:rFonts w:ascii="Times New Roman" w:hAnsi="Times New Roman" w:cs="Times New Roman"/>
          <w:sz w:val="24"/>
        </w:rPr>
        <w:t>the tested model accuracy to this stock</w:t>
      </w:r>
      <w:r>
        <w:rPr>
          <w:rFonts w:ascii="Times New Roman" w:hAnsi="Times New Roman" w:cs="Times New Roman"/>
          <w:sz w:val="24"/>
        </w:rPr>
        <w:t xml:space="preserve">. </w:t>
      </w:r>
    </w:p>
    <w:p w:rsidR="00306CD9" w:rsidRDefault="00AC744E" w:rsidP="005C15E0">
      <w:pPr>
        <w:ind w:firstLine="720"/>
        <w:rPr>
          <w:rFonts w:ascii="Times New Roman" w:hAnsi="Times New Roman" w:cs="Times New Roman"/>
          <w:sz w:val="24"/>
        </w:rPr>
      </w:pPr>
      <w:r>
        <w:rPr>
          <w:rFonts w:ascii="Times New Roman" w:hAnsi="Times New Roman" w:cs="Times New Roman"/>
          <w:sz w:val="24"/>
        </w:rPr>
        <w:t>Looking at data going back five years from January 1</w:t>
      </w:r>
      <w:r w:rsidRPr="00AC744E">
        <w:rPr>
          <w:rFonts w:ascii="Times New Roman" w:hAnsi="Times New Roman" w:cs="Times New Roman"/>
          <w:sz w:val="24"/>
          <w:vertAlign w:val="superscript"/>
        </w:rPr>
        <w:t>st</w:t>
      </w:r>
      <w:r>
        <w:rPr>
          <w:rFonts w:ascii="Times New Roman" w:hAnsi="Times New Roman" w:cs="Times New Roman"/>
          <w:sz w:val="24"/>
        </w:rPr>
        <w:t>, 2019, the standard devastation</w:t>
      </w:r>
      <w:r w:rsidR="002C0340">
        <w:rPr>
          <w:rFonts w:ascii="Times New Roman" w:hAnsi="Times New Roman" w:cs="Times New Roman"/>
          <w:sz w:val="24"/>
        </w:rPr>
        <w:t xml:space="preserve"> for the </w:t>
      </w:r>
      <w:r w:rsidR="001E5AB9">
        <w:rPr>
          <w:rFonts w:ascii="Times New Roman" w:hAnsi="Times New Roman" w:cs="Times New Roman"/>
          <w:sz w:val="24"/>
        </w:rPr>
        <w:t>four companies can be seen below in the table, along with their means and how much the variance weights over the mean.</w:t>
      </w:r>
      <w:r w:rsidR="005C15E0">
        <w:rPr>
          <w:rFonts w:ascii="Times New Roman" w:hAnsi="Times New Roman" w:cs="Times New Roman"/>
          <w:sz w:val="24"/>
        </w:rPr>
        <w:t xml:space="preserve"> From this table, </w:t>
      </w:r>
      <w:r w:rsidR="002C298B">
        <w:rPr>
          <w:rFonts w:ascii="Times New Roman" w:hAnsi="Times New Roman" w:cs="Times New Roman"/>
          <w:sz w:val="24"/>
        </w:rPr>
        <w:t>Synchrony is seen to have the least volatility over the past five years as the variance around the average value of the stock was about 12%.</w:t>
      </w:r>
    </w:p>
    <w:p w:rsidR="001E5AB9" w:rsidRDefault="001E5AB9">
      <w:pPr>
        <w:rPr>
          <w:rFonts w:ascii="Times New Roman" w:hAnsi="Times New Roman" w:cs="Times New Roman"/>
          <w:sz w:val="24"/>
        </w:rPr>
      </w:pPr>
    </w:p>
    <w:tbl>
      <w:tblPr>
        <w:tblStyle w:val="TableGrid"/>
        <w:tblW w:w="5000" w:type="pct"/>
        <w:tblLook w:val="04A0" w:firstRow="1" w:lastRow="0" w:firstColumn="1" w:lastColumn="0" w:noHBand="0" w:noVBand="1"/>
      </w:tblPr>
      <w:tblGrid>
        <w:gridCol w:w="2820"/>
        <w:gridCol w:w="2672"/>
        <w:gridCol w:w="2797"/>
        <w:gridCol w:w="2501"/>
      </w:tblGrid>
      <w:tr w:rsidR="001E5AB9" w:rsidTr="006D63AD">
        <w:tc>
          <w:tcPr>
            <w:tcW w:w="1307" w:type="pct"/>
            <w:vAlign w:val="center"/>
          </w:tcPr>
          <w:p w:rsidR="001E5AB9" w:rsidRPr="00266063" w:rsidRDefault="001E5AB9" w:rsidP="00792F50">
            <w:pPr>
              <w:jc w:val="center"/>
              <w:rPr>
                <w:rFonts w:ascii="Times New Roman" w:hAnsi="Times New Roman" w:cs="Times New Roman"/>
                <w:sz w:val="24"/>
              </w:rPr>
            </w:pPr>
            <w:r w:rsidRPr="00266063">
              <w:rPr>
                <w:rFonts w:ascii="Times New Roman" w:hAnsi="Times New Roman" w:cs="Times New Roman"/>
                <w:sz w:val="24"/>
              </w:rPr>
              <w:t>Company</w:t>
            </w:r>
          </w:p>
        </w:tc>
        <w:tc>
          <w:tcPr>
            <w:tcW w:w="1238" w:type="pct"/>
            <w:vAlign w:val="center"/>
          </w:tcPr>
          <w:p w:rsidR="001E5AB9" w:rsidRPr="00266063" w:rsidRDefault="001E5AB9" w:rsidP="00792F50">
            <w:pPr>
              <w:jc w:val="center"/>
              <w:rPr>
                <w:rFonts w:ascii="Times New Roman" w:hAnsi="Times New Roman" w:cs="Times New Roman"/>
                <w:sz w:val="24"/>
              </w:rPr>
            </w:pPr>
            <w:r w:rsidRPr="00266063">
              <w:rPr>
                <w:rFonts w:ascii="Times New Roman" w:hAnsi="Times New Roman" w:cs="Times New Roman"/>
                <w:sz w:val="24"/>
              </w:rPr>
              <w:t>Mean</w:t>
            </w:r>
          </w:p>
        </w:tc>
        <w:tc>
          <w:tcPr>
            <w:tcW w:w="1296" w:type="pct"/>
            <w:vAlign w:val="center"/>
          </w:tcPr>
          <w:p w:rsidR="001E5AB9" w:rsidRPr="00266063" w:rsidRDefault="001E5AB9" w:rsidP="00792F50">
            <w:pPr>
              <w:jc w:val="center"/>
              <w:rPr>
                <w:rFonts w:ascii="Times New Roman" w:hAnsi="Times New Roman" w:cs="Times New Roman"/>
                <w:sz w:val="24"/>
              </w:rPr>
            </w:pPr>
            <w:r w:rsidRPr="00266063">
              <w:rPr>
                <w:rFonts w:ascii="Times New Roman" w:hAnsi="Times New Roman" w:cs="Times New Roman"/>
                <w:sz w:val="24"/>
              </w:rPr>
              <w:t>Variance</w:t>
            </w:r>
          </w:p>
        </w:tc>
        <w:tc>
          <w:tcPr>
            <w:tcW w:w="1159" w:type="pct"/>
            <w:vAlign w:val="center"/>
          </w:tcPr>
          <w:p w:rsidR="001E5AB9" w:rsidRPr="00266063" w:rsidRDefault="001E5AB9" w:rsidP="00792F50">
            <w:pPr>
              <w:jc w:val="center"/>
              <w:rPr>
                <w:rFonts w:ascii="Times New Roman" w:hAnsi="Times New Roman" w:cs="Times New Roman"/>
                <w:sz w:val="24"/>
              </w:rPr>
            </w:pPr>
            <w:r w:rsidRPr="00266063">
              <w:rPr>
                <w:rFonts w:ascii="Times New Roman" w:hAnsi="Times New Roman" w:cs="Times New Roman"/>
                <w:sz w:val="24"/>
              </w:rPr>
              <w:t>Variance/Mean*100</w:t>
            </w:r>
          </w:p>
        </w:tc>
      </w:tr>
      <w:tr w:rsidR="001E5AB9" w:rsidTr="006D63AD">
        <w:tc>
          <w:tcPr>
            <w:tcW w:w="1307" w:type="pct"/>
            <w:vAlign w:val="center"/>
          </w:tcPr>
          <w:p w:rsidR="001E5AB9" w:rsidRPr="00266063" w:rsidRDefault="001E5AB9" w:rsidP="00792F50">
            <w:pPr>
              <w:jc w:val="center"/>
              <w:rPr>
                <w:rFonts w:ascii="Times New Roman" w:hAnsi="Times New Roman" w:cs="Times New Roman"/>
                <w:sz w:val="24"/>
              </w:rPr>
            </w:pPr>
            <w:r w:rsidRPr="00266063">
              <w:rPr>
                <w:rFonts w:ascii="Times New Roman" w:hAnsi="Times New Roman" w:cs="Times New Roman"/>
                <w:sz w:val="24"/>
              </w:rPr>
              <w:t>3M</w:t>
            </w:r>
          </w:p>
        </w:tc>
        <w:tc>
          <w:tcPr>
            <w:tcW w:w="1238" w:type="pct"/>
            <w:vAlign w:val="center"/>
          </w:tcPr>
          <w:p w:rsidR="001E5AB9" w:rsidRDefault="00CB42FB" w:rsidP="00792F50">
            <w:pPr>
              <w:jc w:val="center"/>
              <w:rPr>
                <w:rFonts w:ascii="Times New Roman" w:hAnsi="Times New Roman" w:cs="Times New Roman"/>
                <w:sz w:val="24"/>
              </w:rPr>
            </w:pPr>
            <w:r>
              <w:rPr>
                <w:rFonts w:ascii="Times New Roman" w:hAnsi="Times New Roman" w:cs="Times New Roman"/>
                <w:sz w:val="24"/>
              </w:rPr>
              <w:t>176.79</w:t>
            </w:r>
          </w:p>
        </w:tc>
        <w:tc>
          <w:tcPr>
            <w:tcW w:w="1296" w:type="pct"/>
            <w:vAlign w:val="center"/>
          </w:tcPr>
          <w:p w:rsidR="001E5AB9" w:rsidRDefault="00CB42FB" w:rsidP="00792F50">
            <w:pPr>
              <w:jc w:val="center"/>
              <w:rPr>
                <w:rFonts w:ascii="Times New Roman" w:hAnsi="Times New Roman" w:cs="Times New Roman"/>
                <w:sz w:val="24"/>
              </w:rPr>
            </w:pPr>
            <w:r>
              <w:rPr>
                <w:rFonts w:ascii="Times New Roman" w:hAnsi="Times New Roman" w:cs="Times New Roman"/>
                <w:sz w:val="24"/>
              </w:rPr>
              <w:t>30.02</w:t>
            </w:r>
          </w:p>
        </w:tc>
        <w:tc>
          <w:tcPr>
            <w:tcW w:w="1159" w:type="pct"/>
            <w:vAlign w:val="center"/>
          </w:tcPr>
          <w:p w:rsidR="001E5AB9" w:rsidRDefault="005C15E0" w:rsidP="00792F50">
            <w:pPr>
              <w:jc w:val="center"/>
              <w:rPr>
                <w:rFonts w:ascii="Times New Roman" w:hAnsi="Times New Roman" w:cs="Times New Roman"/>
                <w:sz w:val="24"/>
              </w:rPr>
            </w:pPr>
            <w:r>
              <w:rPr>
                <w:rFonts w:ascii="Times New Roman" w:hAnsi="Times New Roman" w:cs="Times New Roman"/>
                <w:sz w:val="24"/>
              </w:rPr>
              <w:t>16.98%</w:t>
            </w:r>
          </w:p>
        </w:tc>
      </w:tr>
      <w:tr w:rsidR="001E5AB9" w:rsidTr="006D63AD">
        <w:tc>
          <w:tcPr>
            <w:tcW w:w="1307" w:type="pct"/>
            <w:shd w:val="clear" w:color="auto" w:fill="FFFF00"/>
            <w:vAlign w:val="center"/>
          </w:tcPr>
          <w:p w:rsidR="001E5AB9" w:rsidRPr="00266063" w:rsidRDefault="001E5AB9" w:rsidP="00792F50">
            <w:pPr>
              <w:jc w:val="center"/>
              <w:rPr>
                <w:rFonts w:ascii="Times New Roman" w:hAnsi="Times New Roman" w:cs="Times New Roman"/>
                <w:b/>
                <w:sz w:val="24"/>
              </w:rPr>
            </w:pPr>
            <w:r w:rsidRPr="00266063">
              <w:rPr>
                <w:rFonts w:ascii="Times New Roman" w:hAnsi="Times New Roman" w:cs="Times New Roman"/>
                <w:b/>
                <w:sz w:val="24"/>
              </w:rPr>
              <w:t>Synchrony</w:t>
            </w:r>
          </w:p>
        </w:tc>
        <w:tc>
          <w:tcPr>
            <w:tcW w:w="1238" w:type="pct"/>
            <w:shd w:val="clear" w:color="auto" w:fill="FFFF00"/>
            <w:vAlign w:val="center"/>
          </w:tcPr>
          <w:p w:rsidR="001E5AB9" w:rsidRPr="00C811F6" w:rsidRDefault="00CB42FB" w:rsidP="00792F50">
            <w:pPr>
              <w:jc w:val="center"/>
              <w:rPr>
                <w:rFonts w:ascii="Times New Roman" w:hAnsi="Times New Roman" w:cs="Times New Roman"/>
                <w:b/>
                <w:sz w:val="24"/>
              </w:rPr>
            </w:pPr>
            <w:r w:rsidRPr="00C811F6">
              <w:rPr>
                <w:rFonts w:ascii="Times New Roman" w:hAnsi="Times New Roman" w:cs="Times New Roman"/>
                <w:b/>
                <w:sz w:val="24"/>
              </w:rPr>
              <w:t>30.99</w:t>
            </w:r>
          </w:p>
        </w:tc>
        <w:tc>
          <w:tcPr>
            <w:tcW w:w="1296" w:type="pct"/>
            <w:shd w:val="clear" w:color="auto" w:fill="FFFF00"/>
            <w:vAlign w:val="center"/>
          </w:tcPr>
          <w:p w:rsidR="001E5AB9" w:rsidRPr="00C811F6" w:rsidRDefault="00CB42FB" w:rsidP="00792F50">
            <w:pPr>
              <w:jc w:val="center"/>
              <w:rPr>
                <w:rFonts w:ascii="Times New Roman" w:hAnsi="Times New Roman" w:cs="Times New Roman"/>
                <w:b/>
                <w:sz w:val="24"/>
              </w:rPr>
            </w:pPr>
            <w:r w:rsidRPr="00C811F6">
              <w:rPr>
                <w:rFonts w:ascii="Times New Roman" w:hAnsi="Times New Roman" w:cs="Times New Roman"/>
                <w:b/>
                <w:sz w:val="24"/>
              </w:rPr>
              <w:t>3.66</w:t>
            </w:r>
          </w:p>
        </w:tc>
        <w:tc>
          <w:tcPr>
            <w:tcW w:w="1159" w:type="pct"/>
            <w:shd w:val="clear" w:color="auto" w:fill="FFFF00"/>
            <w:vAlign w:val="center"/>
          </w:tcPr>
          <w:p w:rsidR="001E5AB9" w:rsidRPr="00C811F6" w:rsidRDefault="005C15E0" w:rsidP="00792F50">
            <w:pPr>
              <w:jc w:val="center"/>
              <w:rPr>
                <w:rFonts w:ascii="Times New Roman" w:hAnsi="Times New Roman" w:cs="Times New Roman"/>
                <w:b/>
                <w:sz w:val="24"/>
              </w:rPr>
            </w:pPr>
            <w:r w:rsidRPr="00C811F6">
              <w:rPr>
                <w:rFonts w:ascii="Times New Roman" w:hAnsi="Times New Roman" w:cs="Times New Roman"/>
                <w:b/>
                <w:sz w:val="24"/>
              </w:rPr>
              <w:t>11.81%</w:t>
            </w:r>
          </w:p>
        </w:tc>
      </w:tr>
      <w:tr w:rsidR="001E5AB9" w:rsidTr="006D63AD">
        <w:tc>
          <w:tcPr>
            <w:tcW w:w="1307" w:type="pct"/>
            <w:vAlign w:val="center"/>
          </w:tcPr>
          <w:p w:rsidR="001E5AB9" w:rsidRPr="00266063" w:rsidRDefault="001E5AB9" w:rsidP="00792F50">
            <w:pPr>
              <w:jc w:val="center"/>
              <w:rPr>
                <w:rFonts w:ascii="Times New Roman" w:hAnsi="Times New Roman" w:cs="Times New Roman"/>
                <w:sz w:val="24"/>
              </w:rPr>
            </w:pPr>
            <w:r w:rsidRPr="00266063">
              <w:rPr>
                <w:rFonts w:ascii="Times New Roman" w:hAnsi="Times New Roman" w:cs="Times New Roman"/>
                <w:sz w:val="24"/>
              </w:rPr>
              <w:t>Honeywell</w:t>
            </w:r>
          </w:p>
        </w:tc>
        <w:tc>
          <w:tcPr>
            <w:tcW w:w="1238" w:type="pct"/>
            <w:vAlign w:val="center"/>
          </w:tcPr>
          <w:p w:rsidR="001E5AB9" w:rsidRDefault="00CB42FB" w:rsidP="00792F50">
            <w:pPr>
              <w:jc w:val="center"/>
              <w:rPr>
                <w:rFonts w:ascii="Times New Roman" w:hAnsi="Times New Roman" w:cs="Times New Roman"/>
                <w:sz w:val="24"/>
              </w:rPr>
            </w:pPr>
            <w:r>
              <w:rPr>
                <w:rFonts w:ascii="Times New Roman" w:hAnsi="Times New Roman" w:cs="Times New Roman"/>
                <w:sz w:val="24"/>
              </w:rPr>
              <w:t>113.73</w:t>
            </w:r>
          </w:p>
        </w:tc>
        <w:tc>
          <w:tcPr>
            <w:tcW w:w="1296" w:type="pct"/>
            <w:vAlign w:val="center"/>
          </w:tcPr>
          <w:p w:rsidR="001E5AB9" w:rsidRDefault="00CB42FB" w:rsidP="00792F50">
            <w:pPr>
              <w:jc w:val="center"/>
              <w:rPr>
                <w:rFonts w:ascii="Times New Roman" w:hAnsi="Times New Roman" w:cs="Times New Roman"/>
                <w:sz w:val="24"/>
              </w:rPr>
            </w:pPr>
            <w:r>
              <w:rPr>
                <w:rFonts w:ascii="Times New Roman" w:hAnsi="Times New Roman" w:cs="Times New Roman"/>
                <w:sz w:val="24"/>
              </w:rPr>
              <w:t>21.66</w:t>
            </w:r>
          </w:p>
        </w:tc>
        <w:tc>
          <w:tcPr>
            <w:tcW w:w="1159" w:type="pct"/>
            <w:vAlign w:val="center"/>
          </w:tcPr>
          <w:p w:rsidR="001E5AB9" w:rsidRDefault="005C15E0" w:rsidP="00792F50">
            <w:pPr>
              <w:jc w:val="center"/>
              <w:rPr>
                <w:rFonts w:ascii="Times New Roman" w:hAnsi="Times New Roman" w:cs="Times New Roman"/>
                <w:sz w:val="24"/>
              </w:rPr>
            </w:pPr>
            <w:r>
              <w:rPr>
                <w:rFonts w:ascii="Times New Roman" w:hAnsi="Times New Roman" w:cs="Times New Roman"/>
                <w:sz w:val="24"/>
              </w:rPr>
              <w:t>19.05%</w:t>
            </w:r>
          </w:p>
        </w:tc>
      </w:tr>
      <w:tr w:rsidR="001E5AB9" w:rsidTr="006D63AD">
        <w:tc>
          <w:tcPr>
            <w:tcW w:w="1307" w:type="pct"/>
            <w:vAlign w:val="center"/>
          </w:tcPr>
          <w:p w:rsidR="001E5AB9" w:rsidRPr="00266063" w:rsidRDefault="00E41C3C" w:rsidP="00792F50">
            <w:pPr>
              <w:jc w:val="center"/>
              <w:rPr>
                <w:rFonts w:ascii="Times New Roman" w:hAnsi="Times New Roman" w:cs="Times New Roman"/>
                <w:sz w:val="24"/>
              </w:rPr>
            </w:pPr>
            <w:r w:rsidRPr="00266063">
              <w:rPr>
                <w:rFonts w:ascii="Times New Roman" w:hAnsi="Times New Roman" w:cs="Times New Roman"/>
                <w:sz w:val="24"/>
              </w:rPr>
              <w:t>Bayer</w:t>
            </w:r>
          </w:p>
        </w:tc>
        <w:tc>
          <w:tcPr>
            <w:tcW w:w="1238" w:type="pct"/>
            <w:vAlign w:val="center"/>
          </w:tcPr>
          <w:p w:rsidR="001E5AB9" w:rsidRDefault="00CB42FB" w:rsidP="00792F50">
            <w:pPr>
              <w:jc w:val="center"/>
              <w:rPr>
                <w:rFonts w:ascii="Times New Roman" w:hAnsi="Times New Roman" w:cs="Times New Roman"/>
                <w:sz w:val="24"/>
              </w:rPr>
            </w:pPr>
            <w:r>
              <w:rPr>
                <w:rFonts w:ascii="Times New Roman" w:hAnsi="Times New Roman" w:cs="Times New Roman"/>
                <w:sz w:val="24"/>
              </w:rPr>
              <w:t>23.35</w:t>
            </w:r>
          </w:p>
        </w:tc>
        <w:tc>
          <w:tcPr>
            <w:tcW w:w="1296" w:type="pct"/>
            <w:vAlign w:val="center"/>
          </w:tcPr>
          <w:p w:rsidR="00CB42FB" w:rsidRDefault="00CB42FB" w:rsidP="00792F50">
            <w:pPr>
              <w:jc w:val="center"/>
              <w:rPr>
                <w:rFonts w:ascii="Times New Roman" w:hAnsi="Times New Roman" w:cs="Times New Roman"/>
                <w:sz w:val="24"/>
              </w:rPr>
            </w:pPr>
            <w:r>
              <w:rPr>
                <w:rFonts w:ascii="Times New Roman" w:hAnsi="Times New Roman" w:cs="Times New Roman"/>
                <w:sz w:val="24"/>
              </w:rPr>
              <w:t>4.34</w:t>
            </w:r>
          </w:p>
        </w:tc>
        <w:tc>
          <w:tcPr>
            <w:tcW w:w="1159" w:type="pct"/>
            <w:vAlign w:val="center"/>
          </w:tcPr>
          <w:p w:rsidR="001E5AB9" w:rsidRDefault="005C15E0" w:rsidP="00792F50">
            <w:pPr>
              <w:jc w:val="center"/>
              <w:rPr>
                <w:rFonts w:ascii="Times New Roman" w:hAnsi="Times New Roman" w:cs="Times New Roman"/>
                <w:sz w:val="24"/>
              </w:rPr>
            </w:pPr>
            <w:r>
              <w:rPr>
                <w:rFonts w:ascii="Times New Roman" w:hAnsi="Times New Roman" w:cs="Times New Roman"/>
                <w:sz w:val="24"/>
              </w:rPr>
              <w:t>18.87%</w:t>
            </w:r>
          </w:p>
        </w:tc>
      </w:tr>
    </w:tbl>
    <w:p w:rsidR="001E5AB9" w:rsidRDefault="001E5AB9">
      <w:pPr>
        <w:rPr>
          <w:rFonts w:ascii="Times New Roman" w:hAnsi="Times New Roman" w:cs="Times New Roman"/>
          <w:sz w:val="24"/>
        </w:rPr>
      </w:pPr>
    </w:p>
    <w:p w:rsidR="002E5515" w:rsidRDefault="002E5515">
      <w:pPr>
        <w:rPr>
          <w:rFonts w:ascii="Times New Roman" w:hAnsi="Times New Roman" w:cs="Times New Roman"/>
          <w:sz w:val="24"/>
        </w:rPr>
      </w:pPr>
      <w:r>
        <w:rPr>
          <w:rFonts w:ascii="Times New Roman" w:hAnsi="Times New Roman" w:cs="Times New Roman"/>
          <w:sz w:val="24"/>
        </w:rPr>
        <w:tab/>
        <w:t>Looking at data from all four of companies for the closing rate between 2014 and 2019 and plotting the closings that were greater than 1% from the previous closings, the Honeywell stock is seen to be the one that grew the most over the past four years</w:t>
      </w:r>
      <w:r w:rsidR="0060680F">
        <w:rPr>
          <w:rFonts w:ascii="Times New Roman" w:hAnsi="Times New Roman" w:cs="Times New Roman"/>
          <w:sz w:val="24"/>
        </w:rPr>
        <w:t>. However, this implies that it is too late to invest into the Honeywell company.</w:t>
      </w:r>
      <w:r w:rsidR="002E58F4">
        <w:rPr>
          <w:rFonts w:ascii="Times New Roman" w:hAnsi="Times New Roman" w:cs="Times New Roman"/>
          <w:sz w:val="24"/>
        </w:rPr>
        <w:t xml:space="preserve"> Instead, it would be better to invest in </w:t>
      </w:r>
      <w:r w:rsidR="00DC69A4" w:rsidRPr="00266063">
        <w:rPr>
          <w:rFonts w:ascii="Times New Roman" w:hAnsi="Times New Roman" w:cs="Times New Roman"/>
          <w:b/>
          <w:sz w:val="24"/>
        </w:rPr>
        <w:t>Synchrony</w:t>
      </w:r>
      <w:r w:rsidR="00DC69A4">
        <w:rPr>
          <w:rFonts w:ascii="Times New Roman" w:hAnsi="Times New Roman" w:cs="Times New Roman"/>
          <w:b/>
          <w:sz w:val="24"/>
        </w:rPr>
        <w:t xml:space="preserve"> </w:t>
      </w:r>
      <w:r w:rsidR="00DC69A4">
        <w:rPr>
          <w:rFonts w:ascii="Times New Roman" w:hAnsi="Times New Roman" w:cs="Times New Roman"/>
          <w:sz w:val="24"/>
        </w:rPr>
        <w:t xml:space="preserve">as the company is </w:t>
      </w:r>
      <w:r w:rsidR="00C811F6">
        <w:rPr>
          <w:rFonts w:ascii="Times New Roman" w:hAnsi="Times New Roman" w:cs="Times New Roman"/>
          <w:sz w:val="24"/>
        </w:rPr>
        <w:t>cycling regularly between the highs and lows of their stock.</w:t>
      </w:r>
      <w:r w:rsidR="00524E39">
        <w:rPr>
          <w:rFonts w:ascii="Times New Roman" w:hAnsi="Times New Roman" w:cs="Times New Roman"/>
          <w:sz w:val="24"/>
        </w:rPr>
        <w:t xml:space="preserve"> For Synchrony, the company is at a valley or peak every 100 changes greater than 1%</w:t>
      </w:r>
      <w:r w:rsidR="006D0A5E">
        <w:rPr>
          <w:rFonts w:ascii="Times New Roman" w:hAnsi="Times New Roman" w:cs="Times New Roman"/>
          <w:sz w:val="24"/>
        </w:rPr>
        <w:t>.</w:t>
      </w:r>
      <w:r w:rsidR="00266063">
        <w:rPr>
          <w:rFonts w:ascii="Times New Roman" w:hAnsi="Times New Roman" w:cs="Times New Roman"/>
          <w:sz w:val="24"/>
        </w:rPr>
        <w:t xml:space="preserve"> With 500 being the next low, a peak is expected to occur at around 100 more changes.</w:t>
      </w:r>
      <w:r w:rsidR="00854C20">
        <w:rPr>
          <w:rFonts w:ascii="Times New Roman" w:hAnsi="Times New Roman" w:cs="Times New Roman"/>
          <w:sz w:val="24"/>
        </w:rPr>
        <w:t xml:space="preserve"> The tables are below.</w:t>
      </w:r>
    </w:p>
    <w:p w:rsidR="00266063" w:rsidRPr="00DC69A4" w:rsidRDefault="00266063">
      <w:pPr>
        <w:rPr>
          <w:rFonts w:ascii="Times New Roman" w:hAnsi="Times New Roman" w:cs="Times New Roman"/>
          <w:sz w:val="24"/>
        </w:rPr>
      </w:pPr>
    </w:p>
    <w:p w:rsidR="005C15E0" w:rsidRDefault="00202C6F">
      <w:pPr>
        <w:rPr>
          <w:rFonts w:ascii="Times New Roman" w:hAnsi="Times New Roman" w:cs="Times New Roman"/>
          <w:noProof/>
          <w:sz w:val="24"/>
        </w:rPr>
      </w:pPr>
      <w:r w:rsidRPr="00202C6F">
        <w:rPr>
          <w:noProof/>
        </w:rPr>
        <w:drawing>
          <wp:inline distT="0" distB="0" distL="0" distR="0">
            <wp:extent cx="3337560" cy="2367562"/>
            <wp:effectExtent l="0" t="0" r="0" b="0"/>
            <wp:docPr id="12" name="Picture 12" descr="C:\Users\Chris\AppData\Local\Microsoft\Windows\INetCache\Content.MSO\15BA0DF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ris\AppData\Local\Microsoft\Windows\INetCache\Content.MSO\15BA0DF1.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37560" cy="2367562"/>
                    </a:xfrm>
                    <a:prstGeom prst="rect">
                      <a:avLst/>
                    </a:prstGeom>
                    <a:noFill/>
                    <a:ln>
                      <a:noFill/>
                    </a:ln>
                  </pic:spPr>
                </pic:pic>
              </a:graphicData>
            </a:graphic>
          </wp:inline>
        </w:drawing>
      </w:r>
      <w:r w:rsidR="00792F50">
        <w:rPr>
          <w:noProof/>
        </w:rPr>
        <w:t xml:space="preserve"> </w:t>
      </w:r>
      <w:r w:rsidRPr="00202C6F">
        <w:rPr>
          <w:noProof/>
        </w:rPr>
        <w:drawing>
          <wp:inline distT="0" distB="0" distL="0" distR="0">
            <wp:extent cx="3337560" cy="2367562"/>
            <wp:effectExtent l="0" t="0" r="0" b="0"/>
            <wp:docPr id="11" name="Picture 11" descr="C:\Users\Chris\AppData\Local\Microsoft\Windows\INetCache\Content.MSO\4C0FC5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Microsoft\Windows\INetCache\Content.MSO\4C0FC5D5.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7560" cy="2367562"/>
                    </a:xfrm>
                    <a:prstGeom prst="rect">
                      <a:avLst/>
                    </a:prstGeom>
                    <a:noFill/>
                    <a:ln>
                      <a:noFill/>
                    </a:ln>
                  </pic:spPr>
                </pic:pic>
              </a:graphicData>
            </a:graphic>
          </wp:inline>
        </w:drawing>
      </w:r>
      <w:r w:rsidR="00792F50" w:rsidRPr="00792F50">
        <w:rPr>
          <w:noProof/>
        </w:rPr>
        <w:t xml:space="preserve"> </w:t>
      </w:r>
      <w:r w:rsidRPr="00202C6F">
        <w:rPr>
          <w:noProof/>
        </w:rPr>
        <w:drawing>
          <wp:inline distT="0" distB="0" distL="0" distR="0">
            <wp:extent cx="3337560" cy="2345142"/>
            <wp:effectExtent l="0" t="0" r="0" b="0"/>
            <wp:docPr id="10" name="Picture 10" descr="C:\Users\Chris\AppData\Local\Microsoft\Windows\INetCache\Content.MSO\3BCDB5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ris\AppData\Local\Microsoft\Windows\INetCache\Content.MSO\3BCDB57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7560" cy="2345142"/>
                    </a:xfrm>
                    <a:prstGeom prst="rect">
                      <a:avLst/>
                    </a:prstGeom>
                    <a:noFill/>
                    <a:ln>
                      <a:noFill/>
                    </a:ln>
                  </pic:spPr>
                </pic:pic>
              </a:graphicData>
            </a:graphic>
          </wp:inline>
        </w:drawing>
      </w:r>
      <w:r w:rsidR="00792F50" w:rsidRPr="00792F50">
        <w:rPr>
          <w:noProof/>
        </w:rPr>
        <w:t xml:space="preserve"> </w:t>
      </w:r>
      <w:r w:rsidR="001708F4">
        <w:rPr>
          <w:noProof/>
        </w:rPr>
        <w:drawing>
          <wp:inline distT="0" distB="0" distL="0" distR="0" wp14:anchorId="47D9D4C5" wp14:editId="7FAD6AC5">
            <wp:extent cx="3337560" cy="2367562"/>
            <wp:effectExtent l="0" t="0" r="0" b="0"/>
            <wp:docPr id="9" name="Picture 9" descr="C:\Users\Chris\AppData\Local\Microsoft\Windows\INetCache\Content.MSO\843A49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ris\AppData\Local\Microsoft\Windows\INetCache\Content.MSO\843A494C.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7560" cy="2367562"/>
                    </a:xfrm>
                    <a:prstGeom prst="rect">
                      <a:avLst/>
                    </a:prstGeom>
                    <a:noFill/>
                    <a:ln>
                      <a:noFill/>
                    </a:ln>
                  </pic:spPr>
                </pic:pic>
              </a:graphicData>
            </a:graphic>
          </wp:inline>
        </w:drawing>
      </w:r>
    </w:p>
    <w:p w:rsidR="00854C20" w:rsidRDefault="00854C20">
      <w:pPr>
        <w:rPr>
          <w:rFonts w:ascii="Times New Roman" w:hAnsi="Times New Roman" w:cs="Times New Roman"/>
          <w:sz w:val="24"/>
        </w:rPr>
      </w:pPr>
      <w:r>
        <w:rPr>
          <w:rFonts w:ascii="Times New Roman" w:hAnsi="Times New Roman" w:cs="Times New Roman"/>
          <w:sz w:val="24"/>
        </w:rPr>
        <w:lastRenderedPageBreak/>
        <w:tab/>
        <w:t>After training a Geometric Brownian Motion</w:t>
      </w:r>
      <w:r w:rsidR="00447AB9">
        <w:rPr>
          <w:rFonts w:ascii="Times New Roman" w:hAnsi="Times New Roman" w:cs="Times New Roman"/>
          <w:sz w:val="24"/>
        </w:rPr>
        <w:t xml:space="preserve"> (GBM)</w:t>
      </w:r>
      <w:r>
        <w:rPr>
          <w:rFonts w:ascii="Times New Roman" w:hAnsi="Times New Roman" w:cs="Times New Roman"/>
          <w:sz w:val="24"/>
        </w:rPr>
        <w:t xml:space="preserve"> model on data from the past four years,</w:t>
      </w:r>
      <w:r w:rsidR="00CE36C9">
        <w:rPr>
          <w:rFonts w:ascii="Times New Roman" w:hAnsi="Times New Roman" w:cs="Times New Roman"/>
          <w:sz w:val="24"/>
        </w:rPr>
        <w:t xml:space="preserve"> the model was used to extrapolate on what is expected to occur in the first six weeks of 2019. </w:t>
      </w:r>
      <w:r w:rsidR="00447AB9">
        <w:rPr>
          <w:rFonts w:ascii="Times New Roman" w:hAnsi="Times New Roman" w:cs="Times New Roman"/>
          <w:sz w:val="24"/>
        </w:rPr>
        <w:t xml:space="preserve">The model’s prediction was measured against the actual results from the first weeks of 2019 and verification of the accuracy of the model was measured by calculating the RMSE value between the GBM model and the actual </w:t>
      </w:r>
      <w:r w:rsidR="00AD2416">
        <w:rPr>
          <w:rFonts w:ascii="Times New Roman" w:hAnsi="Times New Roman" w:cs="Times New Roman"/>
          <w:sz w:val="24"/>
        </w:rPr>
        <w:t>values. The smaller the RMSE value translated to a more accurate representation of the predicted model and the actual data. Below are the graphs that were generated with the predicted model and the actual values, as well as the RMSE values for each of the graphs.</w:t>
      </w:r>
      <w:r w:rsidR="00123E87">
        <w:rPr>
          <w:rFonts w:ascii="Times New Roman" w:hAnsi="Times New Roman" w:cs="Times New Roman"/>
          <w:sz w:val="24"/>
        </w:rPr>
        <w:t xml:space="preserve"> As it can be seen, the RMSE value of Synchrony and Honeywell are low and would allow for the conclusion that the predicted model would be a good match for what happened.</w:t>
      </w:r>
      <w:r w:rsidR="00CD7B46">
        <w:rPr>
          <w:rFonts w:ascii="Times New Roman" w:hAnsi="Times New Roman" w:cs="Times New Roman"/>
          <w:sz w:val="24"/>
        </w:rPr>
        <w:t xml:space="preserve"> It would be recommended to invest in </w:t>
      </w:r>
      <w:r w:rsidR="00CD7B46" w:rsidRPr="00892250">
        <w:rPr>
          <w:rFonts w:ascii="Times New Roman" w:hAnsi="Times New Roman" w:cs="Times New Roman"/>
          <w:b/>
          <w:sz w:val="24"/>
        </w:rPr>
        <w:t>Synchrony or Honeywell</w:t>
      </w:r>
      <w:r w:rsidR="00CD7B46">
        <w:rPr>
          <w:rFonts w:ascii="Times New Roman" w:hAnsi="Times New Roman" w:cs="Times New Roman"/>
          <w:sz w:val="24"/>
        </w:rPr>
        <w:t xml:space="preserve"> for these reasons as they are the better two of the four that can be tracked with the GBM model that was used.</w:t>
      </w:r>
    </w:p>
    <w:p w:rsidR="00003A58" w:rsidRDefault="00003A58">
      <w:pPr>
        <w:rPr>
          <w:rFonts w:ascii="Times New Roman" w:hAnsi="Times New Roman" w:cs="Times New Roman"/>
          <w:sz w:val="24"/>
        </w:rPr>
      </w:pPr>
    </w:p>
    <w:tbl>
      <w:tblPr>
        <w:tblStyle w:val="TableGrid"/>
        <w:tblpPr w:leftFromText="180" w:rightFromText="180" w:vertAnchor="text" w:horzAnchor="margin" w:tblpY="32"/>
        <w:tblW w:w="5000" w:type="pct"/>
        <w:tblLook w:val="04A0" w:firstRow="1" w:lastRow="0" w:firstColumn="1" w:lastColumn="0" w:noHBand="0" w:noVBand="1"/>
      </w:tblPr>
      <w:tblGrid>
        <w:gridCol w:w="3235"/>
        <w:gridCol w:w="7555"/>
      </w:tblGrid>
      <w:tr w:rsidR="00123E87" w:rsidTr="00003A58">
        <w:tc>
          <w:tcPr>
            <w:tcW w:w="1499" w:type="pct"/>
            <w:vAlign w:val="center"/>
          </w:tcPr>
          <w:p w:rsidR="00123E87" w:rsidRDefault="00123E87" w:rsidP="00123E87">
            <w:pPr>
              <w:jc w:val="center"/>
              <w:rPr>
                <w:rFonts w:ascii="Times New Roman" w:hAnsi="Times New Roman" w:cs="Times New Roman"/>
                <w:sz w:val="24"/>
              </w:rPr>
            </w:pPr>
            <w:r>
              <w:rPr>
                <w:rFonts w:ascii="Times New Roman" w:hAnsi="Times New Roman" w:cs="Times New Roman"/>
                <w:sz w:val="24"/>
              </w:rPr>
              <w:t>Company</w:t>
            </w:r>
          </w:p>
        </w:tc>
        <w:tc>
          <w:tcPr>
            <w:tcW w:w="3501" w:type="pct"/>
            <w:vAlign w:val="center"/>
          </w:tcPr>
          <w:p w:rsidR="00123E87" w:rsidRDefault="00123E87" w:rsidP="00123E87">
            <w:pPr>
              <w:jc w:val="center"/>
              <w:rPr>
                <w:rFonts w:ascii="Times New Roman" w:hAnsi="Times New Roman" w:cs="Times New Roman"/>
                <w:sz w:val="24"/>
              </w:rPr>
            </w:pPr>
            <w:r>
              <w:rPr>
                <w:rFonts w:ascii="Times New Roman" w:hAnsi="Times New Roman" w:cs="Times New Roman"/>
                <w:sz w:val="24"/>
              </w:rPr>
              <w:t>RMSE with Unmodified Data</w:t>
            </w:r>
          </w:p>
        </w:tc>
      </w:tr>
      <w:tr w:rsidR="00123E87" w:rsidTr="00003A58">
        <w:tc>
          <w:tcPr>
            <w:tcW w:w="1499" w:type="pct"/>
            <w:vAlign w:val="center"/>
          </w:tcPr>
          <w:p w:rsidR="00123E87" w:rsidRDefault="00123E87" w:rsidP="00123E87">
            <w:pPr>
              <w:jc w:val="center"/>
              <w:rPr>
                <w:rFonts w:ascii="Times New Roman" w:hAnsi="Times New Roman" w:cs="Times New Roman"/>
                <w:sz w:val="24"/>
              </w:rPr>
            </w:pPr>
            <w:r>
              <w:rPr>
                <w:rFonts w:ascii="Times New Roman" w:hAnsi="Times New Roman" w:cs="Times New Roman"/>
                <w:sz w:val="24"/>
              </w:rPr>
              <w:t>Bayer</w:t>
            </w:r>
          </w:p>
        </w:tc>
        <w:tc>
          <w:tcPr>
            <w:tcW w:w="3501" w:type="pct"/>
            <w:vAlign w:val="center"/>
          </w:tcPr>
          <w:p w:rsidR="00123E87" w:rsidRDefault="00123E87" w:rsidP="00123E87">
            <w:pPr>
              <w:jc w:val="center"/>
              <w:rPr>
                <w:rFonts w:ascii="Times New Roman" w:hAnsi="Times New Roman" w:cs="Times New Roman"/>
                <w:sz w:val="24"/>
              </w:rPr>
            </w:pPr>
            <w:r>
              <w:rPr>
                <w:rFonts w:ascii="Times New Roman" w:hAnsi="Times New Roman" w:cs="Times New Roman"/>
                <w:sz w:val="24"/>
              </w:rPr>
              <w:t>12.46</w:t>
            </w:r>
          </w:p>
        </w:tc>
      </w:tr>
      <w:tr w:rsidR="00123E87" w:rsidTr="00003A58">
        <w:tc>
          <w:tcPr>
            <w:tcW w:w="1499" w:type="pct"/>
            <w:vAlign w:val="center"/>
          </w:tcPr>
          <w:p w:rsidR="00123E87" w:rsidRDefault="00123E87" w:rsidP="00123E87">
            <w:pPr>
              <w:jc w:val="center"/>
              <w:rPr>
                <w:rFonts w:ascii="Times New Roman" w:hAnsi="Times New Roman" w:cs="Times New Roman"/>
                <w:sz w:val="24"/>
              </w:rPr>
            </w:pPr>
            <w:r>
              <w:rPr>
                <w:rFonts w:ascii="Times New Roman" w:hAnsi="Times New Roman" w:cs="Times New Roman"/>
                <w:sz w:val="24"/>
              </w:rPr>
              <w:t>3M</w:t>
            </w:r>
          </w:p>
        </w:tc>
        <w:tc>
          <w:tcPr>
            <w:tcW w:w="3501" w:type="pct"/>
            <w:vAlign w:val="center"/>
          </w:tcPr>
          <w:p w:rsidR="00123E87" w:rsidRDefault="00123E87" w:rsidP="00123E87">
            <w:pPr>
              <w:jc w:val="center"/>
              <w:rPr>
                <w:rFonts w:ascii="Times New Roman" w:hAnsi="Times New Roman" w:cs="Times New Roman"/>
                <w:sz w:val="24"/>
              </w:rPr>
            </w:pPr>
            <w:r>
              <w:rPr>
                <w:rFonts w:ascii="Times New Roman" w:hAnsi="Times New Roman" w:cs="Times New Roman"/>
                <w:sz w:val="24"/>
              </w:rPr>
              <w:t>12.58</w:t>
            </w:r>
          </w:p>
        </w:tc>
      </w:tr>
      <w:tr w:rsidR="00123E87" w:rsidTr="00003A58">
        <w:tc>
          <w:tcPr>
            <w:tcW w:w="1499" w:type="pct"/>
            <w:shd w:val="clear" w:color="auto" w:fill="FFFF00"/>
            <w:vAlign w:val="center"/>
          </w:tcPr>
          <w:p w:rsidR="00123E87" w:rsidRPr="00123E87" w:rsidRDefault="00123E87" w:rsidP="00123E87">
            <w:pPr>
              <w:jc w:val="center"/>
              <w:rPr>
                <w:rFonts w:ascii="Times New Roman" w:hAnsi="Times New Roman" w:cs="Times New Roman"/>
                <w:b/>
                <w:sz w:val="24"/>
              </w:rPr>
            </w:pPr>
            <w:r w:rsidRPr="00123E87">
              <w:rPr>
                <w:rFonts w:ascii="Times New Roman" w:hAnsi="Times New Roman" w:cs="Times New Roman"/>
                <w:b/>
                <w:sz w:val="24"/>
              </w:rPr>
              <w:t>Synchrony</w:t>
            </w:r>
          </w:p>
        </w:tc>
        <w:tc>
          <w:tcPr>
            <w:tcW w:w="3501" w:type="pct"/>
            <w:shd w:val="clear" w:color="auto" w:fill="FFFF00"/>
            <w:vAlign w:val="center"/>
          </w:tcPr>
          <w:p w:rsidR="00123E87" w:rsidRPr="00123E87" w:rsidRDefault="00123E87" w:rsidP="00123E87">
            <w:pPr>
              <w:jc w:val="center"/>
              <w:rPr>
                <w:rFonts w:ascii="Times New Roman" w:hAnsi="Times New Roman" w:cs="Times New Roman"/>
                <w:b/>
                <w:sz w:val="24"/>
              </w:rPr>
            </w:pPr>
            <w:r w:rsidRPr="00123E87">
              <w:rPr>
                <w:rFonts w:ascii="Times New Roman" w:hAnsi="Times New Roman" w:cs="Times New Roman"/>
                <w:b/>
                <w:sz w:val="24"/>
              </w:rPr>
              <w:t>7.79</w:t>
            </w:r>
          </w:p>
        </w:tc>
      </w:tr>
      <w:tr w:rsidR="00123E87" w:rsidTr="00003A58">
        <w:tc>
          <w:tcPr>
            <w:tcW w:w="1499" w:type="pct"/>
            <w:shd w:val="clear" w:color="auto" w:fill="FFFF00"/>
            <w:vAlign w:val="center"/>
          </w:tcPr>
          <w:p w:rsidR="00123E87" w:rsidRPr="00123E87" w:rsidRDefault="00123E87" w:rsidP="00123E87">
            <w:pPr>
              <w:jc w:val="center"/>
              <w:rPr>
                <w:rFonts w:ascii="Times New Roman" w:hAnsi="Times New Roman" w:cs="Times New Roman"/>
                <w:b/>
                <w:sz w:val="24"/>
              </w:rPr>
            </w:pPr>
            <w:r w:rsidRPr="00123E87">
              <w:rPr>
                <w:rFonts w:ascii="Times New Roman" w:hAnsi="Times New Roman" w:cs="Times New Roman"/>
                <w:b/>
                <w:sz w:val="24"/>
              </w:rPr>
              <w:t>Honeywell</w:t>
            </w:r>
          </w:p>
        </w:tc>
        <w:tc>
          <w:tcPr>
            <w:tcW w:w="3501" w:type="pct"/>
            <w:shd w:val="clear" w:color="auto" w:fill="FFFF00"/>
            <w:vAlign w:val="center"/>
          </w:tcPr>
          <w:p w:rsidR="00123E87" w:rsidRPr="00123E87" w:rsidRDefault="00123E87" w:rsidP="00123E87">
            <w:pPr>
              <w:jc w:val="center"/>
              <w:rPr>
                <w:rFonts w:ascii="Times New Roman" w:hAnsi="Times New Roman" w:cs="Times New Roman"/>
                <w:b/>
                <w:sz w:val="24"/>
              </w:rPr>
            </w:pPr>
            <w:r w:rsidRPr="00123E87">
              <w:rPr>
                <w:rFonts w:ascii="Times New Roman" w:hAnsi="Times New Roman" w:cs="Times New Roman"/>
                <w:b/>
                <w:sz w:val="24"/>
              </w:rPr>
              <w:t>7.21</w:t>
            </w:r>
          </w:p>
        </w:tc>
      </w:tr>
    </w:tbl>
    <w:p w:rsidR="00003A58" w:rsidRPr="00854C20" w:rsidRDefault="00003A58">
      <w:pPr>
        <w:rPr>
          <w:rFonts w:ascii="Times New Roman" w:hAnsi="Times New Roman" w:cs="Times New Roman"/>
          <w:sz w:val="24"/>
        </w:rPr>
      </w:pPr>
      <w:r>
        <w:rPr>
          <w:noProof/>
        </w:rPr>
        <w:drawing>
          <wp:inline distT="0" distB="0" distL="0" distR="0" wp14:anchorId="61EE988B" wp14:editId="195F05BC">
            <wp:extent cx="3337560" cy="2686640"/>
            <wp:effectExtent l="0" t="0" r="0" b="0"/>
            <wp:docPr id="7" name="Picture 7" descr="C:\Users\Chris\AppData\Local\Microsoft\Windows\INetCache\Content.MSO\11F0310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Microsoft\Windows\INetCache\Content.MSO\11F0310A.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7560" cy="2686640"/>
                    </a:xfrm>
                    <a:prstGeom prst="rect">
                      <a:avLst/>
                    </a:prstGeom>
                    <a:noFill/>
                    <a:ln>
                      <a:noFill/>
                    </a:ln>
                  </pic:spPr>
                </pic:pic>
              </a:graphicData>
            </a:graphic>
          </wp:inline>
        </w:drawing>
      </w:r>
      <w:r w:rsidR="00A34060">
        <w:rPr>
          <w:noProof/>
        </w:rPr>
        <w:drawing>
          <wp:inline distT="0" distB="0" distL="0" distR="0">
            <wp:extent cx="3337560" cy="2686640"/>
            <wp:effectExtent l="0" t="0" r="0" b="0"/>
            <wp:docPr id="6" name="Picture 6" descr="C:\Users\Chris\AppData\Local\Microsoft\Windows\INetCache\Content.MSO\D2CC34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AppData\Local\Microsoft\Windows\INetCache\Content.MSO\D2CC349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7560" cy="2686640"/>
                    </a:xfrm>
                    <a:prstGeom prst="rect">
                      <a:avLst/>
                    </a:prstGeom>
                    <a:noFill/>
                    <a:ln>
                      <a:noFill/>
                    </a:ln>
                  </pic:spPr>
                </pic:pic>
              </a:graphicData>
            </a:graphic>
          </wp:inline>
        </w:drawing>
      </w:r>
      <w:r>
        <w:rPr>
          <w:noProof/>
        </w:rPr>
        <w:drawing>
          <wp:inline distT="0" distB="0" distL="0" distR="0">
            <wp:extent cx="3337560" cy="2728374"/>
            <wp:effectExtent l="0" t="0" r="0" b="0"/>
            <wp:docPr id="8" name="Picture 8" descr="C:\Users\Chris\AppData\Local\Microsoft\Windows\INetCache\Content.MSO\C9795D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Microsoft\Windows\INetCache\Content.MSO\C9795DA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7560" cy="2728374"/>
                    </a:xfrm>
                    <a:prstGeom prst="rect">
                      <a:avLst/>
                    </a:prstGeom>
                    <a:noFill/>
                    <a:ln>
                      <a:noFill/>
                    </a:ln>
                  </pic:spPr>
                </pic:pic>
              </a:graphicData>
            </a:graphic>
          </wp:inline>
        </w:drawing>
      </w:r>
      <w:r>
        <w:rPr>
          <w:noProof/>
        </w:rPr>
        <w:drawing>
          <wp:inline distT="0" distB="0" distL="0" distR="0" wp14:anchorId="2792E520" wp14:editId="496CD258">
            <wp:extent cx="3337560" cy="2728374"/>
            <wp:effectExtent l="0" t="0" r="0" b="0"/>
            <wp:docPr id="1" name="Picture 1" descr="C:\Users\Chris\AppData\Local\Microsoft\Windows\INetCache\Content.MSO\75F354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AppData\Local\Microsoft\Windows\INetCache\Content.MSO\75F354DE.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7560" cy="2728374"/>
                    </a:xfrm>
                    <a:prstGeom prst="rect">
                      <a:avLst/>
                    </a:prstGeom>
                    <a:noFill/>
                    <a:ln>
                      <a:noFill/>
                    </a:ln>
                  </pic:spPr>
                </pic:pic>
              </a:graphicData>
            </a:graphic>
          </wp:inline>
        </w:drawing>
      </w:r>
    </w:p>
    <w:sectPr w:rsidR="00003A58" w:rsidRPr="00854C20" w:rsidSect="006D63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44E"/>
    <w:rsid w:val="00003A58"/>
    <w:rsid w:val="00123E87"/>
    <w:rsid w:val="00154012"/>
    <w:rsid w:val="001708F4"/>
    <w:rsid w:val="001E5AB9"/>
    <w:rsid w:val="00202C6F"/>
    <w:rsid w:val="00266063"/>
    <w:rsid w:val="002C0340"/>
    <w:rsid w:val="002C298B"/>
    <w:rsid w:val="002E5515"/>
    <w:rsid w:val="002E58F4"/>
    <w:rsid w:val="00306CD9"/>
    <w:rsid w:val="004134CF"/>
    <w:rsid w:val="00447AB9"/>
    <w:rsid w:val="00524E39"/>
    <w:rsid w:val="00592962"/>
    <w:rsid w:val="005C15E0"/>
    <w:rsid w:val="0060680F"/>
    <w:rsid w:val="00614B3F"/>
    <w:rsid w:val="006D0A5E"/>
    <w:rsid w:val="006D63AD"/>
    <w:rsid w:val="00721194"/>
    <w:rsid w:val="00792F50"/>
    <w:rsid w:val="00854C20"/>
    <w:rsid w:val="00892250"/>
    <w:rsid w:val="00A34060"/>
    <w:rsid w:val="00A828E8"/>
    <w:rsid w:val="00AC744E"/>
    <w:rsid w:val="00AD2416"/>
    <w:rsid w:val="00BF4DFE"/>
    <w:rsid w:val="00C811F6"/>
    <w:rsid w:val="00CB42FB"/>
    <w:rsid w:val="00CD7B46"/>
    <w:rsid w:val="00CE36C9"/>
    <w:rsid w:val="00DC69A4"/>
    <w:rsid w:val="00E41C3C"/>
    <w:rsid w:val="00EE6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F82A0"/>
  <w15:chartTrackingRefBased/>
  <w15:docId w15:val="{34F08444-7438-4F6A-B5AD-272EA3784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5AB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23</cp:revision>
  <dcterms:created xsi:type="dcterms:W3CDTF">2019-02-16T18:37:00Z</dcterms:created>
  <dcterms:modified xsi:type="dcterms:W3CDTF">2019-02-17T05:24:00Z</dcterms:modified>
</cp:coreProperties>
</file>