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CAPM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return of an asset by finding the risk premium of the asset plus the risk free rate (typically a t-bill)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expected return is equal to the risk free rate of return (return of t-bill) plus the beta (stock’s volatility in relation to the market) times the difference between market return and and risk free return (also known as the risk premium)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+ B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(r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- 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=&gt; expected return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=&gt; risk free rate of return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=&gt; beta 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- 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=&gt; market premium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Equity Rebalancing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Algorithm that takes a portfolio of stocks, measures CAGR, Sharpe, and maximum drawdown, and uses a benchmark (S&amp;P) to compare those to. Then at the end of each month, lowest performing stocks replaced with highest performing stocks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Predicted Volatility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historical volatility (standard deviation of close prices), a rolling prediction of volatility was created 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at Risk w/ Monte Carlo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Forecasting minimum or maximum loss of a portfolio with a 95% confidence level of probability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a portfolio, if stocks held for 2 years, minimum daily loss is 1.7% with a 5% probability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Time series analysis on industries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Factors that influence industry the most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Pandemic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Legislation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Sharpe ratio</w:t>
        </w:r>
      </w:hyperlink>
      <w:r w:rsidDel="00000000" w:rsidR="00000000" w:rsidRPr="00000000">
        <w:rPr>
          <w:rtl w:val="0"/>
        </w:rPr>
        <w:t xml:space="preserve"> on individual stocks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ant.stackexchange.com/questions/50518/sharpe-ratio-form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