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2F75E1">
      <w:pPr>
        <w:spacing w:line="600" w:lineRule="auto"/>
        <w:ind w:firstLine="723"/>
        <w:jc w:val="center"/>
        <w:rPr>
          <w:rFonts w:hint="eastAsia" w:ascii="宋体" w:hAnsi="宋体"/>
          <w:b/>
          <w:sz w:val="32"/>
          <w:szCs w:val="32"/>
        </w:rPr>
      </w:pPr>
      <w:r>
        <w:rPr>
          <w:rFonts w:hint="eastAsia" w:eastAsia="黑体"/>
          <w:b/>
          <w:sz w:val="36"/>
          <w:szCs w:val="36"/>
        </w:rPr>
        <w:t>西南科技大学</w:t>
      </w:r>
      <w:r>
        <w:rPr>
          <w:rFonts w:hint="eastAsia" w:eastAsia="黑体"/>
          <w:b/>
          <w:bCs/>
          <w:sz w:val="36"/>
          <w:szCs w:val="36"/>
        </w:rPr>
        <w:t>本科毕业设计（论文）开题报告</w:t>
      </w:r>
    </w:p>
    <w:tbl>
      <w:tblPr>
        <w:tblStyle w:val="15"/>
        <w:tblW w:w="86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6"/>
        <w:gridCol w:w="2032"/>
        <w:gridCol w:w="941"/>
        <w:gridCol w:w="2005"/>
        <w:gridCol w:w="941"/>
        <w:gridCol w:w="1640"/>
      </w:tblGrid>
      <w:tr w14:paraId="72CDC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atLeast"/>
        </w:trPr>
        <w:tc>
          <w:tcPr>
            <w:tcW w:w="1066" w:type="dxa"/>
            <w:vAlign w:val="center"/>
          </w:tcPr>
          <w:p w14:paraId="6DC9F461">
            <w:pPr>
              <w:spacing w:line="240" w:lineRule="auto"/>
              <w:ind w:firstLine="0" w:firstLineChars="0"/>
              <w:jc w:val="center"/>
              <w:rPr>
                <w:rFonts w:hint="eastAsia" w:ascii="楷体_GB2312" w:hAnsi="宋体" w:eastAsia="楷体_GB2312"/>
                <w:b/>
                <w:sz w:val="24"/>
                <w:szCs w:val="24"/>
              </w:rPr>
            </w:pPr>
            <w:r>
              <w:rPr>
                <w:rFonts w:hint="eastAsia" w:ascii="楷体_GB2312" w:hAnsi="宋体" w:eastAsia="楷体_GB2312"/>
                <w:b/>
                <w:sz w:val="24"/>
                <w:szCs w:val="24"/>
              </w:rPr>
              <w:t>学   院</w:t>
            </w:r>
          </w:p>
        </w:tc>
        <w:tc>
          <w:tcPr>
            <w:tcW w:w="2032" w:type="dxa"/>
            <w:vAlign w:val="center"/>
          </w:tcPr>
          <w:p w14:paraId="77B11D8D">
            <w:pPr>
              <w:pStyle w:val="59"/>
            </w:pPr>
            <w:r>
              <w:rPr>
                <w:rFonts w:hint="eastAsia"/>
              </w:rPr>
              <w:t>计算机科学与技术</w:t>
            </w:r>
          </w:p>
        </w:tc>
        <w:tc>
          <w:tcPr>
            <w:tcW w:w="941" w:type="dxa"/>
            <w:vAlign w:val="center"/>
          </w:tcPr>
          <w:p w14:paraId="60C7B537">
            <w:pPr>
              <w:spacing w:line="240" w:lineRule="auto"/>
              <w:ind w:firstLine="0" w:firstLineChars="0"/>
              <w:jc w:val="center"/>
              <w:rPr>
                <w:rFonts w:hint="eastAsia" w:ascii="楷体_GB2312" w:hAnsi="宋体" w:eastAsia="楷体_GB2312"/>
                <w:b/>
                <w:sz w:val="24"/>
                <w:szCs w:val="24"/>
              </w:rPr>
            </w:pPr>
            <w:r>
              <w:rPr>
                <w:rFonts w:hint="eastAsia" w:ascii="楷体_GB2312" w:hAnsi="宋体" w:eastAsia="楷体_GB2312"/>
                <w:b/>
                <w:sz w:val="24"/>
                <w:szCs w:val="24"/>
              </w:rPr>
              <w:t>专业</w:t>
            </w:r>
          </w:p>
        </w:tc>
        <w:tc>
          <w:tcPr>
            <w:tcW w:w="2005" w:type="dxa"/>
            <w:vAlign w:val="center"/>
          </w:tcPr>
          <w:p w14:paraId="687FD6B8">
            <w:pPr>
              <w:pStyle w:val="59"/>
            </w:pPr>
            <w:r>
              <w:rPr>
                <w:rFonts w:hint="eastAsia"/>
              </w:rPr>
              <w:t>计算机科学与技术（卓越）</w:t>
            </w:r>
          </w:p>
        </w:tc>
        <w:tc>
          <w:tcPr>
            <w:tcW w:w="941" w:type="dxa"/>
            <w:vAlign w:val="center"/>
          </w:tcPr>
          <w:p w14:paraId="0B5D4596">
            <w:pPr>
              <w:spacing w:line="240" w:lineRule="auto"/>
              <w:ind w:firstLine="0" w:firstLineChars="0"/>
              <w:jc w:val="center"/>
              <w:rPr>
                <w:rFonts w:hint="eastAsia" w:ascii="楷体_GB2312" w:hAnsi="宋体" w:eastAsia="楷体_GB2312"/>
                <w:b/>
                <w:sz w:val="24"/>
                <w:szCs w:val="24"/>
              </w:rPr>
            </w:pPr>
            <w:r>
              <w:rPr>
                <w:rFonts w:hint="eastAsia" w:ascii="楷体_GB2312" w:hAnsi="宋体" w:eastAsia="楷体_GB2312"/>
                <w:b/>
                <w:sz w:val="24"/>
                <w:szCs w:val="24"/>
              </w:rPr>
              <w:t>班级</w:t>
            </w:r>
          </w:p>
        </w:tc>
        <w:tc>
          <w:tcPr>
            <w:tcW w:w="1640" w:type="dxa"/>
            <w:vAlign w:val="center"/>
          </w:tcPr>
          <w:p w14:paraId="14433ED2">
            <w:pPr>
              <w:pStyle w:val="59"/>
            </w:pPr>
            <w:r>
              <w:rPr>
                <w:rFonts w:hint="eastAsia"/>
              </w:rPr>
              <w:t>计科卓越2201</w:t>
            </w:r>
          </w:p>
        </w:tc>
      </w:tr>
      <w:tr w14:paraId="6D5B1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8" w:hRule="atLeast"/>
        </w:trPr>
        <w:tc>
          <w:tcPr>
            <w:tcW w:w="1066" w:type="dxa"/>
            <w:vAlign w:val="center"/>
          </w:tcPr>
          <w:p w14:paraId="5A9941CF">
            <w:pPr>
              <w:spacing w:line="240" w:lineRule="auto"/>
              <w:ind w:firstLine="0" w:firstLineChars="0"/>
              <w:jc w:val="center"/>
              <w:rPr>
                <w:rFonts w:hint="eastAsia" w:ascii="楷体_GB2312" w:hAnsi="宋体" w:eastAsia="楷体_GB2312"/>
                <w:b/>
                <w:sz w:val="24"/>
                <w:szCs w:val="24"/>
              </w:rPr>
            </w:pPr>
            <w:r>
              <w:rPr>
                <w:rFonts w:hint="eastAsia" w:ascii="楷体_GB2312" w:hAnsi="宋体" w:eastAsia="楷体_GB2312"/>
                <w:b/>
                <w:sz w:val="24"/>
                <w:szCs w:val="24"/>
              </w:rPr>
              <w:t>姓   名</w:t>
            </w:r>
          </w:p>
        </w:tc>
        <w:tc>
          <w:tcPr>
            <w:tcW w:w="2032" w:type="dxa"/>
            <w:vAlign w:val="center"/>
          </w:tcPr>
          <w:p w14:paraId="447E961D">
            <w:pPr>
              <w:pStyle w:val="59"/>
            </w:pPr>
            <w:r>
              <w:rPr>
                <w:rFonts w:hint="eastAsia"/>
              </w:rPr>
              <w:t>程童</w:t>
            </w:r>
          </w:p>
        </w:tc>
        <w:tc>
          <w:tcPr>
            <w:tcW w:w="941" w:type="dxa"/>
            <w:vAlign w:val="center"/>
          </w:tcPr>
          <w:p w14:paraId="4751B04D">
            <w:pPr>
              <w:spacing w:line="240" w:lineRule="auto"/>
              <w:ind w:firstLine="0" w:firstLineChars="0"/>
              <w:jc w:val="center"/>
              <w:rPr>
                <w:rFonts w:hint="eastAsia" w:ascii="楷体_GB2312" w:hAnsi="宋体" w:eastAsia="楷体_GB2312"/>
                <w:b/>
                <w:sz w:val="24"/>
                <w:szCs w:val="24"/>
              </w:rPr>
            </w:pPr>
            <w:r>
              <w:rPr>
                <w:rFonts w:hint="eastAsia" w:ascii="楷体_GB2312" w:hAnsi="宋体" w:eastAsia="楷体_GB2312"/>
                <w:b/>
                <w:sz w:val="24"/>
                <w:szCs w:val="24"/>
              </w:rPr>
              <w:t>学号</w:t>
            </w:r>
          </w:p>
        </w:tc>
        <w:tc>
          <w:tcPr>
            <w:tcW w:w="2005" w:type="dxa"/>
            <w:vAlign w:val="center"/>
          </w:tcPr>
          <w:p w14:paraId="23E544AE">
            <w:pPr>
              <w:pStyle w:val="59"/>
            </w:pPr>
            <w:r>
              <w:rPr>
                <w:rFonts w:hint="eastAsia"/>
              </w:rPr>
              <w:t>5120221800</w:t>
            </w:r>
          </w:p>
        </w:tc>
        <w:tc>
          <w:tcPr>
            <w:tcW w:w="941" w:type="dxa"/>
            <w:vAlign w:val="center"/>
          </w:tcPr>
          <w:p w14:paraId="2D887E5C">
            <w:pPr>
              <w:spacing w:line="240" w:lineRule="auto"/>
              <w:ind w:firstLine="0" w:firstLineChars="0"/>
              <w:jc w:val="center"/>
              <w:rPr>
                <w:rFonts w:hint="eastAsia" w:ascii="楷体_GB2312" w:hAnsi="宋体" w:eastAsia="楷体_GB2312"/>
                <w:b/>
                <w:sz w:val="24"/>
                <w:szCs w:val="24"/>
              </w:rPr>
            </w:pPr>
            <w:r>
              <w:rPr>
                <w:rFonts w:hint="eastAsia" w:ascii="楷体_GB2312" w:hAnsi="宋体" w:eastAsia="楷体_GB2312"/>
                <w:b/>
                <w:sz w:val="24"/>
                <w:szCs w:val="24"/>
              </w:rPr>
              <w:t>指导教师</w:t>
            </w:r>
          </w:p>
        </w:tc>
        <w:tc>
          <w:tcPr>
            <w:tcW w:w="1640" w:type="dxa"/>
            <w:vAlign w:val="center"/>
          </w:tcPr>
          <w:p w14:paraId="68645D45">
            <w:pPr>
              <w:pStyle w:val="59"/>
            </w:pPr>
            <w:r>
              <w:rPr>
                <w:rFonts w:hint="eastAsia"/>
              </w:rPr>
              <w:t>张晓蓉</w:t>
            </w:r>
          </w:p>
        </w:tc>
      </w:tr>
      <w:tr w14:paraId="2E047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8" w:hRule="atLeast"/>
        </w:trPr>
        <w:tc>
          <w:tcPr>
            <w:tcW w:w="1066" w:type="dxa"/>
            <w:vAlign w:val="center"/>
          </w:tcPr>
          <w:p w14:paraId="5A5C7AF9">
            <w:pPr>
              <w:spacing w:line="240" w:lineRule="auto"/>
              <w:ind w:firstLine="0" w:firstLineChars="0"/>
              <w:jc w:val="center"/>
              <w:rPr>
                <w:rFonts w:hint="eastAsia" w:ascii="楷体_GB2312" w:hAnsi="宋体" w:eastAsia="楷体_GB2312"/>
                <w:b/>
                <w:sz w:val="24"/>
                <w:szCs w:val="24"/>
              </w:rPr>
            </w:pPr>
            <w:r>
              <w:rPr>
                <w:rFonts w:hint="eastAsia" w:ascii="楷体_GB2312" w:hAnsi="宋体" w:eastAsia="楷体_GB2312"/>
                <w:b/>
                <w:sz w:val="24"/>
                <w:szCs w:val="24"/>
              </w:rPr>
              <w:t>设计（论文）题目</w:t>
            </w:r>
          </w:p>
        </w:tc>
        <w:tc>
          <w:tcPr>
            <w:tcW w:w="7559" w:type="dxa"/>
            <w:gridSpan w:val="5"/>
            <w:vAlign w:val="center"/>
          </w:tcPr>
          <w:p w14:paraId="28E6818B">
            <w:pPr>
              <w:pStyle w:val="59"/>
              <w:rPr>
                <w:rFonts w:hint="eastAsia" w:ascii="楷体_GB2312" w:hAnsi="宋体" w:eastAsia="楷体_GB2312"/>
                <w:b/>
              </w:rPr>
            </w:pPr>
            <w:r>
              <w:rPr>
                <w:rFonts w:hint="eastAsia" w:ascii="宋体" w:hAnsi="宋体" w:cs="宋体"/>
              </w:rPr>
              <w:t>基于模仿学习与强化学习融合的双足机器人步态控制研究</w:t>
            </w:r>
          </w:p>
        </w:tc>
      </w:tr>
      <w:tr w14:paraId="1D4AF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rPr>
        <w:tc>
          <w:tcPr>
            <w:tcW w:w="8625" w:type="dxa"/>
            <w:gridSpan w:val="6"/>
            <w:vAlign w:val="center"/>
          </w:tcPr>
          <w:p w14:paraId="7C8534E4">
            <w:pPr>
              <w:spacing w:line="240" w:lineRule="auto"/>
              <w:ind w:firstLine="0" w:firstLineChars="0"/>
              <w:jc w:val="center"/>
              <w:rPr>
                <w:rFonts w:hint="eastAsia" w:ascii="楷体_GB2312" w:hAnsi="宋体" w:eastAsia="楷体_GB2312"/>
                <w:b/>
                <w:sz w:val="24"/>
              </w:rPr>
            </w:pPr>
            <w:r>
              <w:rPr>
                <w:rFonts w:hint="eastAsia" w:ascii="楷体_GB2312" w:hAnsi="宋体" w:eastAsia="楷体_GB2312"/>
                <w:b/>
                <w:sz w:val="24"/>
                <w:szCs w:val="24"/>
              </w:rPr>
              <w:t>一、选题背景（目的、意义）</w:t>
            </w:r>
          </w:p>
        </w:tc>
      </w:tr>
      <w:tr w14:paraId="7540B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5" w:type="dxa"/>
            <w:gridSpan w:val="6"/>
          </w:tcPr>
          <w:p w14:paraId="5FFD40B9">
            <w:pPr>
              <w:pStyle w:val="2"/>
              <w:spacing w:before="156" w:after="156"/>
            </w:pPr>
            <w:r>
              <w:t>选题背景</w:t>
            </w:r>
          </w:p>
          <w:p w14:paraId="11A8E28F">
            <w:pPr>
              <w:ind w:firstLine="420"/>
            </w:pPr>
            <w:r>
              <w:t>随着人工智能与机器人技术的飞速发展，足式机器人因其卓越的地形适应能力，在灾难救援、家庭服务及特种作业等复杂非结构化场景中展现出巨大的应用潜力。其中，双足机器人具有拟人化的形态结构，能够适应人类的生活环境（如楼梯、狭窄通道），是机器人领域的研究热点。</w:t>
            </w:r>
          </w:p>
          <w:p w14:paraId="17084A43">
            <w:pPr>
              <w:ind w:firstLine="420"/>
            </w:pPr>
            <w:r>
              <w:t>然而，双足机器人系统具有高维度、非线性、欠驱动及混合动力学等特征，实现其稳健、自然且高效的步态控制始终是该领域的难点。传统的步态控制方法主要依赖于简化的动力学模型（如倒立摆模型）和基于模型的控制算法。虽然这些方法在特定工况下表现优异，但其严重依赖精确的物理模型，对环境扰动敏感，且参数整定过程繁琐，难以应对复杂多变的真实地形</w:t>
            </w:r>
            <w:r>
              <w:rPr>
                <w:sz w:val="24"/>
                <w:szCs w:val="24"/>
                <w:vertAlign w:val="superscript"/>
              </w:rPr>
              <w:t>[1]</w:t>
            </w:r>
            <w:r>
              <w:t>。</w:t>
            </w:r>
          </w:p>
          <w:p w14:paraId="00264675">
            <w:pPr>
              <w:ind w:firstLine="420"/>
            </w:pPr>
            <w:r>
              <w:t>近年来，深度强化学习（Deep Reinforcement Learning, DRL）在机器人控制领域取得了突破性进展</w:t>
            </w:r>
            <w:r>
              <w:rPr>
                <w:sz w:val="24"/>
                <w:szCs w:val="24"/>
                <w:vertAlign w:val="superscript"/>
              </w:rPr>
              <w:t>[</w:t>
            </w:r>
            <w:r>
              <w:rPr>
                <w:rFonts w:hint="eastAsia"/>
                <w:sz w:val="24"/>
                <w:szCs w:val="24"/>
                <w:vertAlign w:val="superscript"/>
              </w:rPr>
              <w:t>2</w:t>
            </w:r>
            <w:r>
              <w:rPr>
                <w:sz w:val="24"/>
                <w:szCs w:val="24"/>
                <w:vertAlign w:val="superscript"/>
              </w:rPr>
              <w:t>]</w:t>
            </w:r>
            <w:r>
              <w:t>，通过端到端的学习方式，机器人能够在仿真环境中通过试错习得复杂的运动策略</w:t>
            </w:r>
            <w:r>
              <w:rPr>
                <w:sz w:val="24"/>
                <w:szCs w:val="24"/>
                <w:vertAlign w:val="superscript"/>
              </w:rPr>
              <w:t>[</w:t>
            </w:r>
            <w:r>
              <w:rPr>
                <w:rFonts w:hint="eastAsia"/>
                <w:sz w:val="24"/>
                <w:szCs w:val="24"/>
                <w:vertAlign w:val="superscript"/>
              </w:rPr>
              <w:t>3</w:t>
            </w:r>
            <w:r>
              <w:rPr>
                <w:sz w:val="24"/>
                <w:szCs w:val="24"/>
                <w:vertAlign w:val="superscript"/>
              </w:rPr>
              <w:t>]</w:t>
            </w:r>
            <w:r>
              <w:t>。</w:t>
            </w:r>
          </w:p>
          <w:p w14:paraId="3415BCAA">
            <w:pPr>
              <w:ind w:firstLine="420"/>
            </w:pPr>
            <w:r>
              <w:t>然而，纯强化学习方法存在样本效率低、收敛困难以及生成的步态动作僵硬、抖动等问题，且在从仿真迁移到真机（Sim2Real）时面临巨大的“鸿沟”</w:t>
            </w:r>
            <w:r>
              <w:rPr>
                <w:sz w:val="24"/>
                <w:szCs w:val="24"/>
                <w:vertAlign w:val="superscript"/>
              </w:rPr>
              <w:t>[</w:t>
            </w:r>
            <w:r>
              <w:rPr>
                <w:rFonts w:hint="eastAsia"/>
                <w:sz w:val="24"/>
                <w:szCs w:val="24"/>
                <w:vertAlign w:val="superscript"/>
              </w:rPr>
              <w:t>4</w:t>
            </w:r>
            <w:r>
              <w:rPr>
                <w:sz w:val="24"/>
                <w:szCs w:val="24"/>
                <w:vertAlign w:val="superscript"/>
              </w:rPr>
              <w:t>]</w:t>
            </w:r>
            <w:r>
              <w:t>。</w:t>
            </w:r>
          </w:p>
          <w:p w14:paraId="40F394CF">
            <w:pPr>
              <w:ind w:firstLine="420"/>
              <w:rPr>
                <w:rFonts w:hint="eastAsia" w:eastAsia="宋体"/>
                <w:lang w:eastAsia="zh-CN"/>
              </w:rPr>
            </w:pPr>
            <w:r>
              <w:t>针对上述问题，结合模仿学习（Imitation Learning, IL）的高效引导性与强化学习的强适应性，成为解决双足机器人步态控制难题的新途径</w:t>
            </w:r>
            <w:r>
              <w:rPr>
                <w:sz w:val="24"/>
                <w:szCs w:val="24"/>
                <w:vertAlign w:val="superscript"/>
              </w:rPr>
              <w:t>[</w:t>
            </w:r>
            <w:r>
              <w:rPr>
                <w:rFonts w:hint="eastAsia"/>
                <w:sz w:val="24"/>
                <w:szCs w:val="24"/>
                <w:vertAlign w:val="superscript"/>
              </w:rPr>
              <w:t>5</w:t>
            </w:r>
            <w:r>
              <w:rPr>
                <w:rFonts w:hint="eastAsia"/>
                <w:sz w:val="24"/>
                <w:szCs w:val="24"/>
                <w:vertAlign w:val="superscript"/>
                <w:lang w:val="en-US" w:eastAsia="zh-CN"/>
              </w:rPr>
              <w:t>-7</w:t>
            </w:r>
            <w:r>
              <w:rPr>
                <w:sz w:val="24"/>
                <w:szCs w:val="24"/>
                <w:vertAlign w:val="superscript"/>
              </w:rPr>
              <w:t>]</w:t>
            </w:r>
            <w:r>
              <w:t>。本课题拟探索“模仿学习</w:t>
            </w:r>
            <w:r>
              <w:rPr>
                <w:rFonts w:hint="eastAsia"/>
              </w:rPr>
              <w:t>和</w:t>
            </w:r>
            <w:r>
              <w:t>强化学习微调”的融合范式，旨在解决传统控制鲁棒性差及纯RL步态不自然、训练难的问题。</w:t>
            </w:r>
          </w:p>
          <w:p w14:paraId="5BA094E0">
            <w:pPr>
              <w:pStyle w:val="2"/>
              <w:spacing w:before="156" w:after="156"/>
            </w:pPr>
            <w:r>
              <w:rPr>
                <w:rFonts w:hint="eastAsia"/>
              </w:rPr>
              <w:t>选题目的</w:t>
            </w:r>
          </w:p>
          <w:p w14:paraId="3A7C40BF">
            <w:pPr>
              <w:ind w:firstLine="420"/>
              <w:rPr>
                <w:rFonts w:hint="eastAsia"/>
                <w:lang w:eastAsia="zh-CN"/>
              </w:rPr>
            </w:pPr>
            <w:r>
              <w:t>本课题旨在</w:t>
            </w:r>
            <w:r>
              <w:rPr>
                <w:rFonts w:hint="eastAsia"/>
                <w:lang w:val="en-US" w:eastAsia="zh-CN"/>
              </w:rPr>
              <w:t>研究</w:t>
            </w:r>
            <w:r>
              <w:t>并</w:t>
            </w:r>
            <w:r>
              <w:rPr>
                <w:rFonts w:hint="eastAsia"/>
                <w:lang w:val="en-US" w:eastAsia="zh-CN"/>
              </w:rPr>
              <w:t>构建一</w:t>
            </w:r>
            <w:r>
              <w:t>种基于模仿学习与强化学习融合的双足机器人步态控制框架，通过引入人类运动捕捉数据</w:t>
            </w:r>
            <w:r>
              <w:rPr>
                <w:rFonts w:hint="eastAsia"/>
                <w:lang w:eastAsia="zh-CN"/>
              </w:rPr>
              <w:t>、</w:t>
            </w:r>
            <w:r>
              <w:t>专家示范轨迹作为先验知识，结合强化学习的探索机制，实现双足机器人在复杂环境下的稳定行走。具体研究目的如下：</w:t>
            </w:r>
          </w:p>
          <w:p w14:paraId="6848E6EB">
            <w:pPr>
              <w:numPr>
                <w:ilvl w:val="0"/>
                <w:numId w:val="5"/>
              </w:numPr>
              <w:ind w:firstLine="422"/>
            </w:pPr>
            <w:r>
              <w:rPr>
                <w:rStyle w:val="33"/>
              </w:rPr>
              <w:t>构建高效的策略学习框架：</w:t>
            </w:r>
          </w:p>
          <w:p w14:paraId="4BCCC464">
            <w:pPr>
              <w:numPr>
                <w:ilvl w:val="0"/>
                <w:numId w:val="0"/>
              </w:numPr>
              <w:ind w:firstLine="420" w:firstLineChars="200"/>
            </w:pPr>
            <w:r>
              <w:t>利用运动捕捉数据或优化算法生成的轨迹进行模仿学习，快速获得初始步态策略，解决强化学习冷启动困难和初期探索风险高的问题。</w:t>
            </w:r>
          </w:p>
          <w:p w14:paraId="0997047A">
            <w:pPr>
              <w:numPr>
                <w:ilvl w:val="0"/>
                <w:numId w:val="0"/>
              </w:numPr>
              <w:ind w:firstLine="420" w:firstLineChars="200"/>
            </w:pPr>
            <w:r>
              <w:t>相较于纯强化学习与传统模型控制方法，进一步提升步态的鲁棒性与自然度</w:t>
            </w:r>
            <w:r>
              <w:rPr>
                <w:rFonts w:hint="eastAsia"/>
                <w:lang w:eastAsia="zh-CN"/>
              </w:rPr>
              <w:t>，</w:t>
            </w:r>
            <w:r>
              <w:t>通过在奖励函数中引入安全性约束及能耗优化指标，利用PPO算法对初始策略进行微调，使机器人具备</w:t>
            </w:r>
            <w:r>
              <w:rPr>
                <w:rFonts w:hint="eastAsia"/>
                <w:lang w:val="en-US" w:eastAsia="zh-CN"/>
              </w:rPr>
              <w:t xml:space="preserve"> </w:t>
            </w:r>
            <w:r>
              <w:t>0.2-1.0m/s的可调行走速度，并能在侧向冲击（20-30N）下保持平衡。</w:t>
            </w:r>
          </w:p>
          <w:p w14:paraId="17BD8C8C">
            <w:pPr>
              <w:numPr>
                <w:ilvl w:val="0"/>
                <w:numId w:val="5"/>
              </w:numPr>
              <w:ind w:firstLine="422"/>
            </w:pPr>
            <w:r>
              <w:rPr>
                <w:rStyle w:val="33"/>
                <w:rFonts w:hint="eastAsia"/>
                <w:lang w:val="en-US" w:eastAsia="zh-CN"/>
              </w:rPr>
              <w:t>实现</w:t>
            </w:r>
            <w:r>
              <w:rPr>
                <w:rStyle w:val="33"/>
              </w:rPr>
              <w:t>Sim2Real虚实迁移</w:t>
            </w:r>
            <w:r>
              <w:rPr>
                <w:rStyle w:val="33"/>
                <w:rFonts w:hint="eastAsia"/>
                <w:lang w:val="en-US" w:eastAsia="zh-CN"/>
              </w:rPr>
              <w:t>目标</w:t>
            </w:r>
            <w:r>
              <w:rPr>
                <w:rStyle w:val="33"/>
              </w:rPr>
              <w:t>：</w:t>
            </w:r>
          </w:p>
          <w:p w14:paraId="01936F20">
            <w:pPr>
              <w:pStyle w:val="7"/>
              <w:rPr>
                <w:rFonts w:hint="eastAsia" w:eastAsia="宋体"/>
                <w:lang w:eastAsia="zh-CN"/>
              </w:rPr>
            </w:pPr>
            <w:r>
              <w:t>研究域随机化</w:t>
            </w:r>
            <w:bookmarkStart w:id="0" w:name="_GoBack"/>
            <w:bookmarkEnd w:id="0"/>
            <w:r>
              <w:t>与时延补偿技术，降低仿真与现实环境的差异，确保策略在真实样机上无需大量再训练即可实现连续行走100m以上无跌倒的目标。</w:t>
            </w:r>
          </w:p>
          <w:p w14:paraId="101AD7F3">
            <w:pPr>
              <w:pStyle w:val="2"/>
              <w:spacing w:before="156" w:after="156"/>
            </w:pPr>
            <w:r>
              <w:rPr>
                <w:rFonts w:hint="eastAsia"/>
              </w:rPr>
              <w:t>选题意义</w:t>
            </w:r>
          </w:p>
          <w:p w14:paraId="70DB3707">
            <w:pPr>
              <w:ind w:firstLine="420"/>
            </w:pPr>
            <w:r>
              <w:t>本课题的研究具有重要的学术价值和广泛的工程应用前景：</w:t>
            </w:r>
          </w:p>
          <w:p w14:paraId="11E9C333">
            <w:pPr>
              <w:numPr>
                <w:ilvl w:val="0"/>
                <w:numId w:val="6"/>
              </w:numPr>
              <w:ind w:firstLine="422"/>
            </w:pPr>
            <w:r>
              <w:rPr>
                <w:rStyle w:val="33"/>
              </w:rPr>
              <w:t>学术价值</w:t>
            </w:r>
            <w:r>
              <w:rPr>
                <w:rStyle w:val="33"/>
                <w:rFonts w:hint="eastAsia"/>
              </w:rPr>
              <w:t>:</w:t>
            </w:r>
          </w:p>
          <w:p w14:paraId="24DB0443">
            <w:pPr>
              <w:numPr>
                <w:ilvl w:val="0"/>
                <w:numId w:val="0"/>
              </w:numPr>
              <w:ind w:firstLine="420" w:firstLineChars="200"/>
            </w:pPr>
            <w:r>
              <w:t>本研究探索模仿学习与强化学习的有机融合机制，对于解决高维欠驱动系统的控制难题具有理论参考价值。特别是针对学习型算法缺乏安全性保障的问题，本课题引入控制障碍函数（CBF）</w:t>
            </w:r>
            <w:r>
              <w:rPr>
                <w:rFonts w:hint="eastAsia"/>
                <w:lang w:val="en-US" w:eastAsia="zh-CN"/>
              </w:rPr>
              <w:t>和</w:t>
            </w:r>
            <w:r>
              <w:t>Lyapunov稳定性约束等理论，有助于建立更具解释性和安全性的机器人学习框架。此外，研究中形成的Sim2Real迁移策略与评测基准，可为后续机器人学习研究提供可复用的方法论支撑。</w:t>
            </w:r>
          </w:p>
          <w:p w14:paraId="095E406D">
            <w:pPr>
              <w:numPr>
                <w:ilvl w:val="0"/>
                <w:numId w:val="6"/>
              </w:numPr>
              <w:ind w:firstLine="422"/>
            </w:pPr>
            <w:r>
              <w:rPr>
                <w:rStyle w:val="33"/>
              </w:rPr>
              <w:t>工程意义</w:t>
            </w:r>
            <w:r>
              <w:rPr>
                <w:rStyle w:val="33"/>
                <w:rFonts w:hint="eastAsia"/>
              </w:rPr>
              <w:t>:</w:t>
            </w:r>
          </w:p>
          <w:p w14:paraId="43546A32">
            <w:pPr>
              <w:numPr>
                <w:ilvl w:val="0"/>
                <w:numId w:val="0"/>
              </w:numPr>
              <w:ind w:firstLine="420" w:firstLineChars="200"/>
            </w:pPr>
            <w:r>
              <w:t>相较于传统控制方法，本研究提出的数据驱动型控制策略能够显著降低人工建模与参数调试的成本。通过赋予双足机器人更强的抗扰动能力和地形适应性，将极大地推动双足机器人在康复辅具（外骨骼）、智能物流配送及危险环境巡检等实际场景中的落地应用，提升机器人的智能化水平与作业安全性。</w:t>
            </w:r>
          </w:p>
        </w:tc>
      </w:tr>
      <w:tr w14:paraId="275ED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8625" w:type="dxa"/>
            <w:gridSpan w:val="6"/>
            <w:vAlign w:val="center"/>
          </w:tcPr>
          <w:p w14:paraId="4EFBA7BD">
            <w:pPr>
              <w:spacing w:line="240" w:lineRule="auto"/>
              <w:ind w:firstLine="0" w:firstLineChars="0"/>
              <w:jc w:val="center"/>
              <w:rPr>
                <w:rFonts w:hint="eastAsia" w:ascii="宋体" w:hAnsi="宋体"/>
                <w:b/>
                <w:sz w:val="28"/>
              </w:rPr>
            </w:pPr>
            <w:r>
              <w:rPr>
                <w:rFonts w:hint="eastAsia" w:ascii="楷体_GB2312" w:hAnsi="宋体" w:eastAsia="楷体_GB2312"/>
                <w:b/>
                <w:sz w:val="24"/>
                <w:szCs w:val="24"/>
              </w:rPr>
              <w:t>二、国内外研究现状综述</w:t>
            </w:r>
          </w:p>
        </w:tc>
      </w:tr>
      <w:tr w14:paraId="2BD38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5" w:type="dxa"/>
            <w:gridSpan w:val="6"/>
          </w:tcPr>
          <w:p w14:paraId="7DC00CAF">
            <w:pPr>
              <w:ind w:firstLine="420"/>
            </w:pPr>
            <w:r>
              <w:t>双足机器人的步态控制一直是机器人学与控制理论领域的各种挑战性课题。近年来，随着计算能力的提升和算法的演进，该领域的研究主要经历了从基于模型的传统控制向数据驱动的学习型控制转变的过程。</w:t>
            </w:r>
          </w:p>
          <w:p w14:paraId="4BB39421">
            <w:pPr>
              <w:pStyle w:val="2"/>
              <w:numPr>
                <w:ilvl w:val="0"/>
                <w:numId w:val="7"/>
              </w:numPr>
              <w:spacing w:before="156" w:after="156"/>
            </w:pPr>
            <w:r>
              <w:t>基于模型的传统步态控制研究现状</w:t>
            </w:r>
          </w:p>
          <w:p w14:paraId="434687E3">
            <w:pPr>
              <w:ind w:firstLine="420"/>
            </w:pPr>
            <w:r>
              <w:t>基于模型的控制方法长期占据双足机器人控制的主导地位，其核心在于建立精确的机器人动力学模型，并在此基础上进行轨迹规划与稳定性控制。</w:t>
            </w:r>
          </w:p>
          <w:p w14:paraId="03D7D766">
            <w:pPr>
              <w:numPr>
                <w:ilvl w:val="0"/>
                <w:numId w:val="8"/>
              </w:numPr>
              <w:ind w:firstLine="422"/>
            </w:pPr>
            <w:r>
              <w:rPr>
                <w:rStyle w:val="33"/>
              </w:rPr>
              <w:t>零力矩点（ZMP）与线性倒立摆（LIPM）</w:t>
            </w:r>
          </w:p>
          <w:p w14:paraId="1D16BAB7">
            <w:pPr>
              <w:numPr>
                <w:ilvl w:val="0"/>
                <w:numId w:val="0"/>
              </w:numPr>
              <w:ind w:firstLine="420" w:firstLineChars="200"/>
            </w:pPr>
            <w:r>
              <w:t>早期的双足行走主要依赖于 Vukobratović提出的零力矩点（ZMP）稳定性判据</w:t>
            </w:r>
            <w:r>
              <w:rPr>
                <w:sz w:val="24"/>
                <w:szCs w:val="24"/>
                <w:vertAlign w:val="superscript"/>
              </w:rPr>
              <w:t>[</w:t>
            </w:r>
            <w:r>
              <w:rPr>
                <w:rFonts w:hint="eastAsia"/>
                <w:sz w:val="24"/>
                <w:szCs w:val="24"/>
                <w:vertAlign w:val="superscript"/>
              </w:rPr>
              <w:t>8</w:t>
            </w:r>
            <w:r>
              <w:rPr>
                <w:sz w:val="24"/>
                <w:szCs w:val="24"/>
                <w:vertAlign w:val="superscript"/>
              </w:rPr>
              <w:t>]</w:t>
            </w:r>
            <w:r>
              <w:t>。为了降低高维动力学方程的求解难度，Kajita</w:t>
            </w:r>
            <w:r>
              <w:rPr>
                <w:sz w:val="24"/>
                <w:szCs w:val="24"/>
                <w:vertAlign w:val="superscript"/>
              </w:rPr>
              <w:t>[</w:t>
            </w:r>
            <w:r>
              <w:rPr>
                <w:rFonts w:hint="eastAsia"/>
                <w:sz w:val="24"/>
                <w:szCs w:val="24"/>
                <w:vertAlign w:val="superscript"/>
              </w:rPr>
              <w:t>9</w:t>
            </w:r>
            <w:r>
              <w:rPr>
                <w:sz w:val="24"/>
                <w:szCs w:val="24"/>
                <w:vertAlign w:val="superscript"/>
              </w:rPr>
              <w:t>]</w:t>
            </w:r>
            <w:r>
              <w:t>等人提出了著名的线性倒立摆模型（Linear Inverted Pendulum Mode, LIPM）。该研究将复杂的双足机器人简化为一个受限于水平面的倒立摆，通过预瞄控制（Preview Control）算法，在保证 ZMP 处于支撑多边形内的前提下，实时计算质心（CoM）的理想轨迹。Kajita的研究表明，通过求解代数黎卡提方程（CARE），可以有效处理行走过程中的扰动，实现平稳的步态生成。国内学者于建均等</w:t>
            </w:r>
            <w:r>
              <w:rPr>
                <w:vertAlign w:val="superscript"/>
              </w:rPr>
              <w:t>[1]</w:t>
            </w:r>
            <w:r>
              <w:t>在此基础上，研究了基于 ZMP 判据的仿人机器人步态模仿，进一步验证了经典 ZMP 理论在特定轨迹跟踪任务中的有效性。</w:t>
            </w:r>
          </w:p>
          <w:p w14:paraId="64CD11B7">
            <w:pPr>
              <w:numPr>
                <w:ilvl w:val="0"/>
                <w:numId w:val="0"/>
              </w:numPr>
              <w:ind w:firstLine="422" w:firstLineChars="200"/>
            </w:pPr>
            <w:r>
              <w:rPr>
                <w:b/>
                <w:bCs/>
              </w:rPr>
              <w:t>局限性：</w:t>
            </w:r>
            <w:r>
              <w:t>此类方法假设机器人质心高度恒定且地面绝对平坦，忽略了多刚体动力学的非线性特性，导致其在应对崎岖路面或强外部冲击时表现不佳。</w:t>
            </w:r>
          </w:p>
          <w:p w14:paraId="5AB999E0">
            <w:pPr>
              <w:numPr>
                <w:ilvl w:val="0"/>
                <w:numId w:val="8"/>
              </w:numPr>
              <w:ind w:firstLine="422"/>
            </w:pPr>
            <w:r>
              <w:rPr>
                <w:rStyle w:val="33"/>
              </w:rPr>
              <w:t>模型预测控制（MPC）</w:t>
            </w:r>
          </w:p>
          <w:p w14:paraId="5AF45C2D">
            <w:pPr>
              <w:numPr>
                <w:ilvl w:val="0"/>
                <w:numId w:val="0"/>
              </w:numPr>
              <w:ind w:firstLine="420" w:firstLineChars="200"/>
            </w:pPr>
            <w:r>
              <w:t>为了应对地形扰动，MPC 被广泛应用于步态控制中。它通过在线求解有限时域内的最优控制问题来预测未来状态。Di Carlo等人</w:t>
            </w:r>
            <w:r>
              <w:rPr>
                <w:vertAlign w:val="superscript"/>
              </w:rPr>
              <w:t>[1</w:t>
            </w:r>
            <w:r>
              <w:rPr>
                <w:rFonts w:hint="eastAsia"/>
                <w:vertAlign w:val="superscript"/>
                <w:lang w:val="en-US" w:eastAsia="zh-CN"/>
              </w:rPr>
              <w:t>0</w:t>
            </w:r>
            <w:r>
              <w:rPr>
                <w:vertAlign w:val="superscript"/>
              </w:rPr>
              <w:t>]</w:t>
            </w:r>
            <w:r>
              <w:t>将机器人的动力学约束转化为凸优化问题（QP），在每一个控制周期内在线求解未来一段时间内的最优地面反作用力（GRF），实现了MIT Cheetah 3的高动态奔跑。此外，Grandia等人</w:t>
            </w:r>
            <w:r>
              <w:rPr>
                <w:vertAlign w:val="superscript"/>
              </w:rPr>
              <w:t>[1</w:t>
            </w:r>
            <w:r>
              <w:rPr>
                <w:rFonts w:hint="eastAsia"/>
                <w:vertAlign w:val="superscript"/>
                <w:lang w:val="en-US" w:eastAsia="zh-CN"/>
              </w:rPr>
              <w:t>1</w:t>
            </w:r>
            <w:r>
              <w:rPr>
                <w:vertAlign w:val="superscript"/>
              </w:rPr>
              <w:t>]</w:t>
            </w:r>
            <w:r>
              <w:t>提出了频率感知的 MPC 方法，进一步提升了控制带宽。</w:t>
            </w:r>
          </w:p>
          <w:p w14:paraId="218C322D">
            <w:pPr>
              <w:numPr>
                <w:ilvl w:val="0"/>
                <w:numId w:val="0"/>
              </w:numPr>
              <w:ind w:firstLine="422" w:firstLineChars="200"/>
            </w:pPr>
            <w:r>
              <w:rPr>
                <w:b/>
                <w:bCs/>
              </w:rPr>
              <w:t>局限性：</w:t>
            </w:r>
            <w:r>
              <w:t>这类方法通常需要精确的系统模型，且在处理高维非线性动力学时计算负荷巨大，难以实现高频率的实时控制。</w:t>
            </w:r>
          </w:p>
          <w:p w14:paraId="45624121">
            <w:pPr>
              <w:numPr>
                <w:ilvl w:val="0"/>
                <w:numId w:val="0"/>
              </w:numPr>
              <w:ind w:firstLine="420" w:firstLineChars="200"/>
            </w:pPr>
            <w:r>
              <w:t>通过这种方式，机器人能够在高速奔跑和跳跃中保持平衡。虽然 MPC 在四足机器人上取得了巨大成功，但将其应用于双足机器人时，由于接触点较少且稳定性裕度更窄，对模型的精确度和算力要求极高，难以在低成本硬件上实现高频实时控制</w:t>
            </w:r>
            <w:r>
              <w:rPr>
                <w:rFonts w:hint="eastAsia"/>
                <w:lang w:eastAsia="zh-CN"/>
              </w:rPr>
              <w:t>。</w:t>
            </w:r>
            <w:r>
              <w:t>此外，基于模型的方法对环境参数（如地面摩擦系数）高度敏感，限制了其在未知非结构化环境中的应用</w:t>
            </w:r>
            <w:r>
              <w:rPr>
                <w:vertAlign w:val="superscript"/>
              </w:rPr>
              <w:t>[1</w:t>
            </w:r>
            <w:r>
              <w:rPr>
                <w:rFonts w:hint="eastAsia"/>
                <w:vertAlign w:val="superscript"/>
                <w:lang w:val="en-US" w:eastAsia="zh-CN"/>
              </w:rPr>
              <w:t>1</w:t>
            </w:r>
            <w:r>
              <w:rPr>
                <w:vertAlign w:val="superscript"/>
              </w:rPr>
              <w:t>]</w:t>
            </w:r>
            <w:r>
              <w:t>。</w:t>
            </w:r>
          </w:p>
          <w:p w14:paraId="650E753F">
            <w:pPr>
              <w:pStyle w:val="2"/>
              <w:numPr>
                <w:ilvl w:val="0"/>
                <w:numId w:val="7"/>
              </w:numPr>
              <w:spacing w:before="156" w:after="156"/>
            </w:pPr>
            <w:r>
              <w:t>基于深度强化学习（DRL）的步态控制研究现状</w:t>
            </w:r>
          </w:p>
          <w:p w14:paraId="76B4D9A9">
            <w:pPr>
              <w:ind w:firstLine="420"/>
            </w:pPr>
            <w:r>
              <w:t>近年来，随着深度学习的发展，基于神经网络的端到端控制逐渐成为热点。</w:t>
            </w:r>
          </w:p>
          <w:p w14:paraId="435859FA">
            <w:pPr>
              <w:numPr>
                <w:ilvl w:val="0"/>
                <w:numId w:val="9"/>
              </w:numPr>
              <w:ind w:firstLine="422"/>
            </w:pPr>
            <w:r>
              <w:rPr>
                <w:rStyle w:val="33"/>
              </w:rPr>
              <w:t>端到端的步态学习</w:t>
            </w:r>
          </w:p>
          <w:p w14:paraId="130F1831">
            <w:pPr>
              <w:numPr>
                <w:ilvl w:val="0"/>
                <w:numId w:val="0"/>
              </w:numPr>
              <w:ind w:firstLine="420" w:firstLineChars="200"/>
            </w:pPr>
            <w:r>
              <w:t>通过近端策略优化（PPO）</w:t>
            </w:r>
            <w:r>
              <w:rPr>
                <w:rFonts w:hint="eastAsia"/>
                <w:lang w:eastAsia="zh-CN"/>
              </w:rPr>
              <w:t>、</w:t>
            </w:r>
            <w:r>
              <w:t>软演员-评论家（SAC）等算法，机器人可以在无模型的环境下自主学习行走策略。</w:t>
            </w:r>
            <w:r>
              <w:rPr>
                <w:highlight w:val="none"/>
              </w:rPr>
              <w:t>Schulman等人</w:t>
            </w:r>
            <w:r>
              <w:rPr>
                <w:highlight w:val="none"/>
                <w:vertAlign w:val="superscript"/>
              </w:rPr>
              <w:t>[</w:t>
            </w:r>
            <w:r>
              <w:rPr>
                <w:rFonts w:hint="eastAsia"/>
                <w:highlight w:val="none"/>
                <w:vertAlign w:val="superscript"/>
              </w:rPr>
              <w:t>1</w:t>
            </w:r>
            <w:r>
              <w:rPr>
                <w:rFonts w:hint="eastAsia"/>
                <w:highlight w:val="none"/>
                <w:vertAlign w:val="superscript"/>
                <w:lang w:val="en-US" w:eastAsia="zh-CN"/>
              </w:rPr>
              <w:t>2</w:t>
            </w:r>
            <w:r>
              <w:rPr>
                <w:highlight w:val="none"/>
                <w:vertAlign w:val="superscript"/>
              </w:rPr>
              <w:t>]</w:t>
            </w:r>
            <w:r>
              <w:t>提出的PPO算法因其稳定性被广泛应用于机器人控制。Xie等</w:t>
            </w:r>
            <w:r>
              <w:rPr>
                <w:vertAlign w:val="superscript"/>
              </w:rPr>
              <w:t>[3]</w:t>
            </w:r>
            <w:r>
              <w:t>在Cassie机器人上通过DRL实现了反馈控制，他们设计了一种基于 PD 控制器的反馈回路，利用 RL 网络输出关节的目标位置增益，成功实现了机器人在仿真和真机上的稳定站立与行走。吴晓光等</w:t>
            </w:r>
            <w:r>
              <w:rPr>
                <w:vertAlign w:val="superscript"/>
              </w:rPr>
              <w:t>[2]</w:t>
            </w:r>
            <w:r>
              <w:t>针对斜坡地形，提出了一种基于DRL的自适应步态控制方法，显著提升了机器人的地形适应能力。</w:t>
            </w:r>
          </w:p>
          <w:p w14:paraId="7D2257CC">
            <w:pPr>
              <w:numPr>
                <w:ilvl w:val="0"/>
                <w:numId w:val="0"/>
              </w:numPr>
              <w:ind w:firstLine="420" w:firstLineChars="200"/>
            </w:pPr>
            <w:r>
              <w:t>然而，纯 RL 生成的动作往往呈现出高频震荡、姿态怪异等“非自然”特征，且存在严重的能量浪费。</w:t>
            </w:r>
          </w:p>
          <w:p w14:paraId="4E41B933">
            <w:pPr>
              <w:numPr>
                <w:ilvl w:val="0"/>
                <w:numId w:val="9"/>
              </w:numPr>
              <w:ind w:firstLine="422"/>
            </w:pPr>
            <w:r>
              <w:rPr>
                <w:rStyle w:val="33"/>
              </w:rPr>
              <w:t>Sim2Real迁移技术</w:t>
            </w:r>
          </w:p>
          <w:p w14:paraId="7F8E7050">
            <w:pPr>
              <w:numPr>
                <w:ilvl w:val="0"/>
                <w:numId w:val="0"/>
              </w:numPr>
              <w:ind w:firstLine="420" w:firstLineChars="200"/>
            </w:pPr>
            <w:r>
              <w:t>由于真实世界的复杂性，将在仿真中训练的策略迁移到真机（Sim2Real）是主要瓶颈。</w:t>
            </w:r>
            <w:r>
              <w:rPr>
                <w:highlight w:val="none"/>
              </w:rPr>
              <w:t>Hwangbo等</w:t>
            </w:r>
            <w:r>
              <w:rPr>
                <w:highlight w:val="none"/>
                <w:vertAlign w:val="superscript"/>
              </w:rPr>
              <w:t>[</w:t>
            </w:r>
            <w:r>
              <w:rPr>
                <w:rFonts w:hint="eastAsia"/>
                <w:highlight w:val="none"/>
                <w:vertAlign w:val="superscript"/>
              </w:rPr>
              <w:t>1</w:t>
            </w:r>
            <w:r>
              <w:rPr>
                <w:rFonts w:hint="eastAsia"/>
                <w:highlight w:val="none"/>
                <w:vertAlign w:val="superscript"/>
                <w:lang w:val="en-US" w:eastAsia="zh-CN"/>
              </w:rPr>
              <w:t>3</w:t>
            </w:r>
            <w:r>
              <w:rPr>
                <w:highlight w:val="none"/>
                <w:vertAlign w:val="superscript"/>
              </w:rPr>
              <w:t>]</w:t>
            </w:r>
            <w:r>
              <w:t>在 Science Robotics上发表的研究指出，传统的刚体仿真无法捕捉真实电机和齿轮箱的复杂动力学特性。他们提出了一种基于神经网络的致动器模型，能够极高精度地预测真实执行器的输出力矩，从而大幅提升了策略在 ANYmal 机器人上的迁移成功率。针对环境差异，</w:t>
            </w:r>
            <w:r>
              <w:rPr>
                <w:highlight w:val="none"/>
              </w:rPr>
              <w:t>Tobin等人</w:t>
            </w:r>
            <w:r>
              <w:rPr>
                <w:highlight w:val="none"/>
                <w:vertAlign w:val="superscript"/>
              </w:rPr>
              <w:t>[1</w:t>
            </w:r>
            <w:r>
              <w:rPr>
                <w:rFonts w:hint="eastAsia"/>
                <w:highlight w:val="none"/>
                <w:vertAlign w:val="superscript"/>
                <w:lang w:val="en-US" w:eastAsia="zh-CN"/>
              </w:rPr>
              <w:t>4</w:t>
            </w:r>
            <w:r>
              <w:rPr>
                <w:highlight w:val="none"/>
                <w:vertAlign w:val="superscript"/>
              </w:rPr>
              <w:t>]</w:t>
            </w:r>
            <w:r>
              <w:t>提出的域随机化方法通过在仿真中扰动物理参数，极大提升了模型的泛化能力。</w:t>
            </w:r>
          </w:p>
          <w:p w14:paraId="451FC394">
            <w:pPr>
              <w:numPr>
                <w:ilvl w:val="0"/>
                <w:numId w:val="0"/>
              </w:numPr>
              <w:ind w:firstLine="420" w:firstLineChars="200"/>
            </w:pPr>
            <w:r>
              <w:t>针对双足机器人，Siekmann等</w:t>
            </w:r>
            <w:r>
              <w:rPr>
                <w:vertAlign w:val="superscript"/>
              </w:rPr>
              <w:t>[4]</w:t>
            </w:r>
            <w:r>
              <w:t>提出了一种“盲视行走”策略。通过在训练过程中对环境物理参数（如摩擦系数、负载质量）进行大规模的域随机化，并引入本体感知历史信息，Digit机器人成功在没有视觉输入的情况下通过了复杂的台阶地形。</w:t>
            </w:r>
          </w:p>
          <w:p w14:paraId="6E9ECBF2">
            <w:pPr>
              <w:pStyle w:val="2"/>
              <w:numPr>
                <w:ilvl w:val="0"/>
                <w:numId w:val="7"/>
              </w:numPr>
              <w:spacing w:before="156" w:after="156"/>
            </w:pPr>
            <w:r>
              <w:t>模仿学习与融合控制研究现状</w:t>
            </w:r>
          </w:p>
          <w:p w14:paraId="5D02F22E">
            <w:pPr>
              <w:ind w:firstLine="420"/>
            </w:pPr>
            <w:r>
              <w:t>尽管纯RL方法表现出色，但常面临“奖励稀疏”和“步态不自然”的问题。模仿学习（IL）与RL的融合成为当前的研究热点。</w:t>
            </w:r>
            <w:r>
              <w:rPr>
                <w:rFonts w:hint="eastAsia"/>
                <w:lang w:val="en-US" w:eastAsia="zh-CN"/>
              </w:rPr>
              <w:t>于是</w:t>
            </w:r>
            <w:r>
              <w:t>为了解决纯 RL 步态不自然的问题，将人类先验知识引入 RL 成为前沿趋势。</w:t>
            </w:r>
          </w:p>
          <w:p w14:paraId="78A661DC">
            <w:pPr>
              <w:numPr>
                <w:ilvl w:val="0"/>
                <w:numId w:val="10"/>
              </w:numPr>
              <w:ind w:firstLine="422"/>
            </w:pPr>
            <w:r>
              <w:rPr>
                <w:rStyle w:val="33"/>
              </w:rPr>
              <w:t>参考运动引导</w:t>
            </w:r>
          </w:p>
          <w:p w14:paraId="5511C4DF">
            <w:pPr>
              <w:numPr>
                <w:ilvl w:val="0"/>
                <w:numId w:val="0"/>
              </w:numPr>
              <w:ind w:firstLine="420" w:firstLineChars="200"/>
            </w:pPr>
            <w:r>
              <w:t>Peng等</w:t>
            </w:r>
            <w:r>
              <w:rPr>
                <w:vertAlign w:val="superscript"/>
              </w:rPr>
              <w:t>[5]</w:t>
            </w:r>
            <w:r>
              <w:t>在DeepMimic中提出了利用参考动作（Reference Motion）引导RL训练的框架，使得机器人不仅能完成任务，还能保持动作的自然度。在此基础上，Li等</w:t>
            </w:r>
            <w:r>
              <w:rPr>
                <w:vertAlign w:val="superscript"/>
              </w:rPr>
              <w:t>[6]</w:t>
            </w:r>
            <w:r>
              <w:t>进一步引入鲁棒性约束，在保证拟人化步态的同时增强了机器人的抗扰动能力。</w:t>
            </w:r>
          </w:p>
          <w:p w14:paraId="3436E13E">
            <w:pPr>
              <w:numPr>
                <w:ilvl w:val="0"/>
                <w:numId w:val="10"/>
              </w:numPr>
              <w:ind w:firstLine="422"/>
            </w:pPr>
            <w:r>
              <w:rPr>
                <w:rStyle w:val="33"/>
              </w:rPr>
              <w:t>最新的融合范式</w:t>
            </w:r>
          </w:p>
          <w:p w14:paraId="25BA8A03">
            <w:pPr>
              <w:numPr>
                <w:ilvl w:val="0"/>
                <w:numId w:val="0"/>
              </w:numPr>
              <w:ind w:firstLine="420" w:firstLineChars="200"/>
            </w:pPr>
            <w:r>
              <w:t>近期的研究更倾向于轻量化的参考引导。Itahashi等</w:t>
            </w:r>
            <w:r>
              <w:rPr>
                <w:vertAlign w:val="superscript"/>
              </w:rPr>
              <w:t>[7]</w:t>
            </w:r>
            <w:r>
              <w:t>在2024年的最新研究中表明，仅需简单的参考运动即可辅助RL实现稳定的双足行走。</w:t>
            </w:r>
            <w:r>
              <w:rPr>
                <w:highlight w:val="none"/>
              </w:rPr>
              <w:t>此外，为了解决安全性问题，引入控制障碍函数（CBF）进行安全约束也是当前的重要趋势</w:t>
            </w:r>
            <w:r>
              <w:rPr>
                <w:highlight w:val="none"/>
                <w:vertAlign w:val="superscript"/>
              </w:rPr>
              <w:t>[1</w:t>
            </w:r>
            <w:r>
              <w:rPr>
                <w:rFonts w:hint="eastAsia"/>
                <w:highlight w:val="none"/>
                <w:vertAlign w:val="superscript"/>
                <w:lang w:val="en-US" w:eastAsia="zh-CN"/>
              </w:rPr>
              <w:t>5</w:t>
            </w:r>
            <w:r>
              <w:rPr>
                <w:highlight w:val="none"/>
                <w:vertAlign w:val="superscript"/>
              </w:rPr>
              <w:t>]</w:t>
            </w:r>
            <w:r>
              <w:rPr>
                <w:highlight w:val="none"/>
              </w:rPr>
              <w:t>。</w:t>
            </w:r>
          </w:p>
          <w:p w14:paraId="004D5741">
            <w:pPr>
              <w:ind w:firstLine="420"/>
            </w:pPr>
            <w:r>
              <w:t>结合上述文献可知，当前</w:t>
            </w:r>
            <w:r>
              <w:rPr>
                <w:rFonts w:hint="eastAsia"/>
                <w:lang w:val="en-US" w:eastAsia="zh-CN"/>
              </w:rPr>
              <w:t>主流且有效</w:t>
            </w:r>
            <w:r>
              <w:t>的技术路线是：利用模仿学习（如 DeepMimic 的奖励项）约束探索空间，利用 Sim-to-Real 技术保证实机性能，并使用先进的算法（如 PPO）进行优化。这正是本课题确立“模仿学习初始化 + 强化学习微调”技术路线的理论依据。</w:t>
            </w:r>
          </w:p>
          <w:p w14:paraId="32191B00">
            <w:pPr>
              <w:pStyle w:val="2"/>
              <w:numPr>
                <w:ilvl w:val="0"/>
                <w:numId w:val="7"/>
              </w:numPr>
              <w:spacing w:before="156" w:after="156"/>
            </w:pPr>
            <w:r>
              <w:t>现有研究的不足</w:t>
            </w:r>
          </w:p>
          <w:p w14:paraId="082DA64C">
            <w:pPr>
              <w:ind w:firstLine="420"/>
            </w:pPr>
            <w:r>
              <w:t>综上所述，尽管现有研究成果丰硕，但仍面临以下挑战：</w:t>
            </w:r>
          </w:p>
          <w:p w14:paraId="5A51648F">
            <w:pPr>
              <w:numPr>
                <w:ilvl w:val="0"/>
                <w:numId w:val="11"/>
              </w:numPr>
              <w:ind w:firstLine="420"/>
            </w:pPr>
            <w:r>
              <w:t>传统方法在复杂地形下鲁棒性不足，参数整定依赖经验。</w:t>
            </w:r>
          </w:p>
          <w:p w14:paraId="7F8BAF91">
            <w:pPr>
              <w:numPr>
                <w:ilvl w:val="0"/>
                <w:numId w:val="11"/>
              </w:numPr>
              <w:ind w:firstLine="420"/>
            </w:pPr>
            <w:r>
              <w:t>纯RL方法样本效率低，且生成的步态往往伴随高频抖动，能耗较高且不美观。</w:t>
            </w:r>
          </w:p>
          <w:p w14:paraId="2CDB43EA">
            <w:pPr>
              <w:numPr>
                <w:ilvl w:val="0"/>
                <w:numId w:val="11"/>
              </w:numPr>
              <w:ind w:firstLine="420"/>
            </w:pPr>
            <w:r>
              <w:t>Sim2Real迁移过程中，针对双足机器人特有的平衡稳定性（如左右晃动控制）研究尚不充分，缺乏统一的安全约束框架。</w:t>
            </w:r>
          </w:p>
          <w:p w14:paraId="72C933C2">
            <w:pPr>
              <w:ind w:firstLine="420"/>
              <w:rPr>
                <w:rFonts w:hint="eastAsia" w:ascii="宋体" w:hAnsi="宋体"/>
                <w:b/>
              </w:rPr>
            </w:pPr>
            <w:r>
              <w:t>因此，本课题拟结合模仿学习的高效性与强化学习的适应性，开展基于融合范式的双足机器人步态控制研究，具有重要的研究意义。</w:t>
            </w:r>
          </w:p>
        </w:tc>
      </w:tr>
      <w:tr w14:paraId="5562E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8625" w:type="dxa"/>
            <w:gridSpan w:val="6"/>
            <w:vAlign w:val="center"/>
          </w:tcPr>
          <w:p w14:paraId="6DA7B1F5">
            <w:pPr>
              <w:spacing w:line="240" w:lineRule="auto"/>
              <w:ind w:firstLine="0" w:firstLineChars="0"/>
              <w:jc w:val="center"/>
              <w:rPr>
                <w:rFonts w:hint="eastAsia" w:ascii="宋体" w:hAnsi="宋体"/>
                <w:b/>
                <w:sz w:val="28"/>
              </w:rPr>
            </w:pPr>
            <w:r>
              <w:rPr>
                <w:rFonts w:hint="eastAsia" w:ascii="楷体_GB2312" w:hAnsi="宋体" w:eastAsia="楷体_GB2312"/>
                <w:b/>
                <w:sz w:val="24"/>
                <w:szCs w:val="24"/>
              </w:rPr>
              <w:t>三、研究目标与研究内容</w:t>
            </w:r>
          </w:p>
        </w:tc>
      </w:tr>
      <w:tr w14:paraId="0F7BA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5" w:type="dxa"/>
            <w:gridSpan w:val="6"/>
          </w:tcPr>
          <w:p w14:paraId="4E300A6B">
            <w:pPr>
              <w:pStyle w:val="2"/>
              <w:numPr>
                <w:ilvl w:val="0"/>
                <w:numId w:val="12"/>
              </w:numPr>
              <w:spacing w:before="156" w:after="156"/>
            </w:pPr>
            <w:r>
              <w:t>研究目标</w:t>
            </w:r>
          </w:p>
          <w:p w14:paraId="54C9DF68">
            <w:pPr>
              <w:ind w:firstLine="420"/>
            </w:pPr>
            <w:r>
              <w:t>本课题旨在</w:t>
            </w:r>
            <w:r>
              <w:rPr>
                <w:rFonts w:hint="eastAsia"/>
                <w:lang w:val="en-US" w:eastAsia="zh-CN"/>
              </w:rPr>
              <w:t>研究</w:t>
            </w:r>
            <w:r>
              <w:t>一种基于“模仿学习初始化+强化学习微调”范式的双足机器人步态控制框架，解决传统控制方法在非结构化环境下鲁棒性差及纯强化学习训练效率低、步态不自然的问题。具体量化目标如下：</w:t>
            </w:r>
          </w:p>
          <w:p w14:paraId="008A91DC">
            <w:pPr>
              <w:numPr>
                <w:ilvl w:val="0"/>
                <w:numId w:val="13"/>
              </w:numPr>
              <w:ind w:firstLine="422"/>
            </w:pPr>
            <w:r>
              <w:rPr>
                <w:rStyle w:val="33"/>
              </w:rPr>
              <w:t>构建高性能混合控制策略</w:t>
            </w:r>
          </w:p>
          <w:p w14:paraId="0F492BEC">
            <w:pPr>
              <w:numPr>
                <w:ilvl w:val="0"/>
                <w:numId w:val="0"/>
              </w:numPr>
              <w:ind w:firstLine="420" w:firstLineChars="200"/>
            </w:pPr>
            <w:r>
              <w:t>建立包含数据采集、模仿学习预训练及强化学习微调的完整技术链路。在仿真环境中，使双足机器人具备</w:t>
            </w:r>
            <w:r>
              <w:rPr>
                <w:rFonts w:hint="eastAsia"/>
                <w:lang w:val="en-US" w:eastAsia="zh-CN"/>
              </w:rPr>
              <w:t xml:space="preserve"> </w:t>
            </w:r>
            <w:r>
              <w:t>0.2-1.0m/s的可调行走速度，并具备通过高度≥25cm台阶的地形适应能力。</w:t>
            </w:r>
          </w:p>
          <w:p w14:paraId="5CDCDA75">
            <w:pPr>
              <w:numPr>
                <w:ilvl w:val="0"/>
                <w:numId w:val="13"/>
              </w:numPr>
              <w:ind w:firstLine="422"/>
            </w:pPr>
            <w:r>
              <w:rPr>
                <w:rStyle w:val="33"/>
              </w:rPr>
              <w:t>实现高鲁棒性抗扰动控制</w:t>
            </w:r>
          </w:p>
          <w:p w14:paraId="0526B3E3">
            <w:pPr>
              <w:numPr>
                <w:ilvl w:val="0"/>
                <w:numId w:val="0"/>
              </w:numPr>
              <w:ind w:firstLine="420" w:firstLineChars="200"/>
            </w:pPr>
            <w:r>
              <w:t>通过引入安全性约束与域随机化训练，确保机器人在遭受等效</w:t>
            </w:r>
            <w:r>
              <w:rPr>
                <w:rFonts w:hint="eastAsia"/>
                <w:lang w:val="en-US" w:eastAsia="zh-CN"/>
              </w:rPr>
              <w:t xml:space="preserve"> </w:t>
            </w:r>
            <w:r>
              <w:t>20-30N（持续时间&lt;</w:t>
            </w:r>
            <w:r>
              <w:rPr>
                <w:rFonts w:hint="eastAsia"/>
                <w:lang w:val="en-US" w:eastAsia="zh-CN"/>
              </w:rPr>
              <w:t xml:space="preserve"> </w:t>
            </w:r>
            <w:r>
              <w:t>0.2s）的外部侧向冲击时，不跌倒率达到95%以上。</w:t>
            </w:r>
          </w:p>
          <w:p w14:paraId="09315ACB">
            <w:pPr>
              <w:numPr>
                <w:ilvl w:val="0"/>
                <w:numId w:val="13"/>
              </w:numPr>
              <w:ind w:firstLine="422"/>
            </w:pPr>
            <w:r>
              <w:rPr>
                <w:rStyle w:val="33"/>
                <w:rFonts w:hint="eastAsia"/>
                <w:lang w:val="en-US" w:eastAsia="zh-CN"/>
              </w:rPr>
              <w:t>实现</w:t>
            </w:r>
            <w:r>
              <w:rPr>
                <w:rStyle w:val="33"/>
              </w:rPr>
              <w:t>Sim2Real迁移</w:t>
            </w:r>
            <w:r>
              <w:rPr>
                <w:rStyle w:val="33"/>
                <w:rFonts w:hint="eastAsia"/>
                <w:lang w:val="en-US" w:eastAsia="zh-CN"/>
              </w:rPr>
              <w:t>目标</w:t>
            </w:r>
          </w:p>
          <w:p w14:paraId="759478FC">
            <w:pPr>
              <w:numPr>
                <w:ilvl w:val="0"/>
                <w:numId w:val="0"/>
              </w:numPr>
              <w:ind w:firstLine="420" w:firstLineChars="200"/>
            </w:pPr>
            <w:r>
              <w:t>建立虚实迁移体系，使仿真训练的策略无需在真机上进行大量再训练（仅需参数标定与少量微调）即可部署。</w:t>
            </w:r>
          </w:p>
          <w:p w14:paraId="5CF8CEFC">
            <w:pPr>
              <w:numPr>
                <w:ilvl w:val="0"/>
                <w:numId w:val="0"/>
              </w:numPr>
              <w:ind w:firstLine="420" w:firstLineChars="200"/>
            </w:pPr>
            <w:r>
              <w:t>目标是在真实样机上实现连续行走≥100m无跌倒，且步态平均质心高度波动与速度跟踪误差均优于纯模仿学习（IL）基线。</w:t>
            </w:r>
          </w:p>
          <w:p w14:paraId="131109EB">
            <w:pPr>
              <w:pStyle w:val="2"/>
              <w:spacing w:before="156" w:after="156"/>
            </w:pPr>
            <w:r>
              <w:t>研究内容</w:t>
            </w:r>
          </w:p>
          <w:p w14:paraId="0FB63698">
            <w:pPr>
              <w:ind w:firstLine="420"/>
            </w:pPr>
            <w:r>
              <w:t>为了实现上述目标，本课题将围绕数据处理、算法建模、仿真训练及真机实验四个维度开展研究：</w:t>
            </w:r>
          </w:p>
          <w:p w14:paraId="5C591DDD">
            <w:pPr>
              <w:pStyle w:val="3"/>
              <w:numPr>
                <w:ilvl w:val="0"/>
                <w:numId w:val="14"/>
              </w:numPr>
              <w:ind w:firstLine="422" w:firstLineChars="200"/>
            </w:pPr>
            <w:r>
              <w:t>人体步态数据采集与处理</w:t>
            </w:r>
          </w:p>
          <w:p w14:paraId="61DB8D69">
            <w:pPr>
              <w:ind w:firstLine="420"/>
            </w:pPr>
            <w:r>
              <w:t>为了获取高质量的参考运动轨迹，构建模仿学习的基础数据集：</w:t>
            </w:r>
          </w:p>
          <w:p w14:paraId="1686195E">
            <w:pPr>
              <w:numPr>
                <w:ilvl w:val="0"/>
                <w:numId w:val="15"/>
              </w:numPr>
              <w:ind w:firstLine="422"/>
            </w:pPr>
            <w:r>
              <w:rPr>
                <w:b/>
                <w:bCs/>
              </w:rPr>
              <w:t>多模态数据采集</w:t>
            </w:r>
          </w:p>
          <w:p w14:paraId="3ECCE516">
            <w:pPr>
              <w:numPr>
                <w:ilvl w:val="0"/>
                <w:numId w:val="0"/>
              </w:numPr>
              <w:ind w:firstLine="420" w:firstLineChars="200"/>
            </w:pPr>
            <w:r>
              <w:t>利用光学动作捕捉系统或高精度惯性测量单元（IMU，采样率≥200Hz），同步采集人体或专家演示的行走数据。数据需涵盖不同速度（慢/中/快）、不同地形（平地/台阶）及不同身高体重分布的多样性样本。</w:t>
            </w:r>
          </w:p>
          <w:p w14:paraId="3ABDA7DB">
            <w:pPr>
              <w:numPr>
                <w:ilvl w:val="0"/>
                <w:numId w:val="15"/>
              </w:numPr>
              <w:ind w:firstLine="422"/>
              <w:rPr>
                <w:b/>
                <w:bCs/>
              </w:rPr>
            </w:pPr>
            <w:r>
              <w:rPr>
                <w:b/>
                <w:bCs/>
              </w:rPr>
              <w:t>数据预处理与标准化</w:t>
            </w:r>
          </w:p>
          <w:p w14:paraId="557D6511">
            <w:pPr>
              <w:numPr>
                <w:ilvl w:val="0"/>
                <w:numId w:val="0"/>
              </w:numPr>
              <w:ind w:firstLine="420" w:firstLineChars="200"/>
              <w:rPr>
                <w:b/>
                <w:bCs/>
              </w:rPr>
            </w:pPr>
            <w:r>
              <w:rPr>
                <w:b w:val="0"/>
                <w:bCs w:val="0"/>
              </w:rPr>
              <w:t>对采集的原始数据进行时序对齐与去噪处理。通过运动学逆解（IK）将末端轨迹映射为机器人关节角度空间，并进行步态周期的分割与标准化，构建包含状态（关节角、关节速度）与动作（目标力矩/位置）的规范化数据集。</w:t>
            </w:r>
          </w:p>
          <w:p w14:paraId="469B227B">
            <w:pPr>
              <w:pStyle w:val="3"/>
              <w:numPr>
                <w:ilvl w:val="0"/>
                <w:numId w:val="14"/>
              </w:numPr>
              <w:ind w:firstLine="422" w:firstLineChars="200"/>
            </w:pPr>
            <w:r>
              <w:t>基于模仿学习（IL）的初始策略构建</w:t>
            </w:r>
          </w:p>
          <w:p w14:paraId="48869257">
            <w:pPr>
              <w:ind w:firstLine="420"/>
            </w:pPr>
            <w:r>
              <w:t>旨在解决强化学习冷启动困难的问题，快速获得具备基本行走能力的策略：</w:t>
            </w:r>
          </w:p>
          <w:p w14:paraId="11CE4CA4">
            <w:pPr>
              <w:numPr>
                <w:ilvl w:val="0"/>
                <w:numId w:val="16"/>
              </w:numPr>
              <w:ind w:firstLine="422"/>
              <w:rPr>
                <w:b/>
                <w:bCs/>
              </w:rPr>
            </w:pPr>
            <w:r>
              <w:rPr>
                <w:b/>
                <w:bCs/>
              </w:rPr>
              <w:t>状态与动作空间定义</w:t>
            </w:r>
          </w:p>
          <w:p w14:paraId="6DA8DC49">
            <w:pPr>
              <w:numPr>
                <w:ilvl w:val="0"/>
                <w:numId w:val="0"/>
              </w:numPr>
              <w:ind w:firstLine="420" w:firstLineChars="200"/>
              <w:rPr>
                <w:b/>
                <w:bCs/>
              </w:rPr>
            </w:pPr>
            <w:r>
              <w:rPr>
                <w:b w:val="0"/>
                <w:bCs w:val="0"/>
              </w:rPr>
              <w:t>设计合理的观测空间（包含本体感知信息、接触状态及期望速度指令）和动作空间（采用关节位置PD增益或力矩编码）。</w:t>
            </w:r>
          </w:p>
          <w:p w14:paraId="645B8B40">
            <w:pPr>
              <w:numPr>
                <w:ilvl w:val="0"/>
                <w:numId w:val="16"/>
              </w:numPr>
              <w:ind w:firstLine="422"/>
              <w:rPr>
                <w:b/>
                <w:bCs/>
              </w:rPr>
            </w:pPr>
            <w:r>
              <w:rPr>
                <w:b/>
                <w:bCs/>
              </w:rPr>
              <w:t>行为克隆建模</w:t>
            </w:r>
          </w:p>
          <w:p w14:paraId="0217BDB5">
            <w:pPr>
              <w:numPr>
                <w:ilvl w:val="0"/>
                <w:numId w:val="0"/>
              </w:numPr>
              <w:ind w:firstLine="420" w:firstLineChars="200"/>
              <w:rPr>
                <w:b/>
                <w:bCs/>
              </w:rPr>
            </w:pPr>
            <w:r>
              <w:rPr>
                <w:b w:val="0"/>
                <w:bCs w:val="0"/>
              </w:rPr>
              <w:t>利用监督学习方法训练神经网络策略</w:t>
            </w:r>
            <m:oMath>
              <m:sSub>
                <m:sSubPr>
                  <m:ctrlPr>
                    <w:rPr>
                      <w:rFonts w:ascii="Cambria Math" w:hAnsi="Cambria Math"/>
                      <w:b w:val="0"/>
                      <w:bCs w:val="0"/>
                    </w:rPr>
                  </m:ctrlPr>
                </m:sSubPr>
                <m:e>
                  <m:r>
                    <m:rPr>
                      <m:sty m:val="p"/>
                    </m:rPr>
                    <w:rPr>
                      <w:rFonts w:hint="default" w:ascii="Times New Roman" w:hAnsi="Times New Roman"/>
                    </w:rPr>
                    <m:t>π</m:t>
                  </m:r>
                  <m:ctrlPr>
                    <w:rPr>
                      <w:rFonts w:ascii="Cambria Math" w:hAnsi="Cambria Math"/>
                      <w:b w:val="0"/>
                      <w:bCs w:val="0"/>
                    </w:rPr>
                  </m:ctrlPr>
                </m:e>
                <m:sub>
                  <m:r>
                    <m:rPr>
                      <m:sty m:val="p"/>
                    </m:rPr>
                    <w:rPr>
                      <w:rFonts w:hint="default" w:ascii="Times New Roman" w:hAnsi="Times New Roman"/>
                    </w:rPr>
                    <m:t>θ</m:t>
                  </m:r>
                  <m:ctrlPr>
                    <w:rPr>
                      <w:rFonts w:ascii="Cambria Math" w:hAnsi="Cambria Math"/>
                      <w:b w:val="0"/>
                      <w:bCs w:val="0"/>
                    </w:rPr>
                  </m:ctrlPr>
                </m:sub>
              </m:sSub>
            </m:oMath>
            <w:r>
              <w:rPr>
                <w:b w:val="0"/>
                <w:bCs w:val="0"/>
              </w:rPr>
              <w:t>，使其输出动作分布尽可能逼近专家演示数据，建立纯IL基线模型，作为后续强化学习的初始化策略。</w:t>
            </w:r>
          </w:p>
          <w:p w14:paraId="63D56C7E">
            <w:pPr>
              <w:pStyle w:val="3"/>
              <w:numPr>
                <w:ilvl w:val="0"/>
                <w:numId w:val="14"/>
              </w:numPr>
              <w:ind w:firstLine="422" w:firstLineChars="200"/>
            </w:pPr>
            <w:r>
              <w:t>融合安全性约束的强化学习微调</w:t>
            </w:r>
          </w:p>
          <w:p w14:paraId="0DB01045">
            <w:pPr>
              <w:ind w:firstLine="420"/>
            </w:pPr>
            <w:r>
              <w:t>在初始策略的基础上，利用与环境交互的试错机制进一步提升策略的鲁棒性：</w:t>
            </w:r>
          </w:p>
          <w:p w14:paraId="5BD8C818">
            <w:pPr>
              <w:numPr>
                <w:ilvl w:val="0"/>
                <w:numId w:val="17"/>
              </w:numPr>
              <w:ind w:firstLine="422"/>
              <w:rPr>
                <w:b/>
                <w:bCs/>
              </w:rPr>
            </w:pPr>
            <w:r>
              <w:rPr>
                <w:b/>
                <w:bCs/>
              </w:rPr>
              <w:t>强化学习算法设计</w:t>
            </w:r>
          </w:p>
          <w:p w14:paraId="366CE02A">
            <w:pPr>
              <w:numPr>
                <w:ilvl w:val="0"/>
                <w:numId w:val="0"/>
              </w:numPr>
              <w:ind w:firstLine="420" w:firstLineChars="200"/>
              <w:rPr>
                <w:b/>
                <w:bCs/>
              </w:rPr>
            </w:pPr>
            <w:r>
              <w:rPr>
                <w:b w:val="0"/>
                <w:bCs w:val="0"/>
              </w:rPr>
              <w:t>采用近端策略优化（PPO）</w:t>
            </w:r>
            <w:r>
              <w:rPr>
                <w:rFonts w:hint="eastAsia"/>
                <w:b w:val="0"/>
                <w:bCs w:val="0"/>
                <w:lang w:eastAsia="zh-CN"/>
              </w:rPr>
              <w:t>、</w:t>
            </w:r>
            <w:r>
              <w:rPr>
                <w:b w:val="0"/>
                <w:bCs w:val="0"/>
              </w:rPr>
              <w:t xml:space="preserve">软演员-评论家（SAC）算法 </w:t>
            </w:r>
            <w:r>
              <w:rPr>
                <w:b w:val="0"/>
                <w:bCs w:val="0"/>
                <w:vertAlign w:val="superscript"/>
              </w:rPr>
              <w:t>[8, 11]</w:t>
            </w:r>
            <w:r>
              <w:rPr>
                <w:b w:val="0"/>
                <w:bCs w:val="0"/>
              </w:rPr>
              <w:t xml:space="preserve"> 对预训练策略进行微调。设计综合奖励函数，包含速度跟踪奖励、能耗优化（COT）奖励及足端接触力惩罚。</w:t>
            </w:r>
          </w:p>
          <w:p w14:paraId="5B552BBA">
            <w:pPr>
              <w:numPr>
                <w:ilvl w:val="0"/>
                <w:numId w:val="17"/>
              </w:numPr>
              <w:ind w:firstLine="422"/>
              <w:rPr>
                <w:b/>
                <w:bCs/>
              </w:rPr>
            </w:pPr>
            <w:r>
              <w:rPr>
                <w:b/>
                <w:bCs/>
              </w:rPr>
              <w:t>安全性与稳定性约束融合</w:t>
            </w:r>
          </w:p>
          <w:p w14:paraId="09E06E79">
            <w:pPr>
              <w:numPr>
                <w:ilvl w:val="0"/>
                <w:numId w:val="0"/>
              </w:numPr>
              <w:ind w:firstLine="420" w:firstLineChars="200"/>
              <w:rPr>
                <w:b/>
                <w:bCs/>
              </w:rPr>
            </w:pPr>
            <w:r>
              <w:rPr>
                <w:b w:val="0"/>
                <w:bCs w:val="0"/>
              </w:rPr>
              <w:t>为了保证步态的物理可行性与安全性，在奖励函数中引入零力矩点（ZMP）</w:t>
            </w:r>
            <w:r>
              <w:rPr>
                <w:rFonts w:hint="eastAsia"/>
                <w:b w:val="0"/>
                <w:bCs w:val="0"/>
                <w:lang w:eastAsia="zh-CN"/>
              </w:rPr>
              <w:t>、</w:t>
            </w:r>
            <w:r>
              <w:rPr>
                <w:b w:val="0"/>
                <w:bCs w:val="0"/>
              </w:rPr>
              <w:t>压力中心（CoP）边界的软约束，并设置足端碰撞检测与脚尖清空高度的硬约束，引导智能体学习出既稳定又自然的步态。</w:t>
            </w:r>
          </w:p>
          <w:p w14:paraId="01FAC8D0">
            <w:pPr>
              <w:pStyle w:val="3"/>
              <w:numPr>
                <w:ilvl w:val="0"/>
                <w:numId w:val="14"/>
              </w:numPr>
              <w:ind w:firstLine="422" w:firstLineChars="200"/>
            </w:pPr>
            <w:r>
              <w:t>Sim2Real迁移与系统集成</w:t>
            </w:r>
          </w:p>
          <w:p w14:paraId="0CF69787">
            <w:pPr>
              <w:ind w:firstLine="420"/>
            </w:pPr>
            <w:r>
              <w:t>解决仿真与现实环境的“鸿沟”问题，确保策略在真实样机上的有效性：</w:t>
            </w:r>
          </w:p>
          <w:p w14:paraId="05E49F3B">
            <w:pPr>
              <w:numPr>
                <w:ilvl w:val="0"/>
                <w:numId w:val="18"/>
              </w:numPr>
              <w:ind w:firstLine="422"/>
              <w:rPr>
                <w:b/>
                <w:bCs/>
              </w:rPr>
            </w:pPr>
            <w:r>
              <w:rPr>
                <w:b/>
                <w:bCs/>
              </w:rPr>
              <w:t>域随机化</w:t>
            </w:r>
          </w:p>
          <w:p w14:paraId="6B1FBFDA">
            <w:pPr>
              <w:numPr>
                <w:ilvl w:val="0"/>
                <w:numId w:val="0"/>
              </w:numPr>
              <w:ind w:firstLine="420" w:firstLineChars="200"/>
              <w:rPr>
                <w:b/>
                <w:bCs/>
              </w:rPr>
            </w:pPr>
            <w:r>
              <w:rPr>
                <w:b w:val="0"/>
                <w:bCs w:val="0"/>
              </w:rPr>
              <w:t>在仿真训练中引入物理参数扰动机制，对机器人的质量、连杆惯量、地面摩擦系数及电机输出延迟进行随机化建模，提升策略对模型不确定性的适应能力。</w:t>
            </w:r>
          </w:p>
          <w:p w14:paraId="7BA58F5A">
            <w:pPr>
              <w:numPr>
                <w:ilvl w:val="0"/>
                <w:numId w:val="18"/>
              </w:numPr>
              <w:ind w:firstLine="422"/>
              <w:rPr>
                <w:b/>
                <w:bCs/>
              </w:rPr>
            </w:pPr>
            <w:r>
              <w:rPr>
                <w:b/>
                <w:bCs/>
              </w:rPr>
              <w:t>系统集成与实验验证</w:t>
            </w:r>
          </w:p>
          <w:p w14:paraId="3C100CAA">
            <w:pPr>
              <w:numPr>
                <w:ilvl w:val="0"/>
                <w:numId w:val="0"/>
              </w:numPr>
              <w:ind w:firstLine="420" w:firstLineChars="200"/>
              <w:rPr>
                <w:b/>
                <w:bCs/>
              </w:rPr>
            </w:pPr>
            <w:r>
              <w:rPr>
                <w:b w:val="0"/>
                <w:bCs w:val="0"/>
              </w:rPr>
              <w:t>开发底层的状态估计模块与关节控制接口，实现时延补偿。在Webots/Mujoco仿真环境与真实样机中分别开展速度阶跃响应、长距离行走及抗扰动实验。</w:t>
            </w:r>
          </w:p>
          <w:p w14:paraId="0493A49A">
            <w:pPr>
              <w:numPr>
                <w:ilvl w:val="0"/>
                <w:numId w:val="18"/>
              </w:numPr>
              <w:ind w:firstLine="422"/>
              <w:rPr>
                <w:b/>
                <w:bCs/>
              </w:rPr>
            </w:pPr>
            <w:r>
              <w:rPr>
                <w:b/>
                <w:bCs/>
              </w:rPr>
              <w:t>评价体系构建</w:t>
            </w:r>
          </w:p>
          <w:p w14:paraId="1219ED50">
            <w:pPr>
              <w:numPr>
                <w:ilvl w:val="0"/>
                <w:numId w:val="0"/>
              </w:numPr>
              <w:ind w:firstLine="420" w:firstLineChars="200"/>
              <w:rPr>
                <w:b/>
                <w:bCs/>
              </w:rPr>
            </w:pPr>
            <w:r>
              <w:rPr>
                <w:b w:val="0"/>
                <w:bCs w:val="0"/>
              </w:rPr>
              <w:t>计算并分析轨迹跟踪误差、跌倒率、足端滑移率及步态对称性指数等关键指标，量化对比融合方法与纯IL及传统控制器的性能差异。</w:t>
            </w:r>
          </w:p>
          <w:p w14:paraId="1F138408">
            <w:pPr>
              <w:pStyle w:val="2"/>
              <w:spacing w:before="156" w:after="156"/>
            </w:pPr>
            <w:r>
              <w:t>拟解决的关键问题</w:t>
            </w:r>
          </w:p>
          <w:p w14:paraId="147C8A97">
            <w:pPr>
              <w:numPr>
                <w:ilvl w:val="0"/>
                <w:numId w:val="19"/>
              </w:numPr>
              <w:ind w:firstLine="422"/>
            </w:pPr>
            <w:r>
              <w:rPr>
                <w:rStyle w:val="33"/>
              </w:rPr>
              <w:t>模仿学习与强化学习的平滑过渡问题</w:t>
            </w:r>
          </w:p>
          <w:p w14:paraId="4ABCE0FA">
            <w:pPr>
              <w:numPr>
                <w:ilvl w:val="0"/>
                <w:numId w:val="0"/>
              </w:numPr>
              <w:ind w:firstLine="420" w:firstLineChars="200"/>
            </w:pPr>
            <w:r>
              <w:t>如何防止在RL微调初期因探索噪声过大导致策略出现“灾难性遗忘”，破坏已习得的自然步态特征。</w:t>
            </w:r>
          </w:p>
          <w:p w14:paraId="0BCD8A58">
            <w:pPr>
              <w:numPr>
                <w:ilvl w:val="0"/>
                <w:numId w:val="19"/>
              </w:numPr>
              <w:ind w:firstLine="422"/>
            </w:pPr>
            <w:r>
              <w:rPr>
                <w:rStyle w:val="33"/>
              </w:rPr>
              <w:t>Sim2Real的动力学失配问题</w:t>
            </w:r>
          </w:p>
          <w:p w14:paraId="4B0FA7E4">
            <w:pPr>
              <w:numPr>
                <w:ilvl w:val="0"/>
                <w:numId w:val="0"/>
              </w:numPr>
              <w:ind w:firstLine="420" w:firstLineChars="200"/>
            </w:pPr>
            <w:r>
              <w:t>如何通过有限的域随机化覆盖真实环境中复杂的非线性摩擦与柔性接触特性，降低虚实迁移的性能损失。</w:t>
            </w:r>
          </w:p>
          <w:p w14:paraId="47AC5FA8">
            <w:pPr>
              <w:numPr>
                <w:ilvl w:val="0"/>
                <w:numId w:val="19"/>
              </w:numPr>
              <w:ind w:firstLine="422"/>
              <w:rPr>
                <w:color w:val="C00000"/>
              </w:rPr>
            </w:pPr>
            <w:r>
              <w:rPr>
                <w:rStyle w:val="33"/>
              </w:rPr>
              <w:t>动态平衡与能耗的权衡</w:t>
            </w:r>
          </w:p>
          <w:p w14:paraId="32A8C433">
            <w:pPr>
              <w:numPr>
                <w:ilvl w:val="0"/>
                <w:numId w:val="0"/>
              </w:numPr>
              <w:ind w:firstLine="420" w:firstLineChars="200"/>
              <w:rPr>
                <w:color w:val="C00000"/>
              </w:rPr>
            </w:pPr>
            <w:r>
              <w:t>如何在保证高抗扰动能力（刚性步态）的同时，优化能量效率（柔性步态），实现多目标的协同优化。</w:t>
            </w:r>
          </w:p>
        </w:tc>
      </w:tr>
      <w:tr w14:paraId="72551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8625" w:type="dxa"/>
            <w:gridSpan w:val="6"/>
            <w:vAlign w:val="center"/>
          </w:tcPr>
          <w:p w14:paraId="14EA0F2E">
            <w:pPr>
              <w:spacing w:line="240" w:lineRule="auto"/>
              <w:ind w:firstLine="0" w:firstLineChars="0"/>
              <w:jc w:val="center"/>
              <w:rPr>
                <w:rFonts w:hint="eastAsia" w:ascii="宋体" w:hAnsi="宋体"/>
                <w:b/>
                <w:sz w:val="28"/>
              </w:rPr>
            </w:pPr>
            <w:r>
              <w:rPr>
                <w:rFonts w:hint="eastAsia" w:ascii="楷体_GB2312" w:hAnsi="宋体" w:eastAsia="楷体_GB2312"/>
                <w:b/>
                <w:sz w:val="24"/>
                <w:szCs w:val="24"/>
              </w:rPr>
              <w:t>四、拟采用的研究思路（方法、技术路线、可行性论证等）</w:t>
            </w:r>
          </w:p>
        </w:tc>
      </w:tr>
      <w:tr w14:paraId="3275F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8" w:hRule="atLeast"/>
        </w:trPr>
        <w:tc>
          <w:tcPr>
            <w:tcW w:w="8625" w:type="dxa"/>
            <w:gridSpan w:val="6"/>
          </w:tcPr>
          <w:p w14:paraId="45C00968">
            <w:pPr>
              <w:pStyle w:val="2"/>
              <w:numPr>
                <w:ilvl w:val="0"/>
                <w:numId w:val="20"/>
              </w:numPr>
              <w:spacing w:before="156" w:after="156"/>
            </w:pPr>
            <w:r>
              <w:t>拟采用的研究思路</w:t>
            </w:r>
          </w:p>
          <w:p w14:paraId="7335C6C0">
            <w:pPr>
              <w:ind w:firstLine="420"/>
            </w:pPr>
            <w:r>
              <w:t>针对双足机器人高维非线性控制中存在的“模型依赖”与“探索效率低”这一核心矛盾，本研究不打算沿用单一的控制范式，而是确立了“数据驱动引导，交互试错优化”的总体思路。</w:t>
            </w:r>
          </w:p>
          <w:p w14:paraId="7116AA22">
            <w:pPr>
              <w:ind w:firstLine="420"/>
            </w:pPr>
            <w:r>
              <w:t>与其让智能体在空白的仿真环境中盲目探索，不如利用人类成熟的步态作为“导师”进行启发式教学。研究将从模仿学习切入，将采集到的人体或专家步态数据映射为机器人的关节空间轨迹，通过监督学习快速构建一个具备基础行走能力的初始策略网络，从而规避强化学习初期的冷启动问题。</w:t>
            </w:r>
          </w:p>
          <w:p w14:paraId="0D89DA42">
            <w:pPr>
              <w:ind w:firstLine="420"/>
            </w:pPr>
            <w:r>
              <w:t>在此基础上，为了解决单纯模仿带来的“刻板效应”及抗扰动能力差的缺陷，我们将平滑过渡到深度强化学习阶段。此时，策略网络将不再受限于专家数据，而是通过与环境的交互，在预设的安全性约束（如ZMP边界） 和能量效率指标驱动下进行微调。</w:t>
            </w:r>
          </w:p>
          <w:p w14:paraId="7C86CBD9">
            <w:pPr>
              <w:ind w:firstLine="420"/>
            </w:pPr>
            <w:r>
              <w:t>最终，为了跨越仿真与现实的物理鸿沟，我们将采用域随机化技术，在仿真训练中人为引入物理参数的不确定性，迫使策略学习出对真实环境具有强鲁棒性的控制律，从而实现从虚拟训练到物理样机的无缝迁移。</w:t>
            </w:r>
          </w:p>
          <w:p w14:paraId="1F424D67">
            <w:pPr>
              <w:pStyle w:val="2"/>
              <w:spacing w:before="156" w:after="156"/>
            </w:pPr>
            <w:r>
              <w:t>技术路线</w:t>
            </w:r>
          </w:p>
          <w:p w14:paraId="5997BF60">
            <w:pPr>
              <w:ind w:firstLine="420"/>
            </w:pPr>
            <w:r>
              <w:t>本课题遵循“由虚向实、分层递进、闭环反馈”的总体技术路线，将研究过程划分为数据采集与预处理、算法建模与训练、Sim2Real迁移与验证三个有机衔接的阶段（如图4-1所示）。</w:t>
            </w:r>
          </w:p>
          <w:p w14:paraId="1E80BF9F">
            <w:pPr>
              <w:ind w:firstLine="420"/>
            </w:pPr>
          </w:p>
          <w:p w14:paraId="06DBDAB8">
            <w:pPr>
              <w:ind w:firstLine="420"/>
            </w:pPr>
          </w:p>
          <w:p w14:paraId="76AB8DF8">
            <w:pPr>
              <w:ind w:firstLine="420"/>
            </w:pPr>
          </w:p>
          <w:p w14:paraId="1A48B077">
            <w:pPr>
              <w:ind w:firstLine="420"/>
            </w:pPr>
          </w:p>
          <w:p w14:paraId="294D82EA">
            <w:pPr>
              <w:ind w:left="0" w:leftChars="0" w:firstLine="0" w:firstLineChars="0"/>
              <w:rPr>
                <w:rFonts w:hint="eastAsia"/>
              </w:rPr>
            </w:pPr>
          </w:p>
          <w:p w14:paraId="6E72EE3B">
            <w:pPr>
              <w:ind w:left="0" w:leftChars="0" w:firstLine="0" w:firstLineChars="0"/>
              <w:jc w:val="center"/>
              <w:rPr>
                <w:rFonts w:hint="eastAsia"/>
              </w:rPr>
            </w:pPr>
            <w:r>
              <w:rPr>
                <w:rFonts w:hint="eastAsia" w:eastAsia="宋体"/>
                <w:lang w:eastAsia="zh-CN"/>
              </w:rPr>
              <w:drawing>
                <wp:anchor distT="0" distB="0" distL="114300" distR="114300" simplePos="0" relativeHeight="251659264" behindDoc="0" locked="0" layoutInCell="1" allowOverlap="1">
                  <wp:simplePos x="0" y="0"/>
                  <wp:positionH relativeFrom="column">
                    <wp:posOffset>281305</wp:posOffset>
                  </wp:positionH>
                  <wp:positionV relativeFrom="paragraph">
                    <wp:posOffset>-4046855</wp:posOffset>
                  </wp:positionV>
                  <wp:extent cx="4655820" cy="6948805"/>
                  <wp:effectExtent l="0" t="0" r="11430" b="4445"/>
                  <wp:wrapTopAndBottom/>
                  <wp:docPr id="3" name="图片 3" descr="7a7bf666-c413-457e-85b3-3bbf0e8b4fa6-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a7bf666-c413-457e-85b3-3bbf0e8b4fa6-0000"/>
                          <pic:cNvPicPr>
                            <a:picLocks noChangeAspect="1"/>
                          </pic:cNvPicPr>
                        </pic:nvPicPr>
                        <pic:blipFill>
                          <a:blip r:embed="rId12"/>
                          <a:srcRect l="25436" t="6845" r="25970" b="2727"/>
                          <a:stretch>
                            <a:fillRect/>
                          </a:stretch>
                        </pic:blipFill>
                        <pic:spPr>
                          <a:xfrm>
                            <a:off x="0" y="0"/>
                            <a:ext cx="4655820" cy="6948805"/>
                          </a:xfrm>
                          <a:prstGeom prst="rect">
                            <a:avLst/>
                          </a:prstGeom>
                        </pic:spPr>
                      </pic:pic>
                    </a:graphicData>
                  </a:graphic>
                </wp:anchor>
              </w:drawing>
            </w:r>
            <w:r>
              <w:rPr>
                <w:rStyle w:val="63"/>
                <w:rFonts w:hint="eastAsia"/>
              </w:rPr>
              <w:t>图</w:t>
            </w:r>
            <w:r>
              <w:rPr>
                <w:rStyle w:val="63"/>
                <w:rFonts w:hint="eastAsia"/>
                <w:lang w:val="en-US" w:eastAsia="zh-CN"/>
              </w:rPr>
              <w:t>4</w:t>
            </w:r>
            <w:r>
              <w:rPr>
                <w:rStyle w:val="63"/>
              </w:rPr>
              <w:t>-</w:t>
            </w:r>
            <w:r>
              <w:rPr>
                <w:rStyle w:val="63"/>
                <w:rFonts w:hint="eastAsia"/>
              </w:rPr>
              <w:t>1</w:t>
            </w:r>
            <w:r>
              <w:rPr>
                <w:rStyle w:val="63"/>
              </w:rPr>
              <w:t xml:space="preserve"> 基于模仿学习与强化学习融合的双足机器人步态控制系统框架</w:t>
            </w:r>
          </w:p>
          <w:p w14:paraId="7BCC77EE">
            <w:pPr>
              <w:numPr>
                <w:ilvl w:val="0"/>
                <w:numId w:val="21"/>
              </w:numPr>
              <w:bidi w:val="0"/>
            </w:pPr>
            <w:r>
              <w:rPr>
                <w:rStyle w:val="33"/>
              </w:rPr>
              <w:t xml:space="preserve">数据采集与预处理（Data Layer） </w:t>
            </w:r>
            <w:r>
              <w:t>本阶段旨在解决双足机器人控制中“高维动作空间探索难”的问题，通过引入人类先验知识构建高质量的参考数据集。</w:t>
            </w:r>
          </w:p>
          <w:p w14:paraId="02996E4F">
            <w:pPr>
              <w:bidi w:val="0"/>
              <w:rPr>
                <w:b/>
                <w:bCs/>
              </w:rPr>
            </w:pPr>
            <w:r>
              <w:rPr>
                <w:b/>
                <w:bCs/>
              </w:rPr>
              <w:t>多模态数据获取：</w:t>
            </w:r>
          </w:p>
          <w:p w14:paraId="689F853D">
            <w:pPr>
              <w:bidi w:val="0"/>
            </w:pPr>
            <w:r>
              <w:t>利用光学动作捕捉系统（MoCap）或高精度IMU传感器，采集人体在平地行走、上下台阶等典型工况下的运动数据。</w:t>
            </w:r>
          </w:p>
          <w:p w14:paraId="0AB6E334">
            <w:pPr>
              <w:bidi w:val="0"/>
              <w:rPr>
                <w:b/>
                <w:bCs/>
              </w:rPr>
            </w:pPr>
            <w:r>
              <w:rPr>
                <w:b/>
                <w:bCs/>
              </w:rPr>
              <w:t>运动学重定向（Retargeting）：</w:t>
            </w:r>
          </w:p>
          <w:p w14:paraId="5CF4FAB7">
            <w:pPr>
              <w:bidi w:val="0"/>
            </w:pPr>
            <w:r>
              <w:t>针对人体与双足机器人在自由度（DoF）及连杆尺寸上的构型差异，构建基于逆运动学（IK）的解算管道。通过优化算法将人体末端轨迹映射至机器人关节空间，并进行时序对齐与滤波处理，生成标准化的状态-动作对（State-Action Pairs）数据集，为后续算法提供“专家示范”。</w:t>
            </w:r>
          </w:p>
          <w:p w14:paraId="54D922DB">
            <w:pPr>
              <w:numPr>
                <w:ilvl w:val="0"/>
                <w:numId w:val="21"/>
              </w:numPr>
              <w:bidi w:val="0"/>
              <w:ind w:left="0" w:leftChars="0" w:firstLine="422" w:firstLineChars="200"/>
            </w:pPr>
            <w:r>
              <w:rPr>
                <w:rStyle w:val="33"/>
              </w:rPr>
              <w:t xml:space="preserve">算法建模与训练（Training Layer） </w:t>
            </w:r>
            <w:r>
              <w:t>此阶段是核心攻坚环节，采用“模仿学习初始化 + 强化学习微调”的混合驱动范式，在Webots/Mujoco物理仿真环境中进行策略迭代。</w:t>
            </w:r>
          </w:p>
          <w:p w14:paraId="478ADD84">
            <w:pPr>
              <w:bidi w:val="0"/>
            </w:pPr>
            <w:r>
              <w:rPr>
                <w:b/>
                <w:bCs/>
              </w:rPr>
              <w:t>策略初始化（Warm-start）</w:t>
            </w:r>
            <w:r>
              <w:t>：</w:t>
            </w:r>
          </w:p>
          <w:p w14:paraId="36A200EF">
            <w:pPr>
              <w:bidi w:val="0"/>
            </w:pPr>
            <w:r>
              <w:t>利用行为克隆（BC）算法对标准化数据集进行监督学习，训练策略网络初步掌握基础行走步态，避免RL算法在训练初期的盲目探索。</w:t>
            </w:r>
          </w:p>
          <w:p w14:paraId="06294251">
            <w:pPr>
              <w:bidi w:val="0"/>
              <w:rPr>
                <w:b/>
                <w:bCs/>
              </w:rPr>
            </w:pPr>
            <w:r>
              <w:rPr>
                <w:b/>
                <w:bCs/>
              </w:rPr>
              <w:t>PPO强化微调闭环：</w:t>
            </w:r>
          </w:p>
          <w:p w14:paraId="70853124">
            <w:pPr>
              <w:bidi w:val="0"/>
            </w:pPr>
            <w:r>
              <w:t>构建基于Actor-Critic架构的策略网络，输入端融合本体感知与历史观测序列（Proprioception History），以隐式编码环境特征。在训练循环中，引入三大核心模块：</w:t>
            </w:r>
          </w:p>
          <w:p w14:paraId="1A602DF3">
            <w:pPr>
              <w:numPr>
                <w:ilvl w:val="0"/>
                <w:numId w:val="22"/>
              </w:numPr>
              <w:bidi w:val="0"/>
            </w:pPr>
            <w:r>
              <w:rPr>
                <w:b/>
                <w:bCs/>
              </w:rPr>
              <w:t>域随机化：</w:t>
            </w:r>
            <w:r>
              <w:t>对仿真环境中的连杆质量、地面摩擦系数及通信延迟进行动态扰动，迫使策略学习适应模型不确定性。</w:t>
            </w:r>
          </w:p>
          <w:p w14:paraId="4C650041">
            <w:pPr>
              <w:bidi w:val="0"/>
            </w:pPr>
            <w:r>
              <w:rPr>
                <w:rFonts w:hint="eastAsia"/>
                <w:lang w:val="en-US" w:eastAsia="zh-CN"/>
              </w:rPr>
              <w:t xml:space="preserve">(2) </w:t>
            </w:r>
            <w:r>
              <w:rPr>
                <w:b/>
                <w:bCs/>
              </w:rPr>
              <w:t>多目标奖励函数：</w:t>
            </w:r>
            <w:r>
              <w:t>设计包含姿态模仿、能耗优化及基于ZMP稳定性判据的复合奖励，兼顾步态自然度与物理平衡。</w:t>
            </w:r>
          </w:p>
          <w:p w14:paraId="4792C61B">
            <w:pPr>
              <w:bidi w:val="0"/>
            </w:pPr>
            <w:r>
              <w:rPr>
                <w:rFonts w:hint="eastAsia"/>
                <w:lang w:val="en-US" w:eastAsia="zh-CN"/>
              </w:rPr>
              <w:t xml:space="preserve">(3) </w:t>
            </w:r>
            <w:r>
              <w:rPr>
                <w:b/>
                <w:bCs/>
              </w:rPr>
              <w:t>反馈迭代机制：</w:t>
            </w:r>
            <w:r>
              <w:t>实时监控仿真收敛曲线，若策略未达标，则通过超参数优化或奖励权重重塑（Reward Shaping）进行迭代调整。</w:t>
            </w:r>
          </w:p>
          <w:p w14:paraId="6BFE30C4">
            <w:pPr>
              <w:bidi w:val="0"/>
              <w:rPr>
                <w:b/>
                <w:bCs/>
              </w:rPr>
            </w:pPr>
            <w:r>
              <w:rPr>
                <w:rFonts w:hint="eastAsia"/>
                <w:b/>
                <w:bCs/>
                <w:lang w:val="en-US" w:eastAsia="zh-CN"/>
              </w:rPr>
              <w:t xml:space="preserve">3. </w:t>
            </w:r>
            <w:r>
              <w:rPr>
                <w:b/>
                <w:bCs/>
              </w:rPr>
              <w:t xml:space="preserve">Sim2Real迁移与验证（Deployment Layer） </w:t>
            </w:r>
          </w:p>
          <w:p w14:paraId="07924D1A">
            <w:pPr>
              <w:bidi w:val="0"/>
            </w:pPr>
            <w:r>
              <w:t>本阶段旨在</w:t>
            </w:r>
            <w:r>
              <w:rPr>
                <w:rFonts w:hint="eastAsia"/>
                <w:lang w:val="en-US" w:eastAsia="zh-CN"/>
              </w:rPr>
              <w:t>跨越</w:t>
            </w:r>
            <w:r>
              <w:t>“虚实鸿沟”，验证策略在真实物理世界的鲁棒性。</w:t>
            </w:r>
          </w:p>
          <w:p w14:paraId="48819DC7">
            <w:pPr>
              <w:bidi w:val="0"/>
              <w:rPr>
                <w:b/>
                <w:bCs/>
              </w:rPr>
            </w:pPr>
            <w:r>
              <w:rPr>
                <w:b/>
                <w:bCs/>
              </w:rPr>
              <w:t>策略部署与实机测试：</w:t>
            </w:r>
          </w:p>
          <w:p w14:paraId="32DAEE9E">
            <w:pPr>
              <w:bidi w:val="0"/>
            </w:pPr>
            <w:r>
              <w:t>将训练好的策略模型移植至机器人机载控制器（如Jetson/工控机），在真实样机上开展速度跟踪、长距离行走及抗扰动测试（施加20-30N侧向外力）。</w:t>
            </w:r>
          </w:p>
          <w:p w14:paraId="1538C152">
            <w:pPr>
              <w:bidi w:val="0"/>
              <w:rPr>
                <w:b/>
                <w:bCs/>
              </w:rPr>
            </w:pPr>
            <w:r>
              <w:rPr>
                <w:b/>
                <w:bCs/>
              </w:rPr>
              <w:t>虚实闭环反馈：</w:t>
            </w:r>
          </w:p>
          <w:p w14:paraId="455E034A">
            <w:pPr>
              <w:bidi w:val="0"/>
            </w:pPr>
            <w:r>
              <w:t>建立“失败日志-参数修正”机制。若实机性能未达标，则收集传感器日志与故障数据，通过系统辨识技术反向修正仿真环境参数，重新进行针对性训练，直至满足“盲视地形适应”与“抗扰动行走”的各项性能指标。</w:t>
            </w:r>
          </w:p>
          <w:p w14:paraId="5A4734AC">
            <w:pPr>
              <w:pStyle w:val="2"/>
              <w:spacing w:before="156" w:after="156"/>
            </w:pPr>
            <w:r>
              <w:rPr>
                <w:rFonts w:hint="eastAsia"/>
                <w:lang w:val="en-US" w:eastAsia="zh-CN"/>
              </w:rPr>
              <w:t>关键算法与实现细节</w:t>
            </w:r>
          </w:p>
          <w:p w14:paraId="78BC999A">
            <w:pPr>
              <w:ind w:firstLine="420"/>
            </w:pPr>
            <w:r>
              <w:t>为了支撑上述思路，本课题将具体采用以下关键技术方法：</w:t>
            </w:r>
          </w:p>
          <w:p w14:paraId="765D9118">
            <w:pPr>
              <w:pStyle w:val="3"/>
              <w:numPr>
                <w:ilvl w:val="0"/>
                <w:numId w:val="23"/>
              </w:numPr>
              <w:ind w:firstLine="422" w:firstLineChars="200"/>
            </w:pPr>
            <w:r>
              <w:t>基于运动学重定向（Retargeting）的数据预处理</w:t>
            </w:r>
          </w:p>
          <w:p w14:paraId="4CB8D253">
            <w:pPr>
              <w:ind w:firstLine="420"/>
            </w:pPr>
            <w:r>
              <w:t>原始的光学动作捕捉或IMU数据是基于人体骨骼模型的笛卡尔空间坐标，无法直接驱动机器人关节。因此，需要通过逆运动学（Inverse Kinematics, IK）算法构建从人体到机器人的运动重定向管道。</w:t>
            </w:r>
          </w:p>
          <w:p w14:paraId="0C74F85E">
            <w:pPr>
              <w:ind w:firstLine="420"/>
            </w:pPr>
            <w:r>
              <w:t>假设人体关键点位置为</w:t>
            </w:r>
            <m:oMath>
              <m:sSub>
                <m:sSubPr>
                  <m:ctrlPr>
                    <w:rPr>
                      <w:rFonts w:ascii="Cambria Math" w:hAnsi="Cambria Math"/>
                      <w:i/>
                    </w:rPr>
                  </m:ctrlPr>
                </m:sSubPr>
                <m:e>
                  <m:r>
                    <m:rPr/>
                    <w:rPr>
                      <w:rFonts w:ascii="Cambria Math" w:hAnsi="Cambria Math"/>
                    </w:rPr>
                    <m:t xml:space="preserve"> p</m:t>
                  </m:r>
                  <m:ctrlPr>
                    <w:rPr>
                      <w:rFonts w:ascii="Cambria Math" w:hAnsi="Cambria Math"/>
                      <w:i/>
                    </w:rPr>
                  </m:ctrlPr>
                </m:e>
                <m:sub>
                  <m:r>
                    <m:rPr/>
                    <w:rPr>
                      <w:rFonts w:ascii="Cambria Math" w:hAnsi="Cambria Math"/>
                    </w:rPr>
                    <m:t>human</m:t>
                  </m:r>
                  <m:ctrlPr>
                    <w:rPr>
                      <w:rFonts w:ascii="Cambria Math" w:hAnsi="Cambria Math"/>
                      <w:i/>
                    </w:rPr>
                  </m:ctrlPr>
                </m:sub>
              </m:sSub>
            </m:oMath>
            <w:r>
              <w:t>，我们需要求解机器人的关节角度</w:t>
            </w:r>
            <w:r>
              <w:rPr>
                <w:i/>
                <w:iCs/>
              </w:rPr>
              <w:t>q</w:t>
            </w:r>
            <w:r>
              <w:t>，使得机器人末端位置</w:t>
            </w:r>
            <m:oMath>
              <m:r>
                <m:rPr/>
                <w:rPr>
                  <w:rFonts w:ascii="Cambria Math" w:hAnsi="Cambria Math"/>
                </w:rPr>
                <m:t>f(q)</m:t>
              </m:r>
            </m:oMath>
            <w:r>
              <w:t>最小化与人体关键点的差异</w:t>
            </w:r>
            <w:r>
              <w:rPr>
                <w:rFonts w:hint="eastAsia"/>
                <w:lang w:eastAsia="zh-CN"/>
              </w:rPr>
              <w:t>。</w:t>
            </w:r>
            <w:r>
              <w:rPr>
                <w:rFonts w:hint="eastAsia"/>
                <w:lang w:val="en-US" w:eastAsia="zh-CN"/>
              </w:rPr>
              <w:t>优化目标函数如下</w:t>
            </w:r>
            <w:r>
              <w:t>：</w:t>
            </w:r>
          </w:p>
          <w:p w14:paraId="5620800E">
            <w:pPr>
              <w:spacing w:line="360" w:lineRule="auto"/>
              <w:ind w:firstLine="0" w:firstLineChars="0"/>
              <w:rPr>
                <w:rFonts w:hint="eastAsia" w:hAnsi="Cambria Math"/>
                <w:b w:val="0"/>
                <w:i w:val="0"/>
              </w:rPr>
            </w:pPr>
            <m:oMathPara>
              <m:oMath>
                <m:eqArr>
                  <m:eqArrPr>
                    <m:maxDist m:val="1"/>
                    <m:ctrlPr>
                      <w:rPr>
                        <w:rFonts w:hint="eastAsia" w:hAnsi="Cambria Math"/>
                        <w:b w:val="0"/>
                        <w:i w:val="0"/>
                      </w:rPr>
                    </m:ctrlPr>
                  </m:eqArrPr>
                  <m:e>
                    <m:r>
                      <m:rPr/>
                      <w:rPr>
                        <w:rFonts w:ascii="Cambria Math" w:hAnsi="Cambria Math"/>
                      </w:rPr>
                      <m:t>min</m:t>
                    </m:r>
                    <m:nary>
                      <m:naryPr>
                        <m:chr m:val="∑"/>
                        <m:limLoc m:val="undOvr"/>
                        <m:supHide m:val="1"/>
                        <m:ctrlPr>
                          <w:rPr>
                            <w:rFonts w:ascii="Cambria Math" w:hAnsi="Cambria Math"/>
                            <w:i/>
                          </w:rPr>
                        </m:ctrlPr>
                      </m:naryPr>
                      <m:sub>
                        <m:r>
                          <m:rPr/>
                          <w:rPr>
                            <w:rFonts w:ascii="Cambria Math" w:hAnsi="Cambria Math"/>
                          </w:rPr>
                          <m:t>i</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m:t>
                            </m:r>
                            <m:ctrlPr>
                              <w:rPr>
                                <w:rFonts w:ascii="Cambria Math" w:hAnsi="Cambria Math"/>
                                <w:i/>
                              </w:rPr>
                            </m:ctrlPr>
                          </m:sub>
                        </m:sSub>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i</m:t>
                                    </m:r>
                                    <m:ctrlPr>
                                      <w:rPr>
                                        <w:rFonts w:ascii="Cambria Math" w:hAnsi="Cambria Math"/>
                                        <w:i/>
                                      </w:rPr>
                                    </m:ctrlPr>
                                  </m:sub>
                                </m:sSub>
                                <m:d>
                                  <m:dPr>
                                    <m:ctrlPr>
                                      <w:rPr>
                                        <w:rFonts w:ascii="Cambria Math" w:hAnsi="Cambria Math"/>
                                        <w:iCs/>
                                      </w:rPr>
                                    </m:ctrlPr>
                                  </m:dPr>
                                  <m:e>
                                    <m:r>
                                      <m:rPr/>
                                      <w:rPr>
                                        <w:rFonts w:ascii="Cambria Math" w:hAnsi="Cambria Math"/>
                                      </w:rPr>
                                      <m:t>q</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 xml:space="preserve"> p</m:t>
                                    </m:r>
                                    <m:ctrlPr>
                                      <w:rPr>
                                        <w:rFonts w:ascii="Cambria Math" w:hAnsi="Cambria Math"/>
                                        <w:i/>
                                      </w:rPr>
                                    </m:ctrlPr>
                                  </m:e>
                                  <m:sub>
                                    <m:r>
                                      <m:rPr/>
                                      <w:rPr>
                                        <w:rFonts w:ascii="Cambria Math" w:hAnsi="Cambria Math"/>
                                      </w:rPr>
                                      <m:t>human,i</m:t>
                                    </m:r>
                                    <m:ctrlPr>
                                      <w:rPr>
                                        <w:rFonts w:ascii="Cambria Math" w:hAnsi="Cambria Math"/>
                                        <w:i/>
                                      </w:rPr>
                                    </m:ctrlPr>
                                  </m:sub>
                                </m:sSub>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r>
                      <m:rPr/>
                      <w:rPr>
                        <w:rFonts w:ascii="Cambria Math" w:hAnsi="Cambria Math"/>
                      </w:rPr>
                      <m:t>+</m:t>
                    </m:r>
                    <m:sSup>
                      <m:sSupPr>
                        <m:ctrlPr>
                          <w:rPr>
                            <w:rFonts w:ascii="Cambria Math" w:hAnsi="Cambria Math"/>
                            <w:i/>
                          </w:rPr>
                        </m:ctrlPr>
                      </m:sSupPr>
                      <m:e>
                        <m:r>
                          <m:rPr/>
                          <w:rPr>
                            <w:rFonts w:ascii="Cambria Math" w:hAnsi="Cambria Math"/>
                          </w:rPr>
                          <m:t>λ</m:t>
                        </m:r>
                        <m:d>
                          <m:dPr>
                            <m:begChr m:val="‖"/>
                            <m:endChr m:val="‖"/>
                            <m:ctrlPr>
                              <w:rPr>
                                <w:rFonts w:ascii="Cambria Math" w:hAnsi="Cambria Math"/>
                                <w:i/>
                              </w:rPr>
                            </m:ctrlPr>
                          </m:dPr>
                          <m:e>
                            <m:r>
                              <m:rPr/>
                              <w:rPr>
                                <w:rFonts w:ascii="Cambria Math" w:hAnsi="Cambria Math"/>
                              </w:rPr>
                              <m:t>q−</m:t>
                            </m:r>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rest</m:t>
                                </m:r>
                                <m:ctrlPr>
                                  <w:rPr>
                                    <w:rFonts w:ascii="Cambria Math" w:hAnsi="Cambria Math"/>
                                    <w:i/>
                                  </w:rPr>
                                </m:ctrlPr>
                              </m:sub>
                            </m:sSub>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r>
                      <m:rPr>
                        <m:sty m:val="p"/>
                      </m:rPr>
                      <w:rPr>
                        <w:rFonts w:hint="default" w:ascii="Cambria Math" w:hAnsi="Cambria Math"/>
                        <w:lang w:val="en-US" w:eastAsia="zh-CN"/>
                      </w:rPr>
                      <m:t xml:space="preserve"> #</m:t>
                    </m:r>
                    <m:r>
                      <m:rPr>
                        <m:sty m:val="p"/>
                      </m:rPr>
                      <w:rPr>
                        <w:rFonts w:ascii="Cambria Math" w:hAnsi="Cambria Math"/>
                      </w:rPr>
                      <m:t>（</m:t>
                    </m:r>
                    <m:r>
                      <m:rPr>
                        <m:sty m:val="p"/>
                      </m:rPr>
                      <w:rPr>
                        <w:rFonts w:hint="eastAsia" w:ascii="Cambria Math" w:hAnsi="Cambria Math"/>
                      </w:rPr>
                      <m:t>式</m:t>
                    </m:r>
                    <m:r>
                      <m:rPr>
                        <m:sty m:val="p"/>
                      </m:rPr>
                      <w:rPr>
                        <w:rFonts w:ascii="Cambria Math" w:hAnsi="Cambria Math"/>
                      </w:rPr>
                      <m:t>4−1）</m:t>
                    </m:r>
                    <m:ctrlPr>
                      <w:rPr>
                        <w:rFonts w:hint="eastAsia" w:hAnsi="Cambria Math"/>
                        <w:b w:val="0"/>
                        <w:i w:val="0"/>
                      </w:rPr>
                    </m:ctrlPr>
                  </m:e>
                </m:eqArr>
              </m:oMath>
            </m:oMathPara>
          </w:p>
          <w:p w14:paraId="574DDDA6">
            <w:pPr>
              <w:ind w:firstLine="420"/>
            </w:pPr>
            <w:r>
              <w:t>其中，</w:t>
            </w:r>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m:t>
                  </m:r>
                  <m:ctrlPr>
                    <w:rPr>
                      <w:rFonts w:ascii="Cambria Math" w:hAnsi="Cambria Math"/>
                      <w:i/>
                    </w:rPr>
                  </m:ctrlPr>
                </m:sub>
              </m:sSub>
            </m:oMath>
            <w:r>
              <w:t>为不同关键点的权重，</w:t>
            </w:r>
            <m:oMath>
              <m:r>
                <m:rPr/>
                <w:rPr>
                  <w:rFonts w:ascii="Cambria Math" w:hAnsi="Cambria Math"/>
                </w:rPr>
                <m:t>λ</m:t>
              </m:r>
            </m:oMath>
            <w:r>
              <w:t>为正则化项系数以保证姿态自然。</w:t>
            </w:r>
          </w:p>
          <w:p w14:paraId="3E585BFB">
            <w:pPr>
              <w:ind w:firstLine="420"/>
            </w:pPr>
            <w:r>
              <w:t>处理后的数据将经过时序对齐与标准化，构建成标准的状态-动作对数据集</w:t>
            </w:r>
            <w:r>
              <w:rPr>
                <w:rFonts w:hint="eastAsia"/>
              </w:rPr>
              <w:t>：</w:t>
            </w:r>
          </w:p>
          <w:p w14:paraId="2391210F">
            <w:pPr>
              <w:spacing w:line="360" w:lineRule="auto"/>
              <w:ind w:firstLine="420"/>
              <w:rPr>
                <w:rFonts w:hint="eastAsia" w:hAnsi="Cambria Math"/>
                <w:b w:val="0"/>
                <w:i w:val="0"/>
              </w:rPr>
            </w:pPr>
            <m:oMathPara>
              <m:oMath>
                <m:eqArr>
                  <m:eqArrPr>
                    <m:maxDist m:val="1"/>
                    <m:ctrlPr>
                      <w:rPr>
                        <w:rFonts w:hint="eastAsia" w:hAnsi="Cambria Math"/>
                        <w:b w:val="0"/>
                        <w:i w:val="0"/>
                      </w:rPr>
                    </m:ctrlPr>
                  </m:eqArrPr>
                  <m:e>
                    <m:r>
                      <m:rPr/>
                      <w:rPr>
                        <w:rFonts w:hint="eastAsia" w:ascii="Cambria Math" w:hAnsi="Cambria Math"/>
                      </w:rPr>
                      <m:t>D</m:t>
                    </m:r>
                    <m:r>
                      <m:rPr/>
                      <w:rPr>
                        <w:rFonts w:ascii="Cambria Math" w:hAnsi="Cambria Math"/>
                      </w:rPr>
                      <m:t>=</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m:rPr/>
                                  <w:rPr>
                                    <w:rFonts w:hint="eastAsia" w:ascii="Cambria Math" w:hAnsi="Cambria Math"/>
                                  </w:rPr>
                                  <m:t>s</m:t>
                                </m:r>
                                <m:ctrlPr>
                                  <w:rPr>
                                    <w:rFonts w:ascii="Cambria Math" w:hAnsi="Cambria Math"/>
                                    <w:i/>
                                  </w:rPr>
                                </m:ctrlPr>
                              </m:e>
                              <m:sub>
                                <m:r>
                                  <m:rPr/>
                                  <w:rPr>
                                    <w:rFonts w:hint="eastAsia" w:ascii="Cambria Math" w:hAnsi="Cambria Math"/>
                                  </w:rPr>
                                  <m:t>t</m:t>
                                </m:r>
                                <m:ctrlPr>
                                  <w:rPr>
                                    <w:rFonts w:ascii="Cambria Math" w:hAnsi="Cambria Math"/>
                                    <w:i/>
                                  </w:rPr>
                                </m:ctrlPr>
                              </m:sub>
                            </m:sSub>
                            <m:r>
                              <m:rPr/>
                              <w:rPr>
                                <w:rFonts w:hint="eastAsia" w:ascii="Cambria Math" w:hAnsi="Cambria Math"/>
                              </w:rPr>
                              <m:t>，</m:t>
                            </m:r>
                            <m:sSubSup>
                              <m:sSubSupPr>
                                <m:ctrlPr>
                                  <w:rPr>
                                    <w:rFonts w:ascii="Cambria Math" w:hAnsi="Cambria Math"/>
                                    <w:i/>
                                  </w:rPr>
                                </m:ctrlPr>
                              </m:sSubSupPr>
                              <m:e>
                                <m:r>
                                  <m:rPr/>
                                  <w:rPr>
                                    <w:rFonts w:hint="eastAsia" w:ascii="Cambria Math" w:hAnsi="Cambria Math"/>
                                  </w:rPr>
                                  <m:t>a</m:t>
                                </m:r>
                                <m:ctrlPr>
                                  <w:rPr>
                                    <w:rFonts w:ascii="Cambria Math" w:hAnsi="Cambria Math"/>
                                    <w:i/>
                                  </w:rPr>
                                </m:ctrlPr>
                              </m:e>
                              <m:sub>
                                <m:r>
                                  <m:rPr/>
                                  <w:rPr>
                                    <w:rFonts w:hint="eastAsia" w:ascii="Cambria Math" w:hAnsi="Cambria Math"/>
                                  </w:rPr>
                                  <m:t>t</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r>
                          <m:rPr/>
                          <w:rPr>
                            <w:rFonts w:hint="default" w:ascii="Cambria Math" w:hAnsi="Cambria Math"/>
                            <w:lang w:val="en-US" w:eastAsia="zh-CN"/>
                          </w:rPr>
                          <m:t>| t=1...T</m:t>
                        </m:r>
                        <m:ctrlPr>
                          <w:rPr>
                            <w:rFonts w:ascii="Cambria Math" w:hAnsi="Cambria Math"/>
                            <w:i/>
                          </w:rPr>
                        </m:ctrlPr>
                      </m:e>
                    </m:d>
                    <m:r>
                      <m:rPr>
                        <m:sty m:val="p"/>
                      </m:rPr>
                      <w:rPr>
                        <w:rFonts w:hint="default" w:ascii="Cambria Math" w:hAnsi="Cambria Math"/>
                        <w:lang w:val="en-US" w:eastAsia="zh-CN"/>
                      </w:rPr>
                      <m:t>#</m:t>
                    </m:r>
                    <m:r>
                      <m:rPr>
                        <m:sty m:val="p"/>
                      </m:rPr>
                      <w:rPr>
                        <w:rFonts w:ascii="Cambria Math" w:hAnsi="Cambria Math"/>
                      </w:rPr>
                      <m:t>（</m:t>
                    </m:r>
                    <m:r>
                      <m:rPr>
                        <m:sty m:val="p"/>
                      </m:rPr>
                      <w:rPr>
                        <w:rFonts w:hint="eastAsia" w:ascii="Cambria Math" w:hAnsi="Cambria Math"/>
                      </w:rPr>
                      <m:t>式</m:t>
                    </m:r>
                    <m:r>
                      <m:rPr>
                        <m:sty m:val="p"/>
                      </m:rPr>
                      <w:rPr>
                        <w:rFonts w:ascii="Cambria Math" w:hAnsi="Cambria Math"/>
                      </w:rPr>
                      <m:t>4−2）</m:t>
                    </m:r>
                    <m:ctrlPr>
                      <w:rPr>
                        <w:rFonts w:hint="eastAsia" w:hAnsi="Cambria Math"/>
                        <w:b w:val="0"/>
                        <w:i w:val="0"/>
                      </w:rPr>
                    </m:ctrlPr>
                  </m:e>
                </m:eqArr>
              </m:oMath>
            </m:oMathPara>
          </w:p>
          <w:p w14:paraId="5ECD8D70">
            <w:pPr>
              <w:pStyle w:val="3"/>
              <w:numPr>
                <w:ilvl w:val="0"/>
                <w:numId w:val="23"/>
              </w:numPr>
              <w:ind w:firstLine="422" w:firstLineChars="200"/>
            </w:pPr>
            <w:r>
              <w:t>行为克隆（Behavior Cloning, BC）与策略初始化</w:t>
            </w:r>
          </w:p>
          <w:p w14:paraId="0EB7F90D">
            <w:pPr>
              <w:ind w:firstLine="420"/>
            </w:pPr>
            <w:r>
              <w:t>在策略构建初期，为了快速获得稳定的基线步态，将采用行为克隆方法。通过构建一个参数化的策略网络</w:t>
            </w:r>
            <m:oMath>
              <m:sSub>
                <m:sSubPr>
                  <m:ctrlPr>
                    <w:rPr>
                      <w:rFonts w:ascii="Cambria Math" w:hAnsi="Cambria Math"/>
                      <w:i/>
                    </w:rPr>
                  </m:ctrlPr>
                </m:sSubPr>
                <m:e>
                  <m:r>
                    <m:rPr/>
                    <w:rPr>
                      <w:rFonts w:ascii="Cambria Math" w:hAnsi="Cambria Math"/>
                    </w:rPr>
                    <m:t>π</m:t>
                  </m:r>
                  <m:ctrlPr>
                    <w:rPr>
                      <w:rFonts w:ascii="Cambria Math" w:hAnsi="Cambria Math"/>
                      <w:i/>
                    </w:rPr>
                  </m:ctrlPr>
                </m:e>
                <m:sub>
                  <m:r>
                    <m:rPr/>
                    <w:rPr>
                      <w:rFonts w:ascii="Cambria Math" w:hAnsi="Cambria Math"/>
                    </w:rPr>
                    <m:t>θ</m:t>
                  </m:r>
                  <m:ctrlPr>
                    <w:rPr>
                      <w:rFonts w:ascii="Cambria Math" w:hAnsi="Cambria Math"/>
                      <w:i/>
                    </w:rPr>
                  </m:ctrlPr>
                </m:sub>
              </m:sSub>
            </m:oMath>
            <w:r>
              <w:t>，以最小化预测动作与专家动作</w:t>
            </w:r>
            <m:oMath>
              <m:sSubSup>
                <m:sSubSupPr>
                  <m:ctrlPr>
                    <w:rPr>
                      <w:rFonts w:ascii="Cambria Math" w:hAnsi="Cambria Math"/>
                      <w:i/>
                    </w:rPr>
                  </m:ctrlPr>
                </m:sSubSupPr>
                <m:e>
                  <m:r>
                    <m:rPr/>
                    <w:rPr>
                      <w:rFonts w:hint="eastAsia" w:ascii="Cambria Math" w:hAnsi="Cambria Math"/>
                    </w:rPr>
                    <m:t>a</m:t>
                  </m:r>
                  <m:ctrlPr>
                    <w:rPr>
                      <w:rFonts w:ascii="Cambria Math" w:hAnsi="Cambria Math"/>
                      <w:i/>
                    </w:rPr>
                  </m:ctrlPr>
                </m:e>
                <m:sub>
                  <m:r>
                    <m:rPr/>
                    <w:rPr>
                      <w:rFonts w:hint="eastAsia" w:ascii="Cambria Math" w:hAnsi="Cambria Math"/>
                    </w:rPr>
                    <m:t>t</m:t>
                  </m:r>
                  <m:ctrlPr>
                    <w:rPr>
                      <w:rFonts w:ascii="Cambria Math" w:hAnsi="Cambria Math"/>
                      <w:i/>
                    </w:rPr>
                  </m:ctrlPr>
                </m:sub>
                <m:sup>
                  <m:r>
                    <m:rPr/>
                    <w:rPr>
                      <w:rFonts w:ascii="Cambria Math" w:hAnsi="Cambria Math"/>
                    </w:rPr>
                    <m:t>∗</m:t>
                  </m:r>
                  <m:ctrlPr>
                    <w:rPr>
                      <w:rFonts w:ascii="Cambria Math" w:hAnsi="Cambria Math"/>
                      <w:i/>
                    </w:rPr>
                  </m:ctrlPr>
                </m:sup>
              </m:sSubSup>
            </m:oMath>
            <w:r>
              <w:t>之间的均方误差为优化目标进行监督训练：</w:t>
            </w:r>
          </w:p>
          <w:p w14:paraId="01990AC4">
            <w:pPr>
              <w:spacing w:line="360" w:lineRule="auto"/>
              <w:ind w:firstLine="420"/>
              <w:rPr>
                <w:rFonts w:hint="eastAsia" w:hAnsi="Cambria Math"/>
                <w:b w:val="0"/>
                <w:i w:val="0"/>
              </w:rPr>
            </w:pPr>
            <m:oMathPara>
              <m:oMath>
                <m:eqArr>
                  <m:eqArrPr>
                    <m:maxDist m:val="1"/>
                    <m:ctrlPr>
                      <w:rPr>
                        <w:rFonts w:hint="eastAsia" w:hAnsi="Cambria Math"/>
                        <w:b w:val="0"/>
                        <w:i w:val="0"/>
                      </w:rPr>
                    </m:ctrlPr>
                  </m:eqArrPr>
                  <m:e>
                    <m:sSub>
                      <m:sSubPr>
                        <m:ctrlPr>
                          <w:rPr>
                            <w:rFonts w:ascii="Cambria Math" w:hAnsi="Cambria Math"/>
                            <w:i/>
                          </w:rPr>
                        </m:ctrlPr>
                      </m:sSubPr>
                      <m:e>
                        <m:r>
                          <m:rPr/>
                          <w:rPr>
                            <w:rFonts w:hint="eastAsia" w:ascii="Cambria Math" w:hAnsi="Cambria Math"/>
                          </w:rPr>
                          <m:t>L</m:t>
                        </m:r>
                        <m:ctrlPr>
                          <w:rPr>
                            <w:rFonts w:ascii="Cambria Math" w:hAnsi="Cambria Math"/>
                            <w:i/>
                          </w:rPr>
                        </m:ctrlPr>
                      </m:e>
                      <m:sub>
                        <m:r>
                          <m:rPr/>
                          <w:rPr>
                            <w:rFonts w:hint="eastAsia" w:ascii="Cambria Math" w:hAnsi="Cambria Math"/>
                          </w:rPr>
                          <m:t>BC</m:t>
                        </m:r>
                        <m:ctrlPr>
                          <w:rPr>
                            <w:rFonts w:ascii="Cambria Math" w:hAnsi="Cambria Math"/>
                            <w:i/>
                          </w:rPr>
                        </m:ctrlPr>
                      </m:sub>
                    </m:sSub>
                    <m:r>
                      <m:rPr/>
                      <w:rPr>
                        <w:rFonts w:ascii="Cambria Math" w:hAnsi="Cambria Math"/>
                      </w:rPr>
                      <m:t>(θ)=</m:t>
                    </m:r>
                    <m:sSub>
                      <m:sSubPr>
                        <m:ctrlPr>
                          <w:rPr>
                            <w:rFonts w:ascii="Cambria Math" w:hAnsi="Cambria Math"/>
                            <w:i/>
                          </w:rPr>
                        </m:ctrlPr>
                      </m:sSubPr>
                      <m:e>
                        <m:r>
                          <m:rPr/>
                          <w:rPr>
                            <w:rFonts w:ascii="Cambria Math" w:hAnsi="Cambria Math"/>
                          </w:rPr>
                          <m:t>E</m:t>
                        </m:r>
                        <m:ctrlPr>
                          <w:rPr>
                            <w:rFonts w:ascii="Cambria Math" w:hAnsi="Cambria Math"/>
                            <w:i/>
                          </w:rPr>
                        </m:ctrlPr>
                      </m:e>
                      <m:sub>
                        <m:d>
                          <m:dPr>
                            <m:ctrlPr>
                              <w:rPr>
                                <w:rFonts w:ascii="Cambria Math" w:hAnsi="Cambria Math"/>
                                <w:i/>
                              </w:rPr>
                            </m:ctrlPr>
                          </m:dPr>
                          <m:e>
                            <m:r>
                              <m:rPr/>
                              <w:rPr>
                                <w:rFonts w:ascii="Cambria Math" w:hAnsi="Cambria Math"/>
                              </w:rPr>
                              <m:t>s,</m:t>
                            </m:r>
                            <m:sSup>
                              <m:sSupPr>
                                <m:ctrlPr>
                                  <w:rPr>
                                    <w:rFonts w:hint="eastAsia" w:ascii="Cambria Math" w:hAnsi="Cambria Math"/>
                                    <w:i/>
                                  </w:rPr>
                                </m:ctrlPr>
                              </m:sSupPr>
                              <m:e>
                                <m:r>
                                  <m:rPr/>
                                  <w:rPr>
                                    <w:rFonts w:hint="eastAsia" w:ascii="Cambria Math" w:hAnsi="Cambria Math"/>
                                  </w:rPr>
                                  <m:t>a</m:t>
                                </m:r>
                                <m:ctrlPr>
                                  <w:rPr>
                                    <w:rFonts w:ascii="Cambria Math" w:hAnsi="Cambria Math"/>
                                    <w:i/>
                                  </w:rPr>
                                </m:ctrlPr>
                              </m:e>
                              <m:sup>
                                <m:r>
                                  <m:rPr/>
                                  <w:rPr>
                                    <w:rFonts w:ascii="Cambria Math" w:hAnsi="Cambria Math"/>
                                  </w:rPr>
                                  <m:t>∗</m:t>
                                </m:r>
                                <m:ctrlPr>
                                  <w:rPr>
                                    <w:rFonts w:ascii="Cambria Math" w:hAnsi="Cambria Math"/>
                                    <w:i/>
                                  </w:rPr>
                                </m:ctrlPr>
                              </m:sup>
                            </m:sSup>
                            <m:ctrlPr>
                              <w:rPr>
                                <w:rFonts w:ascii="Cambria Math" w:hAnsi="Cambria Math"/>
                                <w:i/>
                              </w:rPr>
                            </m:ctrlPr>
                          </m:e>
                        </m:d>
                        <m:r>
                          <m:rPr/>
                          <w:rPr>
                            <w:rFonts w:ascii="Cambria Math" w:hAnsi="Cambria Math"/>
                          </w:rPr>
                          <m:t>~D</m:t>
                        </m:r>
                        <m:ctrlPr>
                          <w:rPr>
                            <w:rFonts w:ascii="Cambria Math" w:hAnsi="Cambria Math"/>
                            <w:i/>
                          </w:rPr>
                        </m:ctrlPr>
                      </m:sub>
                    </m:sSub>
                    <m:d>
                      <m:dPr>
                        <m:begChr m:val="["/>
                        <m:endChr m:val="]"/>
                        <m:ctrlPr>
                          <w:rPr>
                            <w:rFonts w:ascii="Cambria Math" w:hAnsi="Cambria Math"/>
                            <w:iCs/>
                          </w:rPr>
                        </m:ctrlPr>
                      </m:dPr>
                      <m:e>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π</m:t>
                                    </m:r>
                                    <m:ctrlPr>
                                      <w:rPr>
                                        <w:rFonts w:ascii="Cambria Math" w:hAnsi="Cambria Math"/>
                                        <w:i/>
                                      </w:rPr>
                                    </m:ctrlPr>
                                  </m:e>
                                  <m:sub>
                                    <m:r>
                                      <m:rPr/>
                                      <w:rPr>
                                        <w:rFonts w:ascii="Cambria Math" w:hAnsi="Cambria Math"/>
                                      </w:rPr>
                                      <m:t>θ</m:t>
                                    </m:r>
                                    <m:ctrlPr>
                                      <w:rPr>
                                        <w:rFonts w:ascii="Cambria Math" w:hAnsi="Cambria Math"/>
                                        <w:i/>
                                      </w:rPr>
                                    </m:ctrlPr>
                                  </m:sub>
                                </m:sSub>
                                <m:r>
                                  <m:rPr/>
                                  <w:rPr>
                                    <w:rFonts w:ascii="Cambria Math" w:hAnsi="Cambria Math"/>
                                  </w:rPr>
                                  <m:t>(s)−</m:t>
                                </m:r>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m:t>
                                    </m:r>
                                    <m:ctrlPr>
                                      <w:rPr>
                                        <w:rFonts w:ascii="Cambria Math" w:hAnsi="Cambria Math"/>
                                        <w:i/>
                                      </w:rPr>
                                    </m:ctrlPr>
                                  </m:sup>
                                </m:sSup>
                                <m:ctrlPr>
                                  <w:rPr>
                                    <w:rFonts w:ascii="Cambria Math" w:hAnsi="Cambria Math"/>
                                    <w:i/>
                                  </w:rPr>
                                </m:ctrlPr>
                              </m:e>
                            </m:d>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Cs/>
                          </w:rPr>
                        </m:ctrlPr>
                      </m:e>
                    </m:d>
                    <m:r>
                      <m:rPr>
                        <m:sty m:val="p"/>
                      </m:rPr>
                      <w:rPr>
                        <w:rFonts w:hint="default" w:ascii="Cambria Math" w:hAnsi="Cambria Math"/>
                        <w:lang w:val="en-US" w:eastAsia="zh-CN"/>
                      </w:rPr>
                      <m:t>#</m:t>
                    </m:r>
                    <m:r>
                      <m:rPr>
                        <m:sty m:val="p"/>
                      </m:rPr>
                      <w:rPr>
                        <w:rFonts w:ascii="Cambria Math" w:hAnsi="Cambria Math"/>
                      </w:rPr>
                      <m:t>（</m:t>
                    </m:r>
                    <m:r>
                      <m:rPr>
                        <m:sty m:val="p"/>
                      </m:rPr>
                      <w:rPr>
                        <w:rFonts w:hint="eastAsia" w:ascii="Cambria Math" w:hAnsi="Cambria Math"/>
                      </w:rPr>
                      <m:t>式</m:t>
                    </m:r>
                    <m:r>
                      <m:rPr>
                        <m:sty m:val="p"/>
                      </m:rPr>
                      <w:rPr>
                        <w:rFonts w:ascii="Cambria Math" w:hAnsi="Cambria Math"/>
                      </w:rPr>
                      <m:t>4−3）</m:t>
                    </m:r>
                    <m:ctrlPr>
                      <w:rPr>
                        <w:rFonts w:hint="eastAsia" w:hAnsi="Cambria Math"/>
                        <w:b w:val="0"/>
                        <w:i w:val="0"/>
                      </w:rPr>
                    </m:ctrlPr>
                  </m:e>
                </m:eqArr>
              </m:oMath>
            </m:oMathPara>
          </w:p>
          <w:p w14:paraId="465A8DCB">
            <w:pPr>
              <w:ind w:firstLine="420"/>
            </w:pPr>
            <w:r>
              <w:t>这一过程旨在让机器人通过监督学习复现人类的行走模式，虽然泛化性有限，但能确保机器人在强化学习介入前具备</w:t>
            </w:r>
            <w:r>
              <w:rPr>
                <w:rFonts w:hint="eastAsia"/>
                <w:lang w:val="en-US" w:eastAsia="zh-CN"/>
              </w:rPr>
              <w:t xml:space="preserve"> </w:t>
            </w:r>
            <w:r>
              <w:t>0.2-1.0m/s范围内的基础运动能力。</w:t>
            </w:r>
          </w:p>
          <w:p w14:paraId="1AFE6D21">
            <w:pPr>
              <w:pStyle w:val="3"/>
              <w:numPr>
                <w:ilvl w:val="0"/>
                <w:numId w:val="23"/>
              </w:numPr>
              <w:ind w:firstLine="422" w:firstLineChars="200"/>
            </w:pPr>
            <w:r>
              <w:t>约束驱动的PPO强化学习微调</w:t>
            </w:r>
          </w:p>
          <w:p w14:paraId="2A8283ED">
            <w:pPr>
              <w:ind w:firstLine="420"/>
              <w:rPr>
                <w:rFonts w:hint="eastAsia"/>
              </w:rPr>
            </w:pPr>
            <w:r>
              <w:t>进入微调阶段，我们将采用近端策略优化（PPO）算法。相较于其他梯度策略算法，PPO通过引入剪切函数（Clip Function）限制了策略更新的步长，保证了训练过程的单调不减，非常适合机器人控制这种对稳定性要求极高的任务。为了兼顾任务完成度与物理安全性，奖励函数</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oMath>
            <w:r>
              <w:t>将设计为多目标的加权组合：</w:t>
            </w:r>
          </w:p>
          <w:p w14:paraId="167AF8D3">
            <w:pPr>
              <w:spacing w:line="360" w:lineRule="auto"/>
              <w:ind w:firstLine="420"/>
              <w:rPr>
                <w:rFonts w:hint="eastAsia" w:hAnsi="Cambria Math"/>
                <w:b w:val="0"/>
                <w:i w:val="0"/>
              </w:rPr>
            </w:pPr>
            <m:oMathPara>
              <m:oMath>
                <m:eqArr>
                  <m:eqArrPr>
                    <m:maxDist m:val="1"/>
                    <m:ctrlPr>
                      <w:rPr>
                        <w:rFonts w:hint="eastAsia" w:hAnsi="Cambria Math"/>
                        <w:b w:val="0"/>
                        <w:i w:val="0"/>
                      </w:rPr>
                    </m:ctrlPr>
                  </m:eqArr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v</m:t>
                        </m:r>
                        <m:ctrlPr>
                          <w:rPr>
                            <w:rFonts w:ascii="Cambria Math" w:hAnsi="Cambria Math"/>
                            <w:i/>
                          </w:rPr>
                        </m:ctrlPr>
                      </m:sub>
                    </m:sSub>
                    <m:r>
                      <m:rPr>
                        <m:sty m:val="p"/>
                      </m:rPr>
                      <w:rPr>
                        <w:rFonts w:ascii="Cambria Math" w:hAnsi="Cambria Math"/>
                      </w:rPr>
                      <m:t>∙exp⁡(−</m:t>
                    </m:r>
                    <m:sSup>
                      <m:sSupPr>
                        <m:ctrlPr>
                          <w:rPr>
                            <w:rFonts w:ascii="Cambria Math" w:hAnsi="Cambria Math"/>
                            <w:iCs/>
                          </w:rPr>
                        </m:ctrlPr>
                      </m:sSupPr>
                      <m:e>
                        <m:d>
                          <m:dPr>
                            <m:begChr m:val="‖"/>
                            <m:endChr m:val="‖"/>
                            <m:ctrlPr>
                              <w:rPr>
                                <w:rFonts w:ascii="Cambria Math" w:hAnsi="Cambria Math"/>
                                <w:iCs/>
                              </w:rPr>
                            </m:ctrlPr>
                          </m:dPr>
                          <m:e>
                            <m:sSub>
                              <m:sSubPr>
                                <m:ctrlPr>
                                  <w:rPr>
                                    <w:rFonts w:ascii="Cambria Math" w:hAnsi="Cambria Math"/>
                                    <w:i/>
                                    <w:iCs/>
                                  </w:rPr>
                                </m:ctrlPr>
                              </m:sSubPr>
                              <m:e>
                                <m:r>
                                  <m:rPr/>
                                  <w:rPr>
                                    <w:rFonts w:ascii="Cambria Math" w:hAnsi="Cambria Math"/>
                                  </w:rPr>
                                  <m:t>v</m:t>
                                </m:r>
                                <m:ctrlPr>
                                  <w:rPr>
                                    <w:rFonts w:ascii="Cambria Math" w:hAnsi="Cambria Math"/>
                                    <w:i/>
                                    <w:iCs/>
                                  </w:rPr>
                                </m:ctrlPr>
                              </m:e>
                              <m:sub>
                                <m:r>
                                  <m:rPr/>
                                  <w:rPr>
                                    <w:rFonts w:ascii="Cambria Math" w:hAnsi="Cambria Math"/>
                                  </w:rPr>
                                  <m:t>t</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v</m:t>
                                </m:r>
                                <m:ctrlPr>
                                  <w:rPr>
                                    <w:rFonts w:ascii="Cambria Math" w:hAnsi="Cambria Math"/>
                                    <w:i/>
                                    <w:iCs/>
                                  </w:rPr>
                                </m:ctrlPr>
                              </m:e>
                              <m:sub>
                                <m:r>
                                  <m:rPr/>
                                  <w:rPr>
                                    <w:rFonts w:ascii="Cambria Math" w:hAnsi="Cambria Math"/>
                                  </w:rPr>
                                  <m:t>cmd</m:t>
                                </m:r>
                                <m:ctrlPr>
                                  <w:rPr>
                                    <w:rFonts w:ascii="Cambria Math" w:hAnsi="Cambria Math"/>
                                    <w:i/>
                                    <w:iCs/>
                                  </w:rPr>
                                </m:ctrlPr>
                              </m:sub>
                            </m:sSub>
                            <m:ctrlPr>
                              <w:rPr>
                                <w:rFonts w:ascii="Cambria Math" w:hAnsi="Cambria Math"/>
                                <w:iCs/>
                              </w:rPr>
                            </m:ctrlPr>
                          </m:e>
                        </m:d>
                        <m:ctrlPr>
                          <w:rPr>
                            <w:rFonts w:ascii="Cambria Math" w:hAnsi="Cambria Math"/>
                            <w:iCs/>
                          </w:rPr>
                        </m:ctrlPr>
                      </m:e>
                      <m:sup>
                        <m:r>
                          <m:rPr/>
                          <w:rPr>
                            <w:rFonts w:ascii="Cambria Math" w:hAnsi="Cambria Math"/>
                          </w:rPr>
                          <m:t>2</m:t>
                        </m:r>
                        <m:ctrlPr>
                          <w:rPr>
                            <w:rFonts w:ascii="Cambria Math" w:hAnsi="Cambria Math"/>
                            <w:iCs/>
                          </w:rPr>
                        </m:ctrlPr>
                      </m:sup>
                    </m:sSup>
                    <m:r>
                      <m:rPr>
                        <m:sty m:val="p"/>
                      </m:rPr>
                      <w:rPr>
                        <w:rFonts w:ascii="Cambria Math" w:hAnsi="Cambria Math"/>
                      </w:rPr>
                      <m:t>)</m:t>
                    </m:r>
                    <m:r>
                      <m:rPr/>
                      <w:rPr>
                        <w:rFonts w:ascii="Cambria Math" w:hAnsi="Cambria Math"/>
                      </w:rPr>
                      <m: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e</m:t>
                        </m:r>
                        <m:ctrlPr>
                          <w:rPr>
                            <w:rFonts w:ascii="Cambria Math" w:hAnsi="Cambria Math"/>
                            <w:i/>
                          </w:rPr>
                        </m:ctrlPr>
                      </m:sub>
                    </m:sSub>
                    <m:r>
                      <m:rPr>
                        <m:sty m:val="p"/>
                      </m:rPr>
                      <w:rPr>
                        <w:rFonts w:ascii="Cambria Math" w:hAnsi="Cambria Math"/>
                      </w:rPr>
                      <m:t>∙</m:t>
                    </m:r>
                    <m:sSub>
                      <m:sSubPr>
                        <m:ctrlPr>
                          <w:rPr>
                            <w:rFonts w:ascii="Cambria Math" w:hAnsi="Cambria Math"/>
                            <w:iCs/>
                          </w:rPr>
                        </m:ctrlPr>
                      </m:sSubPr>
                      <m:e>
                        <m:r>
                          <m:rPr/>
                          <w:rPr>
                            <w:rFonts w:ascii="Cambria Math" w:hAnsi="Cambria Math"/>
                          </w:rPr>
                          <m:t>R</m:t>
                        </m:r>
                        <m:ctrlPr>
                          <w:rPr>
                            <w:rFonts w:ascii="Cambria Math" w:hAnsi="Cambria Math"/>
                            <w:iCs/>
                          </w:rPr>
                        </m:ctrlPr>
                      </m:e>
                      <m:sub>
                        <m:r>
                          <m:rPr/>
                          <w:rPr>
                            <w:rFonts w:ascii="Cambria Math" w:hAnsi="Cambria Math"/>
                          </w:rPr>
                          <m:t>energy</m:t>
                        </m:r>
                        <m:ctrlPr>
                          <w:rPr>
                            <w:rFonts w:ascii="Cambria Math" w:hAnsi="Cambria Math"/>
                            <w:iCs/>
                          </w:rPr>
                        </m:ctrlPr>
                      </m:sub>
                    </m:sSub>
                    <m:r>
                      <m:rPr>
                        <m:sty m:val="p"/>
                      </m:rPr>
                      <w:rPr>
                        <w:rFonts w:ascii="Cambria Math" w:hAnsi="Cambria Math"/>
                      </w:rPr>
                      <m: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s</m:t>
                        </m:r>
                        <m:ctrlPr>
                          <w:rPr>
                            <w:rFonts w:ascii="Cambria Math" w:hAnsi="Cambria Math"/>
                            <w:i/>
                          </w:rPr>
                        </m:ctrlPr>
                      </m:sub>
                    </m:sSub>
                    <m:r>
                      <m:rPr>
                        <m:sty m:val="p"/>
                      </m:rPr>
                      <w:rPr>
                        <w:rFonts w:ascii="Cambria Math" w:hAnsi="Cambria Math"/>
                      </w:rPr>
                      <m:t>∙</m:t>
                    </m:r>
                    <m:sSub>
                      <m:sSubPr>
                        <m:ctrlPr>
                          <w:rPr>
                            <w:rFonts w:ascii="Cambria Math" w:hAnsi="Cambria Math"/>
                            <w:iCs/>
                          </w:rPr>
                        </m:ctrlPr>
                      </m:sSubPr>
                      <m:e>
                        <m:r>
                          <m:rPr/>
                          <w:rPr>
                            <w:rFonts w:ascii="Cambria Math" w:hAnsi="Cambria Math"/>
                          </w:rPr>
                          <m:t>R</m:t>
                        </m:r>
                        <m:ctrlPr>
                          <w:rPr>
                            <w:rFonts w:ascii="Cambria Math" w:hAnsi="Cambria Math"/>
                            <w:iCs/>
                          </w:rPr>
                        </m:ctrlPr>
                      </m:e>
                      <m:sub>
                        <m:r>
                          <m:rPr/>
                          <w:rPr>
                            <w:rFonts w:ascii="Cambria Math" w:hAnsi="Cambria Math"/>
                          </w:rPr>
                          <m:t>safety</m:t>
                        </m:r>
                        <m:ctrlPr>
                          <w:rPr>
                            <w:rFonts w:ascii="Cambria Math" w:hAnsi="Cambria Math"/>
                            <w:iCs/>
                          </w:rPr>
                        </m:ctrlPr>
                      </m:sub>
                    </m:sSub>
                    <m:r>
                      <m:rPr>
                        <m:sty m:val="p"/>
                      </m:rPr>
                      <w:rPr>
                        <w:rFonts w:ascii="Cambria Math" w:hAnsi="Cambria Math"/>
                      </w:rPr>
                      <m: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c</m:t>
                        </m:r>
                        <m:ctrlPr>
                          <w:rPr>
                            <w:rFonts w:ascii="Cambria Math" w:hAnsi="Cambria Math"/>
                            <w:i/>
                          </w:rPr>
                        </m:ctrlPr>
                      </m:sub>
                    </m:sSub>
                    <m:r>
                      <m:rPr>
                        <m:sty m:val="p"/>
                      </m:rPr>
                      <w:rPr>
                        <w:rFonts w:ascii="Cambria Math" w:hAnsi="Cambria Math"/>
                      </w:rPr>
                      <m:t>∙</m:t>
                    </m:r>
                    <m:sSub>
                      <m:sSubPr>
                        <m:ctrlPr>
                          <w:rPr>
                            <w:rFonts w:ascii="Cambria Math" w:hAnsi="Cambria Math"/>
                            <w:iCs/>
                          </w:rPr>
                        </m:ctrlPr>
                      </m:sSubPr>
                      <m:e>
                        <m:r>
                          <m:rPr/>
                          <w:rPr>
                            <w:rFonts w:ascii="Cambria Math" w:hAnsi="Cambria Math"/>
                          </w:rPr>
                          <m:t>R</m:t>
                        </m:r>
                        <m:ctrlPr>
                          <w:rPr>
                            <w:rFonts w:ascii="Cambria Math" w:hAnsi="Cambria Math"/>
                            <w:iCs/>
                          </w:rPr>
                        </m:ctrlPr>
                      </m:e>
                      <m:sub>
                        <m:r>
                          <m:rPr/>
                          <w:rPr>
                            <w:rFonts w:ascii="Cambria Math" w:hAnsi="Cambria Math"/>
                          </w:rPr>
                          <m:t>contact</m:t>
                        </m:r>
                        <m:ctrlPr>
                          <w:rPr>
                            <w:rFonts w:ascii="Cambria Math" w:hAnsi="Cambria Math"/>
                            <w:iCs/>
                          </w:rPr>
                        </m:ctrlPr>
                      </m:sub>
                    </m:sSub>
                    <m:r>
                      <m:rPr>
                        <m:sty m:val="p"/>
                      </m:rPr>
                      <w:rPr>
                        <w:rFonts w:hint="default" w:ascii="Cambria Math" w:hAnsi="Cambria Math"/>
                        <w:lang w:val="en-US" w:eastAsia="zh-CN"/>
                      </w:rPr>
                      <m:t>#</m:t>
                    </m:r>
                    <m:r>
                      <m:rPr>
                        <m:sty m:val="p"/>
                      </m:rPr>
                      <w:rPr>
                        <w:rFonts w:ascii="Cambria Math" w:hAnsi="Cambria Math"/>
                      </w:rPr>
                      <m:t>（</m:t>
                    </m:r>
                    <m:r>
                      <m:rPr>
                        <m:sty m:val="p"/>
                      </m:rPr>
                      <w:rPr>
                        <w:rFonts w:hint="eastAsia" w:ascii="Cambria Math" w:hAnsi="Cambria Math"/>
                      </w:rPr>
                      <m:t>式</m:t>
                    </m:r>
                    <m:r>
                      <m:rPr>
                        <m:sty m:val="p"/>
                      </m:rPr>
                      <w:rPr>
                        <w:rFonts w:ascii="Cambria Math" w:hAnsi="Cambria Math"/>
                      </w:rPr>
                      <m:t>4−4）</m:t>
                    </m:r>
                    <m:ctrlPr>
                      <w:rPr>
                        <w:rFonts w:hint="eastAsia" w:hAnsi="Cambria Math"/>
                        <w:b w:val="0"/>
                        <w:i w:val="0"/>
                      </w:rPr>
                    </m:ctrlPr>
                  </m:e>
                </m:eqArr>
              </m:oMath>
            </m:oMathPara>
          </w:p>
          <w:p w14:paraId="0D37E54A">
            <w:pPr>
              <w:ind w:firstLine="420"/>
            </w:pPr>
            <w:r>
              <w:t>其中，第一项奖励速度跟踪精度，第二项</w:t>
            </w:r>
            <m:oMath>
              <m:sSub>
                <m:sSubPr>
                  <m:ctrlPr>
                    <w:rPr>
                      <w:rFonts w:ascii="Cambria Math" w:hAnsi="Cambria Math"/>
                      <w:iCs/>
                    </w:rPr>
                  </m:ctrlPr>
                </m:sSubPr>
                <m:e>
                  <m:r>
                    <m:rPr/>
                    <w:rPr>
                      <w:rFonts w:ascii="Cambria Math" w:hAnsi="Cambria Math"/>
                    </w:rPr>
                    <m:t>R</m:t>
                  </m:r>
                  <m:ctrlPr>
                    <w:rPr>
                      <w:rFonts w:ascii="Cambria Math" w:hAnsi="Cambria Math"/>
                      <w:iCs/>
                    </w:rPr>
                  </m:ctrlPr>
                </m:e>
                <m:sub>
                  <m:r>
                    <m:rPr/>
                    <w:rPr>
                      <w:rFonts w:ascii="Cambria Math" w:hAnsi="Cambria Math"/>
                    </w:rPr>
                    <m:t>energy</m:t>
                  </m:r>
                  <m:ctrlPr>
                    <w:rPr>
                      <w:rFonts w:ascii="Cambria Math" w:hAnsi="Cambria Math"/>
                      <w:iCs/>
                    </w:rPr>
                  </m:ctrlPr>
                </m:sub>
              </m:sSub>
            </m:oMath>
            <w:r>
              <w:t>惩罚电机力矩输出以降低能耗（COT），而</w:t>
            </w:r>
            <m:oMath>
              <m:sSub>
                <m:sSubPr>
                  <m:ctrlPr>
                    <w:rPr>
                      <w:rFonts w:ascii="Cambria Math" w:hAnsi="Cambria Math"/>
                      <w:iCs/>
                    </w:rPr>
                  </m:ctrlPr>
                </m:sSubPr>
                <m:e>
                  <m:r>
                    <m:rPr/>
                    <w:rPr>
                      <w:rFonts w:ascii="Cambria Math" w:hAnsi="Cambria Math"/>
                    </w:rPr>
                    <m:t>R</m:t>
                  </m:r>
                  <m:ctrlPr>
                    <w:rPr>
                      <w:rFonts w:ascii="Cambria Math" w:hAnsi="Cambria Math"/>
                      <w:iCs/>
                    </w:rPr>
                  </m:ctrlPr>
                </m:e>
                <m:sub>
                  <m:r>
                    <m:rPr/>
                    <w:rPr>
                      <w:rFonts w:ascii="Cambria Math" w:hAnsi="Cambria Math"/>
                    </w:rPr>
                    <m:t>safety</m:t>
                  </m:r>
                  <m:ctrlPr>
                    <w:rPr>
                      <w:rFonts w:ascii="Cambria Math" w:hAnsi="Cambria Math"/>
                      <w:iCs/>
                    </w:rPr>
                  </m:ctrlPr>
                </m:sub>
              </m:sSub>
            </m:oMath>
            <w:r>
              <w:t>则引入基于压力中心的软约束，当检测到CoP偏离支撑域中心时给予负奖励，从而引导智能体自主习得抵抗20-30N侧向冲击的鲁棒策略。</w:t>
            </w:r>
          </w:p>
          <w:p w14:paraId="3463FC42">
            <w:pPr>
              <w:pStyle w:val="3"/>
              <w:numPr>
                <w:ilvl w:val="0"/>
                <w:numId w:val="23"/>
              </w:numPr>
              <w:ind w:firstLine="422" w:firstLineChars="200"/>
            </w:pPr>
            <w:r>
              <w:t>基于域随机化的Sim2Real迁移</w:t>
            </w:r>
          </w:p>
          <w:p w14:paraId="7AD1488A">
            <w:pPr>
              <w:ind w:firstLine="420"/>
            </w:pPr>
            <w:r>
              <w:t>为了应对真实样机中存在的摩擦力非线性、传感器噪声及通信时延，我们将在Webots/Mujoco仿真环境中实施动力学参数的随机</w:t>
            </w:r>
            <w:r>
              <w:rPr>
                <w:rFonts w:hint="eastAsia"/>
                <w:lang w:val="en-US" w:eastAsia="zh-CN"/>
              </w:rPr>
              <w:t>化</w:t>
            </w:r>
            <w:r>
              <w:t>。在每一轮训练开始时，对环境参数向量</w:t>
            </w:r>
            <m:oMath>
              <m:r>
                <m:rPr>
                  <m:sty m:val="p"/>
                </m:rPr>
                <w:rPr>
                  <w:rFonts w:ascii="Cambria Math" w:hAnsi="Cambria Math"/>
                </w:rPr>
                <m:t>ξ</m:t>
              </m:r>
            </m:oMath>
            <w:r>
              <w:t>（包含连杆质量、阻尼系数、地面摩擦等）从分布P(</w:t>
            </w:r>
            <m:oMath>
              <m:r>
                <m:rPr>
                  <m:sty m:val="p"/>
                </m:rPr>
                <w:rPr>
                  <w:rFonts w:ascii="Cambria Math" w:hAnsi="Cambria Math"/>
                </w:rPr>
                <m:t>ξ</m:t>
              </m:r>
            </m:oMath>
            <w:r>
              <w:t>)中采样，不仅能增强策略的泛化性，还能隐式地让策略学会适应系统建模误差。</w:t>
            </w:r>
          </w:p>
          <w:p w14:paraId="7A537D29">
            <w:pPr>
              <w:pStyle w:val="2"/>
              <w:spacing w:before="156" w:after="156"/>
            </w:pPr>
            <w:r>
              <w:t>可行性论证</w:t>
            </w:r>
          </w:p>
          <w:p w14:paraId="6FF57511">
            <w:pPr>
              <w:pStyle w:val="3"/>
              <w:numPr>
                <w:ilvl w:val="0"/>
                <w:numId w:val="24"/>
              </w:numPr>
            </w:pPr>
            <w:r>
              <w:t>理论可行性</w:t>
            </w:r>
          </w:p>
          <w:p w14:paraId="2DA1A49E">
            <w:pPr>
              <w:ind w:firstLine="420"/>
            </w:pPr>
            <w:r>
              <w:t>现有文献（如DeepMimic, Cassie系列研究）已经充分证明了“IL+RL”范式在多足机器人控制上的有效性。PPO算法作为OpenAI的基准算法，其收敛性在理论上和工程上都得到了广泛验证。</w:t>
            </w:r>
          </w:p>
          <w:p w14:paraId="29554BF8">
            <w:pPr>
              <w:pStyle w:val="3"/>
              <w:numPr>
                <w:ilvl w:val="0"/>
                <w:numId w:val="24"/>
              </w:numPr>
            </w:pPr>
            <w:r>
              <w:t>技术与硬件基础</w:t>
            </w:r>
          </w:p>
          <w:p w14:paraId="48503020">
            <w:pPr>
              <w:ind w:firstLine="420"/>
            </w:pPr>
            <w:r>
              <w:t>本课题依托</w:t>
            </w:r>
            <w:r>
              <w:rPr>
                <w:rFonts w:hint="eastAsia"/>
              </w:rPr>
              <w:t>于电子科技大学</w:t>
            </w:r>
            <w:r>
              <w:t>实验室具备完善的硬件条件，包括高精度的IMU传感器用于数据采集以及配备高性能GPU的工作站用于深度学习训练。</w:t>
            </w:r>
            <w:r>
              <w:rPr>
                <w:rFonts w:hint="eastAsia"/>
              </w:rPr>
              <w:t>实验所选取</w:t>
            </w:r>
            <w:r>
              <w:t>所选用的双足机器人样机提供了底层的力矩控制接口（SDK），支持高频率（&gt;500Hz）的控制指令下发，满足Sim2Real部署的实时性要求。</w:t>
            </w:r>
          </w:p>
          <w:p w14:paraId="47531CF5">
            <w:pPr>
              <w:pStyle w:val="3"/>
              <w:numPr>
                <w:ilvl w:val="0"/>
                <w:numId w:val="24"/>
              </w:numPr>
            </w:pPr>
            <w:r>
              <w:t>个人能力储备</w:t>
            </w:r>
          </w:p>
          <w:p w14:paraId="17339F60">
            <w:pPr>
              <w:ind w:firstLine="420"/>
              <w:rPr>
                <w:rFonts w:hint="eastAsia"/>
              </w:rPr>
            </w:pPr>
            <w:r>
              <w:t>本人在本科期间已熟练掌握Python及C++编程语言，熟悉PyTorch深度学习框架，</w:t>
            </w:r>
            <w:r>
              <w:rPr>
                <w:rFonts w:hint="eastAsia"/>
              </w:rPr>
              <w:t>目前已推免至电子科技大学</w:t>
            </w:r>
            <w:r>
              <w:t>，</w:t>
            </w:r>
            <w:r>
              <w:rPr>
                <w:rFonts w:hint="eastAsia"/>
              </w:rPr>
              <w:t>并和相关课题组老师实时进展沟通和学术交流，</w:t>
            </w:r>
            <w:r>
              <w:t>能够</w:t>
            </w:r>
            <w:r>
              <w:rPr>
                <w:rFonts w:hint="eastAsia"/>
              </w:rPr>
              <w:t>顺利</w:t>
            </w:r>
            <w:r>
              <w:t>完成从算法设计到代码实现的完整流程。</w:t>
            </w:r>
          </w:p>
        </w:tc>
      </w:tr>
      <w:tr w14:paraId="7EDE5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8625" w:type="dxa"/>
            <w:gridSpan w:val="6"/>
            <w:vAlign w:val="center"/>
          </w:tcPr>
          <w:p w14:paraId="71FFD6BF">
            <w:pPr>
              <w:spacing w:line="240" w:lineRule="auto"/>
              <w:ind w:firstLine="0" w:firstLineChars="0"/>
              <w:jc w:val="center"/>
              <w:rPr>
                <w:rFonts w:hint="eastAsia" w:ascii="宋体" w:hAnsi="宋体"/>
                <w:b/>
                <w:sz w:val="28"/>
              </w:rPr>
            </w:pPr>
            <w:r>
              <w:rPr>
                <w:rFonts w:hint="eastAsia" w:ascii="楷体_GB2312" w:hAnsi="宋体" w:eastAsia="楷体_GB2312"/>
                <w:b/>
                <w:sz w:val="24"/>
                <w:szCs w:val="24"/>
              </w:rPr>
              <w:t>五、研究工作进度安排</w:t>
            </w:r>
          </w:p>
        </w:tc>
      </w:tr>
      <w:tr w14:paraId="7405F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5" w:type="dxa"/>
            <w:gridSpan w:val="6"/>
          </w:tcPr>
          <w:p w14:paraId="7F9BB995">
            <w:pPr>
              <w:pStyle w:val="2"/>
              <w:numPr>
                <w:ilvl w:val="0"/>
                <w:numId w:val="25"/>
              </w:numPr>
              <w:spacing w:before="156" w:after="156"/>
            </w:pPr>
            <w:r>
              <w:rPr>
                <w:rFonts w:hint="eastAsia"/>
                <w:lang w:val="en-US" w:eastAsia="zh-CN"/>
              </w:rPr>
              <w:t>技术路线与</w:t>
            </w:r>
            <w:r>
              <w:t xml:space="preserve">开题准备（2025年11月 — 2026年1月） </w:t>
            </w:r>
          </w:p>
          <w:p w14:paraId="0A2927F2">
            <w:pPr>
              <w:ind w:firstLine="420"/>
            </w:pPr>
            <w:r>
              <w:t>本阶段主要任务是完成课题的</w:t>
            </w:r>
            <w:r>
              <w:rPr>
                <w:rFonts w:hint="eastAsia"/>
                <w:lang w:val="en-US" w:eastAsia="zh-CN"/>
              </w:rPr>
              <w:t>技术路线和</w:t>
            </w:r>
            <w:r>
              <w:t>基础环境搭建。在导师指导下确立“模仿学习与强化学习融合”的研究方向后，将重点开展以下工作：</w:t>
            </w:r>
          </w:p>
          <w:p w14:paraId="67EE3498">
            <w:pPr>
              <w:ind w:firstLine="420"/>
            </w:pPr>
            <w:r>
              <w:rPr>
                <w:rFonts w:hint="eastAsia"/>
                <w:bCs/>
              </w:rPr>
              <w:t xml:space="preserve">1. </w:t>
            </w:r>
            <w:r>
              <w:rPr>
                <w:b/>
              </w:rPr>
              <w:t>文献调研与方案设计：</w:t>
            </w:r>
            <w:r>
              <w:t>深入研读不少于15篇中外文核心文献，厘清IL与RL结合的技术难点，确定以重定向技术处理人体步态数据、以PPO算法进行策略微调的技术路线。</w:t>
            </w:r>
          </w:p>
          <w:p w14:paraId="3864A893">
            <w:pPr>
              <w:ind w:firstLine="420"/>
            </w:pPr>
            <w:r>
              <w:rPr>
                <w:rFonts w:hint="eastAsia"/>
                <w:bCs/>
              </w:rPr>
              <w:t xml:space="preserve">2. </w:t>
            </w:r>
            <w:r>
              <w:rPr>
                <w:b/>
              </w:rPr>
              <w:t>仿真环境构建：</w:t>
            </w:r>
            <w:r>
              <w:t>完成仿真平台的搭建，导入双足机器人URDF模型，并调试基础的物理引擎参数，确保仿真环境具备进行初步实验的条件。</w:t>
            </w:r>
          </w:p>
          <w:p w14:paraId="08A3E4D3">
            <w:pPr>
              <w:ind w:firstLine="420"/>
            </w:pPr>
            <w:r>
              <w:rPr>
                <w:rFonts w:hint="eastAsia"/>
                <w:bCs/>
              </w:rPr>
              <w:t xml:space="preserve">3. </w:t>
            </w:r>
            <w:r>
              <w:rPr>
                <w:b/>
              </w:rPr>
              <w:t>阶段</w:t>
            </w:r>
            <w:r>
              <w:rPr>
                <w:rFonts w:hint="eastAsia"/>
                <w:b/>
              </w:rPr>
              <w:t>结束时间</w:t>
            </w:r>
            <w:r>
              <w:rPr>
                <w:b/>
              </w:rPr>
              <w:t>：</w:t>
            </w:r>
            <w:r>
              <w:rPr>
                <w:bCs/>
              </w:rPr>
              <w:t>2026年1月11日前</w:t>
            </w:r>
            <w:r>
              <w:t>，完成开题答辩，根据专家组意见修订研究方案。</w:t>
            </w:r>
          </w:p>
          <w:p w14:paraId="595363EC">
            <w:pPr>
              <w:pStyle w:val="2"/>
              <w:numPr>
                <w:ilvl w:val="0"/>
                <w:numId w:val="25"/>
              </w:numPr>
              <w:spacing w:before="156" w:after="156"/>
            </w:pPr>
            <w:r>
              <w:t xml:space="preserve">算法建模与仿真验证（2026年1月 — 2026年3月） </w:t>
            </w:r>
          </w:p>
          <w:p w14:paraId="128E28D4">
            <w:pPr>
              <w:ind w:firstLine="420"/>
            </w:pPr>
            <w:r>
              <w:t>寒假及开学初期是本课题攻坚核心算法的关键窗口期</w:t>
            </w:r>
            <w:r>
              <w:rPr>
                <w:rFonts w:hint="eastAsia"/>
              </w:rPr>
              <w:t>，</w:t>
            </w:r>
            <w:r>
              <w:t>工作重心将从理论转向代码实现：</w:t>
            </w:r>
          </w:p>
          <w:p w14:paraId="72C10D00">
            <w:pPr>
              <w:ind w:firstLine="420"/>
            </w:pPr>
            <w:r>
              <w:rPr>
                <w:rFonts w:hint="eastAsia"/>
                <w:bCs/>
              </w:rPr>
              <w:t xml:space="preserve">1. </w:t>
            </w:r>
            <w:r>
              <w:rPr>
                <w:b/>
              </w:rPr>
              <w:t>数据流闭环构建：</w:t>
            </w:r>
            <w:r>
              <w:t>利用假期时间集中处理人体步态数据，完成从笛卡尔空间到关节空间的运动学逆解映射，构建标准化的状态-动作数据集。</w:t>
            </w:r>
          </w:p>
          <w:p w14:paraId="731CBDD8">
            <w:pPr>
              <w:ind w:firstLine="420"/>
            </w:pPr>
            <w:r>
              <w:rPr>
                <w:rFonts w:hint="eastAsia"/>
                <w:bCs/>
              </w:rPr>
              <w:t xml:space="preserve">2. </w:t>
            </w:r>
            <w:r>
              <w:rPr>
                <w:b/>
              </w:rPr>
              <w:t>基线策略训练：</w:t>
            </w:r>
            <w:r>
              <w:t>首先利用行为克隆（BC）算法训练初始策略，解决机器人“怎么走”的问题；随后引入强化学习接口，设计包含能耗与稳定性约束的奖励函数，在仿真环境中跑通“预训练+微调”的完整流程，并记录初步的训练曲线与抗扰动数据。</w:t>
            </w:r>
          </w:p>
          <w:p w14:paraId="30AC099F">
            <w:pPr>
              <w:ind w:firstLine="420"/>
            </w:pPr>
            <w:r>
              <w:rPr>
                <w:rFonts w:hint="eastAsia"/>
                <w:bCs/>
              </w:rPr>
              <w:t xml:space="preserve">3. </w:t>
            </w:r>
            <w:r>
              <w:rPr>
                <w:b/>
              </w:rPr>
              <w:t>阶段</w:t>
            </w:r>
            <w:r>
              <w:rPr>
                <w:rFonts w:hint="eastAsia"/>
                <w:b/>
              </w:rPr>
              <w:t>结束时间</w:t>
            </w:r>
            <w:r>
              <w:rPr>
                <w:b/>
              </w:rPr>
              <w:t>：</w:t>
            </w:r>
            <w:r>
              <w:rPr>
                <w:bCs/>
              </w:rPr>
              <w:t>2026年3月22日前</w:t>
            </w:r>
            <w:r>
              <w:t>，整理阶段性成果与实验数据，参加中期检查。</w:t>
            </w:r>
          </w:p>
          <w:p w14:paraId="0D1D5AC3">
            <w:pPr>
              <w:pStyle w:val="2"/>
              <w:numPr>
                <w:ilvl w:val="0"/>
                <w:numId w:val="25"/>
              </w:numPr>
              <w:spacing w:before="156" w:after="156"/>
            </w:pPr>
            <w:r>
              <w:t xml:space="preserve">Sim2Real迁移与实机实验（2026年3月 — 2026年5月） </w:t>
            </w:r>
          </w:p>
          <w:p w14:paraId="52F9DFDE">
            <w:pPr>
              <w:ind w:firstLine="420"/>
            </w:pPr>
            <w:r>
              <w:t>中期检查后，研究将进入最具挑战的“虚实迁移”环节，旨在解决仿真策略在真实样机上的落地问题：</w:t>
            </w:r>
          </w:p>
          <w:p w14:paraId="570E2FF3">
            <w:pPr>
              <w:ind w:firstLine="420"/>
            </w:pPr>
            <w:r>
              <w:rPr>
                <w:rFonts w:hint="eastAsia"/>
                <w:bCs/>
              </w:rPr>
              <w:t xml:space="preserve">1. </w:t>
            </w:r>
            <w:r>
              <w:rPr>
                <w:b/>
              </w:rPr>
              <w:t>域随机化攻坚：</w:t>
            </w:r>
            <w:r>
              <w:t>针对仿真与现实的动力学差异，在训练中引入质量分布、摩擦系数及通信时延的随机扰动，通过大规模并行训练提升策略的鲁棒性。</w:t>
            </w:r>
          </w:p>
          <w:p w14:paraId="5652511F">
            <w:pPr>
              <w:ind w:firstLine="420"/>
            </w:pPr>
            <w:r>
              <w:rPr>
                <w:rFonts w:hint="eastAsia"/>
                <w:bCs/>
              </w:rPr>
              <w:t xml:space="preserve">2. </w:t>
            </w:r>
            <w:r>
              <w:rPr>
                <w:b/>
              </w:rPr>
              <w:t>实机部署与调优：</w:t>
            </w:r>
            <w:r>
              <w:t>将优化后的策略模型部署至双足机器人样机，通过反复的闭环迭代，实现机器人在真实环境下的稳定行走及抗侧向冲击测试，确保各项性能指标达到任务书要求。</w:t>
            </w:r>
          </w:p>
          <w:p w14:paraId="2EFEF5EB">
            <w:pPr>
              <w:ind w:firstLine="420"/>
            </w:pPr>
            <w:r>
              <w:rPr>
                <w:rFonts w:hint="eastAsia"/>
                <w:bCs/>
              </w:rPr>
              <w:t xml:space="preserve">3. </w:t>
            </w:r>
            <w:r>
              <w:rPr>
                <w:b/>
              </w:rPr>
              <w:t>阶段</w:t>
            </w:r>
            <w:r>
              <w:rPr>
                <w:rFonts w:hint="eastAsia"/>
                <w:b/>
              </w:rPr>
              <w:t>结束时间</w:t>
            </w:r>
            <w:r>
              <w:rPr>
                <w:b/>
                <w:bCs/>
              </w:rPr>
              <w:t>：</w:t>
            </w:r>
            <w:r>
              <w:rPr>
                <w:bCs/>
              </w:rPr>
              <w:t>2026年5月10日前</w:t>
            </w:r>
            <w:r>
              <w:t>，完成所有实验验证，撰写并提交毕业论文初稿供指导教师评阅。</w:t>
            </w:r>
          </w:p>
          <w:p w14:paraId="0569F558">
            <w:pPr>
              <w:pStyle w:val="2"/>
              <w:numPr>
                <w:ilvl w:val="0"/>
                <w:numId w:val="25"/>
              </w:numPr>
              <w:spacing w:before="156" w:after="156"/>
            </w:pPr>
            <w:r>
              <w:t xml:space="preserve">论文定稿与答辩归档（2026年5月 — 2026年6月） </w:t>
            </w:r>
          </w:p>
          <w:p w14:paraId="062D022E">
            <w:pPr>
              <w:ind w:firstLine="420"/>
            </w:pPr>
            <w:r>
              <w:t>最后阶段主要聚焦于成果的系统性总结与学术规范化处理：</w:t>
            </w:r>
          </w:p>
          <w:p w14:paraId="07B94EF8">
            <w:pPr>
              <w:ind w:firstLine="420"/>
            </w:pPr>
            <w:r>
              <w:rPr>
                <w:rFonts w:hint="eastAsia"/>
                <w:bCs/>
              </w:rPr>
              <w:t xml:space="preserve">1. </w:t>
            </w:r>
            <w:r>
              <w:rPr>
                <w:b/>
              </w:rPr>
              <w:t>查重与盲审：</w:t>
            </w:r>
            <w:r>
              <w:t>根据导师反馈对论文进行精细化修改，重点审查格式规范与数据逻辑，确保在</w:t>
            </w:r>
            <w:r>
              <w:rPr>
                <w:bCs/>
              </w:rPr>
              <w:t>5月15日</w:t>
            </w:r>
            <w:r>
              <w:t>前通过论文检测（查重）。</w:t>
            </w:r>
          </w:p>
          <w:p w14:paraId="6B1732AB">
            <w:pPr>
              <w:ind w:firstLine="420"/>
            </w:pPr>
            <w:r>
              <w:rPr>
                <w:rFonts w:hint="eastAsia"/>
                <w:bCs/>
              </w:rPr>
              <w:t xml:space="preserve">2. </w:t>
            </w:r>
            <w:r>
              <w:rPr>
                <w:b/>
              </w:rPr>
              <w:t>答辩与归档：</w:t>
            </w:r>
            <w:r>
              <w:t>制作答辩PPT，剪辑实机实验演示视频，全面展示课题</w:t>
            </w:r>
            <w:r>
              <w:rPr>
                <w:rFonts w:hint="eastAsia"/>
                <w:lang w:val="en-US" w:eastAsia="zh-CN"/>
              </w:rPr>
              <w:t>的</w:t>
            </w:r>
            <w:r>
              <w:t>创新点。答辩结束后，根据委员会意见进行最终修订，并整理源代码、实验数据包等全套材料进行归档。</w:t>
            </w:r>
          </w:p>
          <w:p w14:paraId="3B56011C">
            <w:pPr>
              <w:ind w:firstLine="420"/>
              <w:rPr>
                <w:rFonts w:hint="eastAsia"/>
              </w:rPr>
            </w:pPr>
            <w:r>
              <w:rPr>
                <w:rFonts w:hint="eastAsia"/>
                <w:bCs/>
              </w:rPr>
              <w:t xml:space="preserve">3. </w:t>
            </w:r>
            <w:r>
              <w:rPr>
                <w:b/>
              </w:rPr>
              <w:t>阶段</w:t>
            </w:r>
            <w:r>
              <w:rPr>
                <w:rFonts w:hint="eastAsia"/>
                <w:b/>
              </w:rPr>
              <w:t>结束时间</w:t>
            </w:r>
            <w:r>
              <w:rPr>
                <w:b/>
              </w:rPr>
              <w:t>：</w:t>
            </w:r>
            <w:r>
              <w:rPr>
                <w:bCs/>
              </w:rPr>
              <w:t>2026年5月25日前</w:t>
            </w:r>
            <w:r>
              <w:t>完成毕业答辩；</w:t>
            </w:r>
            <w:r>
              <w:rPr>
                <w:bCs/>
              </w:rPr>
              <w:t>2026年6月14日前</w:t>
            </w:r>
            <w:r>
              <w:t>完成所有材料归档与质量分析。</w:t>
            </w:r>
          </w:p>
        </w:tc>
      </w:tr>
      <w:tr w14:paraId="51866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trPr>
        <w:tc>
          <w:tcPr>
            <w:tcW w:w="8625" w:type="dxa"/>
            <w:gridSpan w:val="6"/>
            <w:vAlign w:val="center"/>
          </w:tcPr>
          <w:p w14:paraId="23A023B3">
            <w:pPr>
              <w:spacing w:line="240" w:lineRule="auto"/>
              <w:ind w:firstLine="0" w:firstLineChars="0"/>
              <w:jc w:val="center"/>
              <w:rPr>
                <w:rFonts w:hint="eastAsia" w:ascii="宋体" w:hAnsi="宋体"/>
                <w:b/>
                <w:sz w:val="28"/>
              </w:rPr>
            </w:pPr>
            <w:r>
              <w:rPr>
                <w:rFonts w:hint="eastAsia" w:ascii="楷体_GB2312" w:hAnsi="宋体" w:eastAsia="楷体_GB2312"/>
                <w:b/>
                <w:sz w:val="24"/>
                <w:szCs w:val="24"/>
              </w:rPr>
              <w:t>六、参考文献</w:t>
            </w:r>
          </w:p>
        </w:tc>
      </w:tr>
      <w:tr w14:paraId="5B685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5" w:type="dxa"/>
            <w:gridSpan w:val="6"/>
          </w:tcPr>
          <w:p w14:paraId="2B6190F1">
            <w:pPr>
              <w:pStyle w:val="57"/>
            </w:pPr>
            <w:r>
              <w:rPr>
                <w:rFonts w:hint="eastAsia"/>
              </w:rPr>
              <w:t>于建均, 张远, 左国玉, 阮晓钢, 吴鹏申. 基于ZMP判据的仿人机器人步态模仿[J]. 北京工业大学学报, 2018, 44(9): 1187-1192.</w:t>
            </w:r>
          </w:p>
          <w:p w14:paraId="5902473D">
            <w:pPr>
              <w:pStyle w:val="57"/>
              <w:rPr>
                <w:rFonts w:hint="eastAsia"/>
              </w:rPr>
            </w:pPr>
            <w:r>
              <w:rPr>
                <w:rFonts w:hint="eastAsia"/>
              </w:rPr>
              <w:t>吴晓光,  刘绍维,  杨磊,  邓文强,  贾哲恒.  基于深度强化学习的双足机器人斜坡步态控制方法[J].  自动化学报,  2021, 47(8): 1976−1987.</w:t>
            </w:r>
          </w:p>
          <w:p w14:paraId="4773D942">
            <w:pPr>
              <w:pStyle w:val="57"/>
              <w:rPr>
                <w:rFonts w:hint="eastAsia"/>
              </w:rPr>
            </w:pPr>
            <w:r>
              <w:rPr>
                <w:rFonts w:hint="eastAsia"/>
              </w:rPr>
              <w:t>Xie Z, Berseth G, Clary P, et al. Feedback control for cassie with deep reinforcement learning[C]//2018 IEEE/RSJ International Conference on Intelligent Robots and Systems (IROS). IEEE, 2018: 1241-1246.</w:t>
            </w:r>
          </w:p>
          <w:p w14:paraId="42629A9C">
            <w:pPr>
              <w:pStyle w:val="57"/>
              <w:rPr>
                <w:rFonts w:hint="eastAsia"/>
              </w:rPr>
            </w:pPr>
            <w:r>
              <w:rPr>
                <w:rFonts w:hint="eastAsia"/>
              </w:rPr>
              <w:t>Siekmann J, Green K, Warila J, et al. Blind bipedal stair traversal via sim-to-real reinforcement learning[J]. arXiv preprint arXiv:2105.08328, 2021.</w:t>
            </w:r>
          </w:p>
          <w:p w14:paraId="5BD22025">
            <w:pPr>
              <w:pStyle w:val="57"/>
              <w:rPr>
                <w:rFonts w:hint="eastAsia"/>
              </w:rPr>
            </w:pPr>
            <w:r>
              <w:rPr>
                <w:rFonts w:hint="eastAsia"/>
              </w:rPr>
              <w:t>Peng X B, Abbeel P, Levine S, et al. Deepmimic: Example-guided deep reinforcement learning of physics-based character skills[J]. ACM Transactions On Graphics (TOG), 2018, 37(4): 1-14.</w:t>
            </w:r>
          </w:p>
          <w:p w14:paraId="2728249A">
            <w:pPr>
              <w:pStyle w:val="57"/>
              <w:rPr>
                <w:rFonts w:hint="eastAsia"/>
              </w:rPr>
            </w:pPr>
            <w:r>
              <w:rPr>
                <w:rFonts w:hint="eastAsia"/>
              </w:rPr>
              <w:t>Li Z, Cheng X, Peng X B, et al. Reinforcement learning for robust parameterized locomotion control of bipedal robots[C]//2021 IEEE International Conference on Robotics and Automation (ICRA). IEEE, 2021: 2811-2817.</w:t>
            </w:r>
          </w:p>
          <w:p w14:paraId="4A10F6C5">
            <w:pPr>
              <w:pStyle w:val="57"/>
              <w:rPr>
                <w:rFonts w:hint="eastAsia"/>
              </w:rPr>
            </w:pPr>
            <w:r>
              <w:rPr>
                <w:rFonts w:hint="eastAsia"/>
              </w:rPr>
              <w:t>Itahashi N, Itoh H, Fukumoto H, et al. Reinforcement learning of bipedal walking using a simple reference motion[J]. Applied Sciences, 2024, 14(5): 1803.</w:t>
            </w:r>
          </w:p>
          <w:p w14:paraId="07D7C0B5">
            <w:pPr>
              <w:pStyle w:val="57"/>
              <w:rPr>
                <w:rFonts w:hint="eastAsia"/>
              </w:rPr>
            </w:pPr>
            <w:r>
              <w:rPr>
                <w:rFonts w:hint="eastAsia"/>
              </w:rPr>
              <w:t>Vukobratović M, Juricić D. Contribution to the synthesis of biped gait[J]. IEEE Trans Biomed Eng. 1969 Jan;16(1):1-6.</w:t>
            </w:r>
          </w:p>
          <w:p w14:paraId="7B088AC2">
            <w:pPr>
              <w:pStyle w:val="57"/>
              <w:rPr>
                <w:rFonts w:hint="eastAsia"/>
              </w:rPr>
            </w:pPr>
            <w:r>
              <w:rPr>
                <w:rFonts w:hint="eastAsia"/>
              </w:rPr>
              <w:t>Kajita S, Kanehiro F, Kaneko K, et al. Biped walking pattern generation by using preview control of zero-moment point[C]//2003 IEEE International Conference on Robotics and Automation (ICRA). IEEE, 2003, 2: 1620-1626.</w:t>
            </w:r>
          </w:p>
          <w:p w14:paraId="3CFC14B3">
            <w:pPr>
              <w:pStyle w:val="57"/>
              <w:rPr>
                <w:rFonts w:hint="eastAsia"/>
              </w:rPr>
            </w:pPr>
            <w:r>
              <w:rPr>
                <w:rFonts w:hint="eastAsia"/>
              </w:rPr>
              <w:t>Di Carlo J, Wensing P M, Katz B, et al. Dynamic locomotion in the MIT Cheetah 3 through convex model-predictive control[C]//2018 IEEE/RSJ International Conference on Intelligent Robots and Systems (IROS). IEEE, 2018: 1-9.</w:t>
            </w:r>
          </w:p>
          <w:p w14:paraId="11C03EB9">
            <w:pPr>
              <w:pStyle w:val="57"/>
              <w:rPr>
                <w:rFonts w:hint="eastAsia"/>
              </w:rPr>
            </w:pPr>
            <w:r>
              <w:rPr>
                <w:rFonts w:hint="eastAsia"/>
              </w:rPr>
              <w:t>Grandia R, Farshidian F, Dosovitskiy A, et al. Frequency-aware model predictive control[J]. IEEE Robotics and Automation Letters, 2019, 4(2): 1517-1524.</w:t>
            </w:r>
          </w:p>
          <w:p w14:paraId="1732F7A1">
            <w:pPr>
              <w:pStyle w:val="57"/>
              <w:rPr>
                <w:rFonts w:hint="eastAsia"/>
              </w:rPr>
            </w:pPr>
            <w:r>
              <w:rPr>
                <w:rFonts w:hint="eastAsia"/>
              </w:rPr>
              <w:t>Schulman J, Wolski F, Dhariwal P, et al. Proximal policy optimization algorithms[J]. arXiv preprint arXiv:1707.06347, 2017.</w:t>
            </w:r>
          </w:p>
          <w:p w14:paraId="1952ACB7">
            <w:pPr>
              <w:pStyle w:val="57"/>
              <w:rPr>
                <w:rFonts w:hint="eastAsia"/>
              </w:rPr>
            </w:pPr>
            <w:r>
              <w:rPr>
                <w:rFonts w:hint="eastAsia"/>
              </w:rPr>
              <w:t>Hwangbo J, Lee J, Dosovitskiy A, et al. Learning agile and dynamic motor skills for legged robots[J]. Science Robotics, 2019, 4(26): eaau5872.</w:t>
            </w:r>
          </w:p>
          <w:p w14:paraId="1E36B384">
            <w:pPr>
              <w:pStyle w:val="57"/>
              <w:rPr>
                <w:rFonts w:hint="eastAsia"/>
              </w:rPr>
            </w:pPr>
            <w:r>
              <w:rPr>
                <w:rFonts w:hint="eastAsia"/>
              </w:rPr>
              <w:t>Tobin J, Fong R, Ray A, et al. Domain randomization for transferring deep neural networks from simulation to the real world[C]//2017 IEEE/RSJ international conference on intelligent robots and systems (IROS). IEEE, 2017: 23-30.</w:t>
            </w:r>
          </w:p>
          <w:p w14:paraId="467C1C4A">
            <w:pPr>
              <w:pStyle w:val="57"/>
              <w:rPr>
                <w:rFonts w:hint="eastAsia"/>
              </w:rPr>
            </w:pPr>
            <w:r>
              <w:rPr>
                <w:rFonts w:hint="eastAsia"/>
              </w:rPr>
              <w:t>Xiangru Xu, Paulo Tabuada, Jessy W. Grizzle, Aaron D. Ames,Robustness of Control Barrier Functions for Safety Critical Control[J],IFAC-PapersOnLine,Volume 48, Issue 27,2015,Pages 54-61.</w:t>
            </w:r>
          </w:p>
        </w:tc>
      </w:tr>
      <w:tr w14:paraId="606C2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4" w:hRule="atLeast"/>
        </w:trPr>
        <w:tc>
          <w:tcPr>
            <w:tcW w:w="1066" w:type="dxa"/>
            <w:vAlign w:val="center"/>
          </w:tcPr>
          <w:p w14:paraId="4E0E64D7">
            <w:pPr>
              <w:ind w:firstLine="0" w:firstLineChars="0"/>
              <w:jc w:val="center"/>
              <w:rPr>
                <w:rFonts w:hint="eastAsia" w:ascii="宋体" w:hAnsi="宋体" w:eastAsia="楷体_GB2312"/>
                <w:b/>
                <w:sz w:val="24"/>
              </w:rPr>
            </w:pPr>
            <w:r>
              <w:rPr>
                <w:rFonts w:hint="eastAsia" w:ascii="宋体" w:hAnsi="宋体" w:eastAsia="楷体_GB2312"/>
                <w:b/>
                <w:sz w:val="24"/>
              </w:rPr>
              <w:t>指导教师意见</w:t>
            </w:r>
          </w:p>
        </w:tc>
        <w:tc>
          <w:tcPr>
            <w:tcW w:w="7559" w:type="dxa"/>
            <w:gridSpan w:val="5"/>
          </w:tcPr>
          <w:p w14:paraId="193F7588">
            <w:pPr>
              <w:tabs>
                <w:tab w:val="left" w:pos="4910"/>
                <w:tab w:val="right" w:pos="7472"/>
              </w:tabs>
              <w:ind w:firstLine="0" w:firstLineChars="0"/>
              <w:rPr>
                <w:rFonts w:hint="eastAsia" w:ascii="楷体_GB2312" w:hAnsi="宋体" w:eastAsia="楷体_GB2312"/>
                <w:b/>
                <w:color w:val="000000"/>
                <w:sz w:val="24"/>
              </w:rPr>
            </w:pPr>
          </w:p>
          <w:p w14:paraId="328CABB0">
            <w:pPr>
              <w:tabs>
                <w:tab w:val="left" w:pos="4910"/>
                <w:tab w:val="right" w:pos="7472"/>
              </w:tabs>
              <w:ind w:firstLine="0" w:firstLineChars="0"/>
              <w:rPr>
                <w:rFonts w:hint="eastAsia" w:ascii="楷体_GB2312" w:hAnsi="宋体" w:eastAsia="楷体_GB2312"/>
                <w:b/>
                <w:color w:val="000000"/>
                <w:sz w:val="24"/>
              </w:rPr>
            </w:pPr>
          </w:p>
          <w:p w14:paraId="59A34B23">
            <w:pPr>
              <w:tabs>
                <w:tab w:val="left" w:pos="4910"/>
                <w:tab w:val="right" w:pos="7472"/>
              </w:tabs>
              <w:ind w:firstLine="0" w:firstLineChars="0"/>
              <w:rPr>
                <w:rFonts w:hint="eastAsia" w:ascii="楷体_GB2312" w:hAnsi="宋体" w:eastAsia="楷体_GB2312"/>
                <w:b/>
                <w:color w:val="000000"/>
                <w:sz w:val="24"/>
              </w:rPr>
            </w:pPr>
          </w:p>
          <w:p w14:paraId="68867380">
            <w:pPr>
              <w:tabs>
                <w:tab w:val="left" w:pos="4910"/>
                <w:tab w:val="right" w:pos="7472"/>
              </w:tabs>
              <w:ind w:firstLine="0" w:firstLineChars="0"/>
              <w:rPr>
                <w:rFonts w:hint="eastAsia" w:ascii="楷体_GB2312" w:hAnsi="宋体" w:eastAsia="楷体_GB2312"/>
                <w:b/>
                <w:color w:val="000000"/>
                <w:sz w:val="24"/>
              </w:rPr>
            </w:pPr>
          </w:p>
          <w:p w14:paraId="0909E406">
            <w:pPr>
              <w:tabs>
                <w:tab w:val="left" w:pos="4910"/>
                <w:tab w:val="right" w:pos="7472"/>
              </w:tabs>
              <w:ind w:firstLine="0" w:firstLineChars="0"/>
              <w:rPr>
                <w:rFonts w:hint="eastAsia" w:ascii="楷体_GB2312" w:hAnsi="宋体" w:eastAsia="楷体_GB2312"/>
                <w:b/>
                <w:color w:val="000000"/>
                <w:sz w:val="24"/>
              </w:rPr>
            </w:pPr>
          </w:p>
          <w:p w14:paraId="5B7D6A95">
            <w:pPr>
              <w:tabs>
                <w:tab w:val="left" w:pos="4910"/>
                <w:tab w:val="right" w:pos="7472"/>
              </w:tabs>
              <w:ind w:firstLine="0" w:firstLineChars="0"/>
              <w:rPr>
                <w:rFonts w:hint="eastAsia" w:ascii="楷体_GB2312" w:hAnsi="宋体" w:eastAsia="楷体_GB2312"/>
                <w:b/>
                <w:color w:val="000000"/>
                <w:sz w:val="24"/>
              </w:rPr>
            </w:pPr>
          </w:p>
          <w:p w14:paraId="756EBD01">
            <w:pPr>
              <w:tabs>
                <w:tab w:val="left" w:pos="4910"/>
                <w:tab w:val="right" w:pos="7472"/>
              </w:tabs>
              <w:ind w:firstLine="0" w:firstLineChars="0"/>
              <w:rPr>
                <w:rFonts w:hint="eastAsia" w:ascii="楷体_GB2312" w:hAnsi="宋体" w:eastAsia="楷体_GB2312"/>
                <w:b/>
                <w:color w:val="000000"/>
                <w:sz w:val="24"/>
              </w:rPr>
            </w:pPr>
          </w:p>
          <w:p w14:paraId="3455B844">
            <w:pPr>
              <w:tabs>
                <w:tab w:val="left" w:pos="4910"/>
                <w:tab w:val="right" w:pos="7472"/>
              </w:tabs>
              <w:ind w:firstLine="0" w:firstLineChars="0"/>
              <w:rPr>
                <w:rFonts w:hint="eastAsia" w:ascii="楷体_GB2312" w:hAnsi="宋体" w:eastAsia="楷体_GB2312"/>
                <w:b/>
                <w:color w:val="000000"/>
                <w:sz w:val="24"/>
              </w:rPr>
            </w:pPr>
          </w:p>
          <w:p w14:paraId="578AC791">
            <w:pPr>
              <w:tabs>
                <w:tab w:val="left" w:pos="4910"/>
                <w:tab w:val="right" w:pos="7472"/>
              </w:tabs>
              <w:ind w:firstLine="0" w:firstLineChars="0"/>
              <w:rPr>
                <w:rFonts w:hint="eastAsia" w:ascii="楷体_GB2312" w:hAnsi="宋体" w:eastAsia="楷体_GB2312"/>
                <w:b/>
                <w:color w:val="000000"/>
                <w:sz w:val="24"/>
              </w:rPr>
            </w:pPr>
          </w:p>
          <w:p w14:paraId="0216EEBB">
            <w:pPr>
              <w:tabs>
                <w:tab w:val="left" w:pos="4910"/>
                <w:tab w:val="right" w:pos="7472"/>
              </w:tabs>
              <w:ind w:firstLine="0" w:firstLineChars="0"/>
              <w:rPr>
                <w:rFonts w:hint="eastAsia" w:ascii="楷体_GB2312" w:hAnsi="宋体" w:eastAsia="楷体_GB2312"/>
                <w:b/>
                <w:color w:val="000000"/>
                <w:sz w:val="24"/>
              </w:rPr>
            </w:pPr>
          </w:p>
          <w:p w14:paraId="44D1225F">
            <w:pPr>
              <w:tabs>
                <w:tab w:val="left" w:pos="4910"/>
                <w:tab w:val="right" w:pos="7472"/>
              </w:tabs>
              <w:ind w:firstLine="0" w:firstLineChars="0"/>
              <w:rPr>
                <w:rFonts w:hint="eastAsia" w:ascii="楷体_GB2312" w:hAnsi="宋体" w:eastAsia="楷体_GB2312"/>
                <w:b/>
                <w:color w:val="000000"/>
                <w:sz w:val="24"/>
              </w:rPr>
            </w:pPr>
          </w:p>
          <w:p w14:paraId="26207753">
            <w:pPr>
              <w:tabs>
                <w:tab w:val="left" w:pos="4910"/>
                <w:tab w:val="right" w:pos="7472"/>
              </w:tabs>
              <w:ind w:firstLine="3614" w:firstLineChars="1500"/>
              <w:rPr>
                <w:rFonts w:ascii="宋体"/>
                <w:sz w:val="24"/>
                <w:u w:val="single"/>
              </w:rPr>
            </w:pPr>
            <w:r>
              <w:rPr>
                <w:rFonts w:hint="eastAsia" w:ascii="楷体_GB2312" w:hAnsi="宋体" w:eastAsia="楷体_GB2312"/>
                <w:b/>
                <w:color w:val="000000"/>
                <w:sz w:val="24"/>
              </w:rPr>
              <w:t>指导教师（签名）</w:t>
            </w:r>
            <w:r>
              <w:rPr>
                <w:rFonts w:hint="eastAsia" w:ascii="宋体"/>
                <w:sz w:val="24"/>
                <w:u w:val="single"/>
              </w:rPr>
              <w:t xml:space="preserve">              </w:t>
            </w:r>
          </w:p>
          <w:p w14:paraId="468E6958">
            <w:pPr>
              <w:spacing w:line="400" w:lineRule="exact"/>
              <w:ind w:firstLine="0" w:firstLineChars="0"/>
              <w:rPr>
                <w:rFonts w:hint="eastAsia" w:ascii="宋体" w:hAnsi="宋体"/>
                <w:b/>
                <w:sz w:val="28"/>
              </w:rPr>
            </w:pPr>
            <w:r>
              <w:rPr>
                <w:rFonts w:hint="eastAsia" w:ascii="楷体_GB2312" w:hAnsi="宋体" w:eastAsia="楷体_GB2312"/>
                <w:b/>
                <w:color w:val="000000"/>
                <w:sz w:val="24"/>
              </w:rPr>
              <w:t xml:space="preserve">                                          </w:t>
            </w:r>
            <w:r>
              <w:rPr>
                <w:rFonts w:hint="eastAsia" w:eastAsia="楷体_GB2312"/>
                <w:b/>
                <w:sz w:val="24"/>
              </w:rPr>
              <w:t xml:space="preserve"> 年    月    日</w:t>
            </w:r>
          </w:p>
        </w:tc>
      </w:tr>
      <w:tr w14:paraId="20A6B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7" w:hRule="atLeast"/>
        </w:trPr>
        <w:tc>
          <w:tcPr>
            <w:tcW w:w="1066" w:type="dxa"/>
            <w:vAlign w:val="center"/>
          </w:tcPr>
          <w:p w14:paraId="2FEDDCA6">
            <w:pPr>
              <w:ind w:firstLine="0" w:firstLineChars="0"/>
              <w:jc w:val="center"/>
              <w:rPr>
                <w:rFonts w:hint="eastAsia" w:ascii="宋体" w:hAnsi="宋体" w:eastAsia="楷体_GB2312"/>
                <w:b/>
                <w:sz w:val="24"/>
              </w:rPr>
            </w:pPr>
            <w:r>
              <w:rPr>
                <w:rFonts w:hint="eastAsia" w:ascii="宋体" w:hAnsi="宋体" w:eastAsia="楷体_GB2312"/>
                <w:b/>
                <w:sz w:val="24"/>
              </w:rPr>
              <w:t>答辩小组意见</w:t>
            </w:r>
          </w:p>
        </w:tc>
        <w:tc>
          <w:tcPr>
            <w:tcW w:w="7559" w:type="dxa"/>
            <w:gridSpan w:val="5"/>
          </w:tcPr>
          <w:p w14:paraId="5336A9BD">
            <w:pPr>
              <w:tabs>
                <w:tab w:val="left" w:pos="4910"/>
                <w:tab w:val="right" w:pos="7472"/>
              </w:tabs>
              <w:ind w:firstLine="0" w:firstLineChars="0"/>
              <w:rPr>
                <w:rFonts w:hint="eastAsia" w:ascii="楷体_GB2312" w:hAnsi="宋体" w:eastAsia="楷体_GB2312"/>
                <w:b/>
                <w:color w:val="000000"/>
                <w:sz w:val="24"/>
              </w:rPr>
            </w:pPr>
          </w:p>
          <w:p w14:paraId="731AA4E7">
            <w:pPr>
              <w:ind w:firstLine="0" w:firstLineChars="0"/>
              <w:rPr>
                <w:rFonts w:hint="eastAsia" w:ascii="楷体_GB2312" w:hAnsi="宋体" w:eastAsia="楷体_GB2312"/>
                <w:sz w:val="24"/>
              </w:rPr>
            </w:pPr>
          </w:p>
          <w:p w14:paraId="60352BAD">
            <w:pPr>
              <w:ind w:firstLine="0" w:firstLineChars="0"/>
              <w:rPr>
                <w:rFonts w:hint="eastAsia" w:ascii="楷体_GB2312" w:hAnsi="宋体" w:eastAsia="楷体_GB2312"/>
                <w:sz w:val="24"/>
              </w:rPr>
            </w:pPr>
          </w:p>
          <w:p w14:paraId="72D96C21">
            <w:pPr>
              <w:ind w:firstLine="0" w:firstLineChars="0"/>
              <w:rPr>
                <w:rFonts w:hint="eastAsia" w:ascii="楷体_GB2312" w:hAnsi="宋体" w:eastAsia="楷体_GB2312"/>
                <w:sz w:val="24"/>
              </w:rPr>
            </w:pPr>
          </w:p>
          <w:p w14:paraId="1A16177D">
            <w:pPr>
              <w:ind w:firstLine="0" w:firstLineChars="0"/>
              <w:rPr>
                <w:rFonts w:hint="eastAsia" w:ascii="楷体_GB2312" w:hAnsi="宋体" w:eastAsia="楷体_GB2312"/>
                <w:sz w:val="24"/>
              </w:rPr>
            </w:pPr>
          </w:p>
          <w:p w14:paraId="5C8FE6A8">
            <w:pPr>
              <w:ind w:firstLine="0" w:firstLineChars="0"/>
              <w:rPr>
                <w:rFonts w:eastAsia="楷体_GB2312"/>
                <w:b/>
                <w:sz w:val="24"/>
              </w:rPr>
            </w:pPr>
            <w:r>
              <w:rPr>
                <w:rFonts w:ascii="楷体_GB2312" w:hAnsi="宋体" w:eastAsia="楷体_GB2312"/>
                <w:sz w:val="24"/>
              </w:rPr>
              <w:tab/>
            </w:r>
            <w:r>
              <w:rPr>
                <w:rFonts w:ascii="楷体_GB2312" w:hAnsi="宋体" w:eastAsia="楷体_GB2312"/>
                <w:sz w:val="24"/>
              </w:rPr>
              <w:t xml:space="preserve">         </w:t>
            </w:r>
            <w:r>
              <w:rPr>
                <w:rFonts w:hint="eastAsia" w:ascii="楷体" w:hAnsi="楷体" w:eastAsia="楷体"/>
                <w:b/>
                <w:sz w:val="24"/>
              </w:rPr>
              <w:t xml:space="preserve">□通过     </w:t>
            </w:r>
            <w:r>
              <w:rPr>
                <w:rFonts w:ascii="楷体" w:hAnsi="楷体" w:eastAsia="楷体"/>
                <w:b/>
                <w:sz w:val="24"/>
              </w:rPr>
              <w:t xml:space="preserve">        </w:t>
            </w:r>
            <w:r>
              <w:rPr>
                <w:rFonts w:hint="eastAsia" w:ascii="楷体" w:hAnsi="楷体" w:eastAsia="楷体"/>
                <w:b/>
                <w:sz w:val="24"/>
              </w:rPr>
              <w:t xml:space="preserve">  □不通过</w:t>
            </w:r>
          </w:p>
          <w:p w14:paraId="1790A97A">
            <w:pPr>
              <w:ind w:firstLine="0" w:firstLineChars="0"/>
              <w:rPr>
                <w:rFonts w:eastAsia="楷体_GB2312"/>
                <w:b/>
                <w:sz w:val="24"/>
              </w:rPr>
            </w:pPr>
          </w:p>
          <w:p w14:paraId="23C27D1F">
            <w:pPr>
              <w:ind w:firstLine="0" w:firstLineChars="0"/>
              <w:rPr>
                <w:rFonts w:eastAsia="楷体_GB2312"/>
                <w:b/>
                <w:sz w:val="24"/>
              </w:rPr>
            </w:pPr>
          </w:p>
          <w:p w14:paraId="7746D2E5">
            <w:pPr>
              <w:ind w:firstLine="0" w:firstLineChars="0"/>
              <w:rPr>
                <w:rFonts w:eastAsia="楷体_GB2312"/>
                <w:b/>
                <w:sz w:val="24"/>
              </w:rPr>
            </w:pPr>
          </w:p>
          <w:p w14:paraId="731583B7">
            <w:pPr>
              <w:ind w:firstLine="0" w:firstLineChars="0"/>
              <w:rPr>
                <w:rFonts w:eastAsia="楷体_GB2312"/>
                <w:b/>
                <w:sz w:val="24"/>
              </w:rPr>
            </w:pPr>
            <w:r>
              <w:rPr>
                <w:rFonts w:hint="eastAsia" w:eastAsia="楷体_GB2312"/>
                <w:b/>
                <w:sz w:val="24"/>
              </w:rPr>
              <w:t>答辩组成员（签名）_</w:t>
            </w:r>
            <w:r>
              <w:rPr>
                <w:rFonts w:eastAsia="楷体_GB2312"/>
                <w:b/>
                <w:sz w:val="24"/>
              </w:rPr>
              <w:t>_________________________</w:t>
            </w:r>
          </w:p>
          <w:p w14:paraId="1B6AEC4F">
            <w:pPr>
              <w:ind w:firstLine="0" w:firstLineChars="0"/>
              <w:rPr>
                <w:rFonts w:eastAsia="楷体_GB2312"/>
                <w:b/>
                <w:sz w:val="24"/>
              </w:rPr>
            </w:pPr>
          </w:p>
          <w:p w14:paraId="6FF84AAB">
            <w:pPr>
              <w:ind w:firstLine="0" w:firstLineChars="0"/>
              <w:rPr>
                <w:rFonts w:eastAsia="楷体_GB2312"/>
                <w:b/>
                <w:sz w:val="24"/>
              </w:rPr>
            </w:pPr>
            <w:r>
              <w:rPr>
                <w:rFonts w:hint="eastAsia" w:eastAsia="楷体_GB2312"/>
                <w:b/>
                <w:sz w:val="24"/>
              </w:rPr>
              <w:t>答辩组组长（签名）_</w:t>
            </w:r>
            <w:r>
              <w:rPr>
                <w:rFonts w:eastAsia="楷体_GB2312"/>
                <w:b/>
                <w:sz w:val="24"/>
              </w:rPr>
              <w:t>_________________________</w:t>
            </w:r>
          </w:p>
          <w:p w14:paraId="23557643">
            <w:pPr>
              <w:tabs>
                <w:tab w:val="left" w:pos="1887"/>
              </w:tabs>
              <w:ind w:left="5301" w:firstLine="0" w:firstLineChars="0"/>
              <w:rPr>
                <w:rFonts w:hint="eastAsia" w:ascii="楷体_GB2312" w:hAnsi="宋体" w:eastAsia="楷体_GB2312"/>
                <w:sz w:val="24"/>
              </w:rPr>
            </w:pPr>
            <w:r>
              <w:rPr>
                <w:rFonts w:hint="eastAsia" w:eastAsia="楷体_GB2312"/>
                <w:b/>
                <w:sz w:val="24"/>
              </w:rPr>
              <w:t xml:space="preserve">           　　　　　　　　　　　　　　　　　　　　　　　　　年</w:t>
            </w:r>
            <w:r>
              <w:rPr>
                <w:rFonts w:eastAsia="楷体_GB2312"/>
                <w:b/>
                <w:sz w:val="24"/>
              </w:rPr>
              <w:t xml:space="preserve"> </w:t>
            </w:r>
            <w:r>
              <w:rPr>
                <w:rFonts w:hint="eastAsia" w:eastAsia="楷体_GB2312"/>
                <w:b/>
                <w:sz w:val="24"/>
              </w:rPr>
              <w:t xml:space="preserve">  </w:t>
            </w:r>
            <w:r>
              <w:rPr>
                <w:rFonts w:eastAsia="楷体_GB2312"/>
                <w:b/>
                <w:sz w:val="24"/>
              </w:rPr>
              <w:t xml:space="preserve"> </w:t>
            </w:r>
            <w:r>
              <w:rPr>
                <w:rFonts w:hint="eastAsia" w:eastAsia="楷体_GB2312"/>
                <w:b/>
                <w:sz w:val="24"/>
              </w:rPr>
              <w:t xml:space="preserve">月   </w:t>
            </w:r>
            <w:r>
              <w:rPr>
                <w:rFonts w:eastAsia="楷体_GB2312"/>
                <w:b/>
                <w:sz w:val="24"/>
              </w:rPr>
              <w:t xml:space="preserve"> </w:t>
            </w:r>
            <w:r>
              <w:rPr>
                <w:rFonts w:hint="eastAsia" w:eastAsia="楷体_GB2312"/>
                <w:b/>
                <w:sz w:val="24"/>
              </w:rPr>
              <w:t>日</w:t>
            </w:r>
          </w:p>
        </w:tc>
      </w:tr>
      <w:tr w14:paraId="3756E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6" w:type="dxa"/>
            <w:vAlign w:val="center"/>
          </w:tcPr>
          <w:p w14:paraId="35D94E63">
            <w:pPr>
              <w:ind w:firstLine="0" w:firstLineChars="0"/>
              <w:jc w:val="center"/>
              <w:rPr>
                <w:rFonts w:hint="eastAsia" w:ascii="宋体" w:hAnsi="宋体" w:eastAsia="楷体_GB2312"/>
                <w:b/>
                <w:sz w:val="24"/>
              </w:rPr>
            </w:pPr>
            <w:r>
              <w:rPr>
                <w:rFonts w:hint="eastAsia" w:ascii="宋体" w:hAnsi="宋体" w:eastAsia="楷体_GB2312"/>
                <w:b/>
                <w:sz w:val="24"/>
              </w:rPr>
              <w:t>学院审核意见</w:t>
            </w:r>
          </w:p>
        </w:tc>
        <w:tc>
          <w:tcPr>
            <w:tcW w:w="7559" w:type="dxa"/>
            <w:gridSpan w:val="5"/>
          </w:tcPr>
          <w:p w14:paraId="6CA1025B">
            <w:pPr>
              <w:tabs>
                <w:tab w:val="left" w:pos="4910"/>
                <w:tab w:val="right" w:pos="7472"/>
              </w:tabs>
              <w:ind w:firstLine="0" w:firstLineChars="0"/>
              <w:rPr>
                <w:rFonts w:hint="eastAsia" w:ascii="楷体_GB2312" w:hAnsi="宋体" w:eastAsia="楷体_GB2312"/>
                <w:b/>
                <w:color w:val="000000"/>
                <w:sz w:val="24"/>
              </w:rPr>
            </w:pPr>
          </w:p>
          <w:p w14:paraId="77E44774">
            <w:pPr>
              <w:tabs>
                <w:tab w:val="left" w:pos="4910"/>
                <w:tab w:val="right" w:pos="7472"/>
              </w:tabs>
              <w:ind w:firstLine="0" w:firstLineChars="0"/>
              <w:rPr>
                <w:rFonts w:hint="eastAsia" w:ascii="楷体_GB2312" w:hAnsi="宋体" w:eastAsia="楷体_GB2312"/>
                <w:b/>
                <w:color w:val="000000"/>
                <w:sz w:val="24"/>
              </w:rPr>
            </w:pPr>
          </w:p>
          <w:p w14:paraId="0B962AA6">
            <w:pPr>
              <w:tabs>
                <w:tab w:val="left" w:pos="4910"/>
                <w:tab w:val="right" w:pos="7472"/>
              </w:tabs>
              <w:ind w:firstLine="0" w:firstLineChars="0"/>
              <w:rPr>
                <w:rFonts w:hint="eastAsia" w:ascii="楷体_GB2312" w:hAnsi="宋体" w:eastAsia="楷体_GB2312"/>
                <w:b/>
                <w:color w:val="000000"/>
                <w:sz w:val="24"/>
              </w:rPr>
            </w:pPr>
          </w:p>
          <w:p w14:paraId="1AEEDF60">
            <w:pPr>
              <w:tabs>
                <w:tab w:val="left" w:pos="4910"/>
                <w:tab w:val="right" w:pos="7472"/>
              </w:tabs>
              <w:ind w:firstLine="0" w:firstLineChars="0"/>
              <w:rPr>
                <w:rFonts w:hint="eastAsia" w:ascii="楷体_GB2312" w:hAnsi="宋体" w:eastAsia="楷体_GB2312"/>
                <w:b/>
                <w:color w:val="000000"/>
                <w:sz w:val="24"/>
              </w:rPr>
            </w:pPr>
          </w:p>
          <w:p w14:paraId="58FC1AC6">
            <w:pPr>
              <w:tabs>
                <w:tab w:val="left" w:pos="4910"/>
                <w:tab w:val="right" w:pos="7472"/>
              </w:tabs>
              <w:ind w:firstLine="0" w:firstLineChars="0"/>
              <w:rPr>
                <w:rFonts w:hint="eastAsia" w:ascii="楷体_GB2312" w:hAnsi="宋体" w:eastAsia="楷体_GB2312"/>
                <w:b/>
                <w:color w:val="000000"/>
                <w:sz w:val="24"/>
              </w:rPr>
            </w:pPr>
          </w:p>
          <w:p w14:paraId="5A9C00E9">
            <w:pPr>
              <w:tabs>
                <w:tab w:val="left" w:pos="4910"/>
                <w:tab w:val="right" w:pos="7472"/>
              </w:tabs>
              <w:ind w:firstLine="0" w:firstLineChars="0"/>
              <w:rPr>
                <w:rFonts w:hint="eastAsia" w:ascii="楷体_GB2312" w:hAnsi="宋体" w:eastAsia="楷体_GB2312"/>
                <w:b/>
                <w:color w:val="000000"/>
                <w:sz w:val="24"/>
              </w:rPr>
            </w:pPr>
          </w:p>
          <w:p w14:paraId="2DDBC276">
            <w:pPr>
              <w:tabs>
                <w:tab w:val="left" w:pos="4910"/>
                <w:tab w:val="right" w:pos="7472"/>
              </w:tabs>
              <w:ind w:firstLine="0" w:firstLineChars="0"/>
              <w:rPr>
                <w:rFonts w:hint="eastAsia" w:ascii="楷体_GB2312" w:hAnsi="宋体" w:eastAsia="楷体_GB2312"/>
                <w:b/>
                <w:color w:val="000000"/>
                <w:sz w:val="24"/>
              </w:rPr>
            </w:pPr>
          </w:p>
          <w:p w14:paraId="62BFFE35">
            <w:pPr>
              <w:tabs>
                <w:tab w:val="left" w:pos="4910"/>
                <w:tab w:val="right" w:pos="7472"/>
              </w:tabs>
              <w:ind w:firstLine="0" w:firstLineChars="0"/>
              <w:rPr>
                <w:rFonts w:hint="eastAsia" w:ascii="楷体_GB2312" w:hAnsi="宋体" w:eastAsia="楷体_GB2312"/>
                <w:b/>
                <w:color w:val="000000"/>
                <w:sz w:val="24"/>
              </w:rPr>
            </w:pPr>
          </w:p>
          <w:p w14:paraId="7A88332F">
            <w:pPr>
              <w:tabs>
                <w:tab w:val="left" w:pos="4910"/>
                <w:tab w:val="right" w:pos="7472"/>
              </w:tabs>
              <w:ind w:firstLine="0" w:firstLineChars="0"/>
              <w:rPr>
                <w:rFonts w:hint="eastAsia" w:ascii="楷体_GB2312" w:hAnsi="宋体" w:eastAsia="楷体_GB2312"/>
                <w:b/>
                <w:color w:val="000000"/>
                <w:sz w:val="24"/>
              </w:rPr>
            </w:pPr>
            <w:r>
              <w:rPr>
                <w:rFonts w:hint="eastAsia" w:ascii="楷体_GB2312" w:hAnsi="宋体" w:eastAsia="楷体_GB2312"/>
                <w:b/>
                <w:color w:val="000000"/>
                <w:sz w:val="24"/>
              </w:rPr>
              <w:t>分管教学院领导签字（公章）</w:t>
            </w:r>
            <w:r>
              <w:rPr>
                <w:rFonts w:ascii="楷体_GB2312" w:hAnsi="宋体" w:eastAsia="楷体_GB2312"/>
                <w:b/>
                <w:color w:val="000000"/>
                <w:sz w:val="24"/>
              </w:rPr>
              <w:t>___________</w:t>
            </w:r>
          </w:p>
          <w:p w14:paraId="56207C8C">
            <w:pPr>
              <w:tabs>
                <w:tab w:val="left" w:pos="1887"/>
              </w:tabs>
              <w:ind w:left="5301" w:firstLine="0" w:firstLineChars="0"/>
              <w:rPr>
                <w:rFonts w:hint="eastAsia" w:ascii="楷体_GB2312" w:hAnsi="宋体" w:eastAsia="楷体_GB2312"/>
                <w:b/>
                <w:color w:val="000000"/>
                <w:sz w:val="24"/>
              </w:rPr>
            </w:pPr>
            <w:r>
              <w:rPr>
                <w:rFonts w:hint="eastAsia" w:eastAsia="楷体_GB2312"/>
                <w:b/>
                <w:sz w:val="24"/>
              </w:rPr>
              <w:t>年    月    日</w:t>
            </w:r>
          </w:p>
        </w:tc>
      </w:tr>
    </w:tbl>
    <w:p w14:paraId="0D701E14">
      <w:pPr>
        <w:ind w:firstLine="0" w:firstLineChars="0"/>
        <w:jc w:val="left"/>
        <w:rPr>
          <w:rFonts w:hint="eastAsia" w:ascii="宋体" w:hAnsi="宋体"/>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7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956E05">
    <w:pPr>
      <w:pStyle w:val="1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6F22F">
    <w:pPr>
      <w:pStyle w:val="1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33C3A">
    <w:pPr>
      <w:pStyle w:val="1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20"/>
      </w:pPr>
      <w:r>
        <w:separator/>
      </w:r>
    </w:p>
  </w:footnote>
  <w:footnote w:type="continuationSeparator" w:id="1">
    <w:p>
      <w:pPr>
        <w:spacing w:line="24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692FB9">
    <w:pPr>
      <w:pStyle w:val="11"/>
      <w:pBdr>
        <w:bottom w:val="none" w:color="auto" w:sz="0" w:space="1"/>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9A7E8">
    <w:pPr>
      <w:pStyle w:val="1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F64B6">
    <w:pPr>
      <w:pStyle w:val="11"/>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965173"/>
    <w:multiLevelType w:val="singleLevel"/>
    <w:tmpl w:val="BB965173"/>
    <w:lvl w:ilvl="0" w:tentative="0">
      <w:start w:val="1"/>
      <w:numFmt w:val="decimal"/>
      <w:suff w:val="space"/>
      <w:lvlText w:val="%1."/>
      <w:lvlJc w:val="left"/>
    </w:lvl>
  </w:abstractNum>
  <w:abstractNum w:abstractNumId="1">
    <w:nsid w:val="C3AF3814"/>
    <w:multiLevelType w:val="singleLevel"/>
    <w:tmpl w:val="C3AF3814"/>
    <w:lvl w:ilvl="0" w:tentative="0">
      <w:start w:val="1"/>
      <w:numFmt w:val="decimal"/>
      <w:suff w:val="space"/>
      <w:lvlText w:val="(%1)"/>
      <w:lvlJc w:val="left"/>
      <w:rPr>
        <w:rFonts w:hint="default"/>
        <w:b w:val="0"/>
        <w:bCs w:val="0"/>
      </w:rPr>
    </w:lvl>
  </w:abstractNum>
  <w:abstractNum w:abstractNumId="2">
    <w:nsid w:val="CBF6D659"/>
    <w:multiLevelType w:val="singleLevel"/>
    <w:tmpl w:val="CBF6D659"/>
    <w:lvl w:ilvl="0" w:tentative="0">
      <w:start w:val="1"/>
      <w:numFmt w:val="decimal"/>
      <w:suff w:val="space"/>
      <w:lvlText w:val="%1."/>
      <w:lvlJc w:val="left"/>
    </w:lvl>
  </w:abstractNum>
  <w:abstractNum w:abstractNumId="3">
    <w:nsid w:val="D4293079"/>
    <w:multiLevelType w:val="singleLevel"/>
    <w:tmpl w:val="D4293079"/>
    <w:lvl w:ilvl="0" w:tentative="0">
      <w:start w:val="1"/>
      <w:numFmt w:val="decimal"/>
      <w:suff w:val="space"/>
      <w:lvlText w:val="%1."/>
      <w:lvlJc w:val="left"/>
    </w:lvl>
  </w:abstractNum>
  <w:abstractNum w:abstractNumId="4">
    <w:nsid w:val="EEEC78FC"/>
    <w:multiLevelType w:val="singleLevel"/>
    <w:tmpl w:val="EEEC78FC"/>
    <w:lvl w:ilvl="0" w:tentative="0">
      <w:start w:val="1"/>
      <w:numFmt w:val="decimal"/>
      <w:suff w:val="space"/>
      <w:lvlText w:val="(%1)"/>
      <w:lvlJc w:val="left"/>
      <w:rPr>
        <w:rFonts w:hint="default"/>
        <w:b w:val="0"/>
        <w:bCs w:val="0"/>
      </w:rPr>
    </w:lvl>
  </w:abstractNum>
  <w:abstractNum w:abstractNumId="5">
    <w:nsid w:val="FAFA4B8F"/>
    <w:multiLevelType w:val="singleLevel"/>
    <w:tmpl w:val="FAFA4B8F"/>
    <w:lvl w:ilvl="0" w:tentative="0">
      <w:start w:val="1"/>
      <w:numFmt w:val="decimal"/>
      <w:suff w:val="space"/>
      <w:lvlText w:val="%1."/>
      <w:lvlJc w:val="left"/>
    </w:lvl>
  </w:abstractNum>
  <w:abstractNum w:abstractNumId="6">
    <w:nsid w:val="09C3257A"/>
    <w:multiLevelType w:val="singleLevel"/>
    <w:tmpl w:val="09C3257A"/>
    <w:lvl w:ilvl="0" w:tentative="0">
      <w:start w:val="1"/>
      <w:numFmt w:val="decimal"/>
      <w:suff w:val="space"/>
      <w:lvlText w:val="%1."/>
      <w:lvlJc w:val="left"/>
    </w:lvl>
  </w:abstractNum>
  <w:abstractNum w:abstractNumId="7">
    <w:nsid w:val="0FC83EB9"/>
    <w:multiLevelType w:val="singleLevel"/>
    <w:tmpl w:val="0FC83EB9"/>
    <w:lvl w:ilvl="0" w:tentative="0">
      <w:start w:val="1"/>
      <w:numFmt w:val="decimal"/>
      <w:suff w:val="space"/>
      <w:lvlText w:val="%1."/>
      <w:lvlJc w:val="left"/>
    </w:lvl>
  </w:abstractNum>
  <w:abstractNum w:abstractNumId="8">
    <w:nsid w:val="102EF62F"/>
    <w:multiLevelType w:val="singleLevel"/>
    <w:tmpl w:val="102EF62F"/>
    <w:lvl w:ilvl="0" w:tentative="0">
      <w:start w:val="1"/>
      <w:numFmt w:val="decimal"/>
      <w:suff w:val="space"/>
      <w:lvlText w:val="%1."/>
      <w:lvlJc w:val="left"/>
      <w:rPr>
        <w:rFonts w:hint="default"/>
        <w:b w:val="0"/>
        <w:bCs w:val="0"/>
      </w:rPr>
    </w:lvl>
  </w:abstractNum>
  <w:abstractNum w:abstractNumId="9">
    <w:nsid w:val="22958837"/>
    <w:multiLevelType w:val="singleLevel"/>
    <w:tmpl w:val="22958837"/>
    <w:lvl w:ilvl="0" w:tentative="0">
      <w:start w:val="1"/>
      <w:numFmt w:val="decimal"/>
      <w:suff w:val="space"/>
      <w:lvlText w:val="(%1)"/>
      <w:lvlJc w:val="left"/>
      <w:rPr>
        <w:rFonts w:hint="default"/>
        <w:b w:val="0"/>
        <w:bCs w:val="0"/>
      </w:rPr>
    </w:lvl>
  </w:abstractNum>
  <w:abstractNum w:abstractNumId="10">
    <w:nsid w:val="390BD8AE"/>
    <w:multiLevelType w:val="singleLevel"/>
    <w:tmpl w:val="390BD8AE"/>
    <w:lvl w:ilvl="0" w:tentative="0">
      <w:start w:val="1"/>
      <w:numFmt w:val="decimal"/>
      <w:suff w:val="space"/>
      <w:lvlText w:val="%1."/>
      <w:lvlJc w:val="left"/>
    </w:lvl>
  </w:abstractNum>
  <w:abstractNum w:abstractNumId="11">
    <w:nsid w:val="3AE93194"/>
    <w:multiLevelType w:val="singleLevel"/>
    <w:tmpl w:val="3AE93194"/>
    <w:lvl w:ilvl="0" w:tentative="0">
      <w:start w:val="1"/>
      <w:numFmt w:val="decimal"/>
      <w:suff w:val="space"/>
      <w:lvlText w:val="%1."/>
      <w:lvlJc w:val="left"/>
      <w:rPr>
        <w:rFonts w:hint="default"/>
        <w:b w:val="0"/>
        <w:bCs w:val="0"/>
      </w:rPr>
    </w:lvl>
  </w:abstractNum>
  <w:abstractNum w:abstractNumId="12">
    <w:nsid w:val="40927277"/>
    <w:multiLevelType w:val="singleLevel"/>
    <w:tmpl w:val="40927277"/>
    <w:lvl w:ilvl="0" w:tentative="0">
      <w:start w:val="1"/>
      <w:numFmt w:val="decimal"/>
      <w:suff w:val="space"/>
      <w:lvlText w:val="%1."/>
      <w:lvlJc w:val="left"/>
      <w:rPr>
        <w:rFonts w:hint="default"/>
        <w:b w:val="0"/>
        <w:bCs w:val="0"/>
      </w:rPr>
    </w:lvl>
  </w:abstractNum>
  <w:abstractNum w:abstractNumId="13">
    <w:nsid w:val="461CA37A"/>
    <w:multiLevelType w:val="singleLevel"/>
    <w:tmpl w:val="461CA37A"/>
    <w:lvl w:ilvl="0" w:tentative="0">
      <w:start w:val="1"/>
      <w:numFmt w:val="decimal"/>
      <w:suff w:val="space"/>
      <w:lvlText w:val="(%1)"/>
      <w:lvlJc w:val="left"/>
      <w:rPr>
        <w:rFonts w:hint="default"/>
        <w:b w:val="0"/>
        <w:bCs w:val="0"/>
      </w:rPr>
    </w:lvl>
  </w:abstractNum>
  <w:abstractNum w:abstractNumId="14">
    <w:nsid w:val="58865155"/>
    <w:multiLevelType w:val="multilevel"/>
    <w:tmpl w:val="58865155"/>
    <w:lvl w:ilvl="0" w:tentative="0">
      <w:start w:val="1"/>
      <w:numFmt w:val="chineseCountingThousand"/>
      <w:pStyle w:val="2"/>
      <w:suff w:val="space"/>
      <w:lvlText w:val="（%1）"/>
      <w:lvlJc w:val="left"/>
      <w:pPr>
        <w:ind w:left="0" w:firstLine="0"/>
      </w:pPr>
      <w:rPr>
        <w:rFonts w:hint="eastAsia"/>
        <w:sz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5CD52398"/>
    <w:multiLevelType w:val="singleLevel"/>
    <w:tmpl w:val="5CD52398"/>
    <w:lvl w:ilvl="0" w:tentative="0">
      <w:start w:val="1"/>
      <w:numFmt w:val="decimal"/>
      <w:suff w:val="space"/>
      <w:lvlText w:val="%1."/>
      <w:lvlJc w:val="left"/>
      <w:rPr>
        <w:rFonts w:hint="default" w:ascii="Times New Roman" w:hAnsi="Times New Roman" w:cs="Times New Roman"/>
        <w:color w:val="auto"/>
      </w:rPr>
    </w:lvl>
  </w:abstractNum>
  <w:abstractNum w:abstractNumId="16">
    <w:nsid w:val="631B5AE9"/>
    <w:multiLevelType w:val="multilevel"/>
    <w:tmpl w:val="631B5AE9"/>
    <w:lvl w:ilvl="0" w:tentative="0">
      <w:start w:val="1"/>
      <w:numFmt w:val="decimal"/>
      <w:pStyle w:val="36"/>
      <w:lvlText w:val="[%1]  "/>
      <w:lvlJc w:val="right"/>
      <w:pPr>
        <w:tabs>
          <w:tab w:val="left" w:pos="418"/>
        </w:tabs>
        <w:ind w:left="418" w:hanging="21"/>
      </w:pPr>
      <w:rPr>
        <w:rFonts w:hint="default" w:ascii="Times New Roman" w:hAnsi="Times New Roman" w:eastAsia="宋体"/>
        <w:b w:val="0"/>
        <w:i w:val="0"/>
        <w:sz w:val="15"/>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
    <w:nsid w:val="683A3785"/>
    <w:multiLevelType w:val="multilevel"/>
    <w:tmpl w:val="683A3785"/>
    <w:lvl w:ilvl="0" w:tentative="0">
      <w:start w:val="1"/>
      <w:numFmt w:val="decimal"/>
      <w:pStyle w:val="3"/>
      <w:suff w:val="space"/>
      <w:lvlText w:val="%1. "/>
      <w:lvlJc w:val="left"/>
      <w:pPr>
        <w:ind w:left="0" w:firstLine="400"/>
      </w:pPr>
      <w:rPr>
        <w:rFonts w:hint="default" w:ascii="Times New Roman" w:hAnsi="Times New Roman" w:eastAsia="宋体"/>
        <w:sz w:val="21"/>
      </w:rPr>
    </w:lvl>
    <w:lvl w:ilvl="1" w:tentative="0">
      <w:start w:val="1"/>
      <w:numFmt w:val="lowerLetter"/>
      <w:lvlText w:val="%2)"/>
      <w:lvlJc w:val="left"/>
      <w:pPr>
        <w:ind w:left="1563" w:hanging="420"/>
      </w:pPr>
    </w:lvl>
    <w:lvl w:ilvl="2" w:tentative="0">
      <w:start w:val="1"/>
      <w:numFmt w:val="lowerRoman"/>
      <w:lvlText w:val="%3."/>
      <w:lvlJc w:val="right"/>
      <w:pPr>
        <w:ind w:left="1983" w:hanging="420"/>
      </w:pPr>
    </w:lvl>
    <w:lvl w:ilvl="3" w:tentative="0">
      <w:start w:val="1"/>
      <w:numFmt w:val="decimal"/>
      <w:lvlText w:val="%4."/>
      <w:lvlJc w:val="left"/>
      <w:pPr>
        <w:ind w:left="2403" w:hanging="420"/>
      </w:pPr>
    </w:lvl>
    <w:lvl w:ilvl="4" w:tentative="0">
      <w:start w:val="1"/>
      <w:numFmt w:val="lowerLetter"/>
      <w:lvlText w:val="%5)"/>
      <w:lvlJc w:val="left"/>
      <w:pPr>
        <w:ind w:left="2823" w:hanging="420"/>
      </w:pPr>
    </w:lvl>
    <w:lvl w:ilvl="5" w:tentative="0">
      <w:start w:val="1"/>
      <w:numFmt w:val="lowerRoman"/>
      <w:lvlText w:val="%6."/>
      <w:lvlJc w:val="right"/>
      <w:pPr>
        <w:ind w:left="3243" w:hanging="420"/>
      </w:pPr>
    </w:lvl>
    <w:lvl w:ilvl="6" w:tentative="0">
      <w:start w:val="1"/>
      <w:numFmt w:val="decimal"/>
      <w:lvlText w:val="%7."/>
      <w:lvlJc w:val="left"/>
      <w:pPr>
        <w:ind w:left="3663" w:hanging="420"/>
      </w:pPr>
    </w:lvl>
    <w:lvl w:ilvl="7" w:tentative="0">
      <w:start w:val="1"/>
      <w:numFmt w:val="lowerLetter"/>
      <w:lvlText w:val="%8)"/>
      <w:lvlJc w:val="left"/>
      <w:pPr>
        <w:ind w:left="4083" w:hanging="420"/>
      </w:pPr>
    </w:lvl>
    <w:lvl w:ilvl="8" w:tentative="0">
      <w:start w:val="1"/>
      <w:numFmt w:val="lowerRoman"/>
      <w:lvlText w:val="%9."/>
      <w:lvlJc w:val="right"/>
      <w:pPr>
        <w:ind w:left="4503" w:hanging="420"/>
      </w:pPr>
    </w:lvl>
  </w:abstractNum>
  <w:abstractNum w:abstractNumId="18">
    <w:nsid w:val="705F3E89"/>
    <w:multiLevelType w:val="multilevel"/>
    <w:tmpl w:val="705F3E89"/>
    <w:lvl w:ilvl="0" w:tentative="0">
      <w:start w:val="1"/>
      <w:numFmt w:val="decimal"/>
      <w:pStyle w:val="57"/>
      <w:lvlText w:val="[%1]"/>
      <w:lvlJc w:val="left"/>
      <w:pPr>
        <w:ind w:left="0" w:firstLine="0"/>
      </w:pPr>
      <w:rPr>
        <w:rFonts w:hint="default" w:ascii="Times New Roman" w:hAnsi="Times New Roman" w:cs="Times New Roman"/>
        <w:b w:val="0"/>
        <w:bC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758D3F75"/>
    <w:multiLevelType w:val="singleLevel"/>
    <w:tmpl w:val="758D3F75"/>
    <w:lvl w:ilvl="0" w:tentative="0">
      <w:start w:val="1"/>
      <w:numFmt w:val="decimal"/>
      <w:suff w:val="space"/>
      <w:lvlText w:val="%1."/>
      <w:lvlJc w:val="left"/>
    </w:lvl>
  </w:abstractNum>
  <w:abstractNum w:abstractNumId="20">
    <w:nsid w:val="76F53C1A"/>
    <w:multiLevelType w:val="singleLevel"/>
    <w:tmpl w:val="76F53C1A"/>
    <w:lvl w:ilvl="0" w:tentative="0">
      <w:start w:val="1"/>
      <w:numFmt w:val="decimal"/>
      <w:suff w:val="space"/>
      <w:lvlText w:val="(%1)"/>
      <w:lvlJc w:val="left"/>
    </w:lvl>
  </w:abstractNum>
  <w:num w:numId="1">
    <w:abstractNumId w:val="14"/>
  </w:num>
  <w:num w:numId="2">
    <w:abstractNumId w:val="17"/>
  </w:num>
  <w:num w:numId="3">
    <w:abstractNumId w:val="16"/>
  </w:num>
  <w:num w:numId="4">
    <w:abstractNumId w:val="18"/>
  </w:num>
  <w:num w:numId="5">
    <w:abstractNumId w:val="2"/>
  </w:num>
  <w:num w:numId="6">
    <w:abstractNumId w:val="19"/>
  </w:num>
  <w:num w:numId="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6"/>
  </w:num>
  <w:num w:numId="10">
    <w:abstractNumId w:val="0"/>
  </w:num>
  <w:num w:numId="11">
    <w:abstractNumId w:val="5"/>
  </w:num>
  <w:num w:numId="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num>
  <w:num w:numId="14">
    <w:abstractNumId w:val="12"/>
  </w:num>
  <w:num w:numId="15">
    <w:abstractNumId w:val="4"/>
  </w:num>
  <w:num w:numId="16">
    <w:abstractNumId w:val="13"/>
  </w:num>
  <w:num w:numId="17">
    <w:abstractNumId w:val="9"/>
  </w:num>
  <w:num w:numId="18">
    <w:abstractNumId w:val="1"/>
  </w:num>
  <w:num w:numId="19">
    <w:abstractNumId w:val="15"/>
  </w:num>
  <w:num w:numId="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
  </w:num>
  <w:num w:numId="22">
    <w:abstractNumId w:val="20"/>
  </w:num>
  <w:num w:numId="23">
    <w:abstractNumId w:val="8"/>
  </w:num>
  <w:num w:numId="24">
    <w:abstractNumId w:val="11"/>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241C"/>
    <w:rsid w:val="00005EC4"/>
    <w:rsid w:val="00010776"/>
    <w:rsid w:val="0003325F"/>
    <w:rsid w:val="0003354F"/>
    <w:rsid w:val="00034FF3"/>
    <w:rsid w:val="000359A6"/>
    <w:rsid w:val="000675D2"/>
    <w:rsid w:val="00075391"/>
    <w:rsid w:val="000A1BAE"/>
    <w:rsid w:val="000A6F39"/>
    <w:rsid w:val="000B3AD1"/>
    <w:rsid w:val="000B4C4D"/>
    <w:rsid w:val="000F4535"/>
    <w:rsid w:val="00105118"/>
    <w:rsid w:val="00105A74"/>
    <w:rsid w:val="00110006"/>
    <w:rsid w:val="00116DF1"/>
    <w:rsid w:val="001302F6"/>
    <w:rsid w:val="0013080E"/>
    <w:rsid w:val="0013314E"/>
    <w:rsid w:val="00143E9D"/>
    <w:rsid w:val="001460D3"/>
    <w:rsid w:val="00152356"/>
    <w:rsid w:val="00152638"/>
    <w:rsid w:val="00163214"/>
    <w:rsid w:val="00163E66"/>
    <w:rsid w:val="00170A02"/>
    <w:rsid w:val="00181746"/>
    <w:rsid w:val="00182D1D"/>
    <w:rsid w:val="00190A82"/>
    <w:rsid w:val="00193065"/>
    <w:rsid w:val="001A6B7B"/>
    <w:rsid w:val="001A74B6"/>
    <w:rsid w:val="001A7616"/>
    <w:rsid w:val="001C18B3"/>
    <w:rsid w:val="001C698A"/>
    <w:rsid w:val="001D0CC6"/>
    <w:rsid w:val="001D6133"/>
    <w:rsid w:val="001F0E9F"/>
    <w:rsid w:val="001F1DC9"/>
    <w:rsid w:val="001F7383"/>
    <w:rsid w:val="002031BD"/>
    <w:rsid w:val="00206FBF"/>
    <w:rsid w:val="00212225"/>
    <w:rsid w:val="0023093B"/>
    <w:rsid w:val="0023158E"/>
    <w:rsid w:val="00241984"/>
    <w:rsid w:val="00244F67"/>
    <w:rsid w:val="00246778"/>
    <w:rsid w:val="00273137"/>
    <w:rsid w:val="00280981"/>
    <w:rsid w:val="002900EC"/>
    <w:rsid w:val="0029627D"/>
    <w:rsid w:val="002A1E1A"/>
    <w:rsid w:val="002B3D4E"/>
    <w:rsid w:val="002B592B"/>
    <w:rsid w:val="002B7F94"/>
    <w:rsid w:val="002C13A0"/>
    <w:rsid w:val="002E762F"/>
    <w:rsid w:val="002F7EDE"/>
    <w:rsid w:val="0030429A"/>
    <w:rsid w:val="00305298"/>
    <w:rsid w:val="00306175"/>
    <w:rsid w:val="00322F54"/>
    <w:rsid w:val="0033149B"/>
    <w:rsid w:val="00352705"/>
    <w:rsid w:val="00352C9D"/>
    <w:rsid w:val="0035304E"/>
    <w:rsid w:val="00354F56"/>
    <w:rsid w:val="00372368"/>
    <w:rsid w:val="0038188F"/>
    <w:rsid w:val="00393EEC"/>
    <w:rsid w:val="003944F7"/>
    <w:rsid w:val="00397AFF"/>
    <w:rsid w:val="003B6A99"/>
    <w:rsid w:val="003C5F86"/>
    <w:rsid w:val="003D4EAD"/>
    <w:rsid w:val="003E2920"/>
    <w:rsid w:val="003E7B59"/>
    <w:rsid w:val="0040286F"/>
    <w:rsid w:val="004042AE"/>
    <w:rsid w:val="0041253B"/>
    <w:rsid w:val="00413641"/>
    <w:rsid w:val="00413F99"/>
    <w:rsid w:val="004251A9"/>
    <w:rsid w:val="004337DA"/>
    <w:rsid w:val="00435C14"/>
    <w:rsid w:val="00443AEB"/>
    <w:rsid w:val="00481CFC"/>
    <w:rsid w:val="00490EED"/>
    <w:rsid w:val="00491513"/>
    <w:rsid w:val="0049419D"/>
    <w:rsid w:val="004954FD"/>
    <w:rsid w:val="004A5AD4"/>
    <w:rsid w:val="004B1F18"/>
    <w:rsid w:val="004B620C"/>
    <w:rsid w:val="004D3127"/>
    <w:rsid w:val="004D540D"/>
    <w:rsid w:val="004E3F81"/>
    <w:rsid w:val="005160C3"/>
    <w:rsid w:val="005301DA"/>
    <w:rsid w:val="00531333"/>
    <w:rsid w:val="005366C9"/>
    <w:rsid w:val="00550253"/>
    <w:rsid w:val="00552BFC"/>
    <w:rsid w:val="00554AB0"/>
    <w:rsid w:val="005574C1"/>
    <w:rsid w:val="00567412"/>
    <w:rsid w:val="00575A11"/>
    <w:rsid w:val="00595B05"/>
    <w:rsid w:val="005A6FF2"/>
    <w:rsid w:val="005B5FAD"/>
    <w:rsid w:val="005C5AD7"/>
    <w:rsid w:val="005D1240"/>
    <w:rsid w:val="005D6FC7"/>
    <w:rsid w:val="005E0AB0"/>
    <w:rsid w:val="005E69D6"/>
    <w:rsid w:val="005F241C"/>
    <w:rsid w:val="005F6577"/>
    <w:rsid w:val="005F7951"/>
    <w:rsid w:val="006000E2"/>
    <w:rsid w:val="00602BD3"/>
    <w:rsid w:val="00635710"/>
    <w:rsid w:val="00636F75"/>
    <w:rsid w:val="00642605"/>
    <w:rsid w:val="00647121"/>
    <w:rsid w:val="006726A6"/>
    <w:rsid w:val="0068415E"/>
    <w:rsid w:val="00684165"/>
    <w:rsid w:val="006955FE"/>
    <w:rsid w:val="006B4A1C"/>
    <w:rsid w:val="006C0654"/>
    <w:rsid w:val="00717F4C"/>
    <w:rsid w:val="007217AF"/>
    <w:rsid w:val="007336BD"/>
    <w:rsid w:val="00735431"/>
    <w:rsid w:val="0074538C"/>
    <w:rsid w:val="007530B9"/>
    <w:rsid w:val="00763CDD"/>
    <w:rsid w:val="00765663"/>
    <w:rsid w:val="00774B5B"/>
    <w:rsid w:val="00790542"/>
    <w:rsid w:val="0079376C"/>
    <w:rsid w:val="0079521F"/>
    <w:rsid w:val="007A0D41"/>
    <w:rsid w:val="007B1B53"/>
    <w:rsid w:val="007E3EB7"/>
    <w:rsid w:val="007E5171"/>
    <w:rsid w:val="007E5D9A"/>
    <w:rsid w:val="007F2F27"/>
    <w:rsid w:val="00806496"/>
    <w:rsid w:val="00820076"/>
    <w:rsid w:val="00820A1A"/>
    <w:rsid w:val="0082461A"/>
    <w:rsid w:val="0082471F"/>
    <w:rsid w:val="00836E26"/>
    <w:rsid w:val="008612AA"/>
    <w:rsid w:val="00874815"/>
    <w:rsid w:val="00882F7E"/>
    <w:rsid w:val="00883A77"/>
    <w:rsid w:val="0088727C"/>
    <w:rsid w:val="008B1574"/>
    <w:rsid w:val="008B3060"/>
    <w:rsid w:val="008B6B0E"/>
    <w:rsid w:val="008D7DFC"/>
    <w:rsid w:val="008F2714"/>
    <w:rsid w:val="00904774"/>
    <w:rsid w:val="0091213C"/>
    <w:rsid w:val="00913E3B"/>
    <w:rsid w:val="00917001"/>
    <w:rsid w:val="0093036B"/>
    <w:rsid w:val="009312E1"/>
    <w:rsid w:val="00931D3C"/>
    <w:rsid w:val="009349D4"/>
    <w:rsid w:val="009369D5"/>
    <w:rsid w:val="00947636"/>
    <w:rsid w:val="00964B32"/>
    <w:rsid w:val="009707FF"/>
    <w:rsid w:val="00976384"/>
    <w:rsid w:val="00997C1B"/>
    <w:rsid w:val="009D5FE4"/>
    <w:rsid w:val="009E3AAE"/>
    <w:rsid w:val="009F0FE6"/>
    <w:rsid w:val="00A15147"/>
    <w:rsid w:val="00A17916"/>
    <w:rsid w:val="00A22A23"/>
    <w:rsid w:val="00A25B12"/>
    <w:rsid w:val="00A33CB8"/>
    <w:rsid w:val="00A35C76"/>
    <w:rsid w:val="00A44719"/>
    <w:rsid w:val="00A561A5"/>
    <w:rsid w:val="00A64F3A"/>
    <w:rsid w:val="00A7281E"/>
    <w:rsid w:val="00A768C9"/>
    <w:rsid w:val="00A9376B"/>
    <w:rsid w:val="00AB63A5"/>
    <w:rsid w:val="00AE21C7"/>
    <w:rsid w:val="00AE5692"/>
    <w:rsid w:val="00AE6C6C"/>
    <w:rsid w:val="00AF74E4"/>
    <w:rsid w:val="00B07A99"/>
    <w:rsid w:val="00B15ACC"/>
    <w:rsid w:val="00B40F8C"/>
    <w:rsid w:val="00B45089"/>
    <w:rsid w:val="00B4643C"/>
    <w:rsid w:val="00B52B57"/>
    <w:rsid w:val="00B616E4"/>
    <w:rsid w:val="00B7795B"/>
    <w:rsid w:val="00BA6D34"/>
    <w:rsid w:val="00BA79D7"/>
    <w:rsid w:val="00BB1062"/>
    <w:rsid w:val="00BE2411"/>
    <w:rsid w:val="00BF324F"/>
    <w:rsid w:val="00C373FB"/>
    <w:rsid w:val="00C843C2"/>
    <w:rsid w:val="00C8678D"/>
    <w:rsid w:val="00CC7B52"/>
    <w:rsid w:val="00CD1305"/>
    <w:rsid w:val="00CD4963"/>
    <w:rsid w:val="00CD57E3"/>
    <w:rsid w:val="00CD6B0C"/>
    <w:rsid w:val="00CE3D57"/>
    <w:rsid w:val="00CF2463"/>
    <w:rsid w:val="00CF6925"/>
    <w:rsid w:val="00D0240F"/>
    <w:rsid w:val="00D1385B"/>
    <w:rsid w:val="00D24E50"/>
    <w:rsid w:val="00D33682"/>
    <w:rsid w:val="00D653EF"/>
    <w:rsid w:val="00D82956"/>
    <w:rsid w:val="00DA2FC0"/>
    <w:rsid w:val="00DA6BED"/>
    <w:rsid w:val="00DB4B46"/>
    <w:rsid w:val="00DB5156"/>
    <w:rsid w:val="00DB5B6C"/>
    <w:rsid w:val="00DB5D58"/>
    <w:rsid w:val="00DC2A4E"/>
    <w:rsid w:val="00DD4C9E"/>
    <w:rsid w:val="00DF2170"/>
    <w:rsid w:val="00DF5F47"/>
    <w:rsid w:val="00E347F8"/>
    <w:rsid w:val="00E355BE"/>
    <w:rsid w:val="00E50A38"/>
    <w:rsid w:val="00E50B2C"/>
    <w:rsid w:val="00E56BE7"/>
    <w:rsid w:val="00E60DEE"/>
    <w:rsid w:val="00E65411"/>
    <w:rsid w:val="00E84A48"/>
    <w:rsid w:val="00E93BCC"/>
    <w:rsid w:val="00E96696"/>
    <w:rsid w:val="00EB444C"/>
    <w:rsid w:val="00ED6C06"/>
    <w:rsid w:val="00EE39A3"/>
    <w:rsid w:val="00EE6830"/>
    <w:rsid w:val="00EF7A67"/>
    <w:rsid w:val="00F04696"/>
    <w:rsid w:val="00F065B4"/>
    <w:rsid w:val="00F07A64"/>
    <w:rsid w:val="00F101A4"/>
    <w:rsid w:val="00F10708"/>
    <w:rsid w:val="00F1477C"/>
    <w:rsid w:val="00F2048E"/>
    <w:rsid w:val="00F24B2A"/>
    <w:rsid w:val="00F34344"/>
    <w:rsid w:val="00F46E00"/>
    <w:rsid w:val="00F51A94"/>
    <w:rsid w:val="00F645E4"/>
    <w:rsid w:val="00F962A7"/>
    <w:rsid w:val="00FA1A27"/>
    <w:rsid w:val="00FB116B"/>
    <w:rsid w:val="00FB552F"/>
    <w:rsid w:val="00FC7C50"/>
    <w:rsid w:val="00FD6045"/>
    <w:rsid w:val="00FD783E"/>
    <w:rsid w:val="00FE2E05"/>
    <w:rsid w:val="02775CCB"/>
    <w:rsid w:val="03FA640F"/>
    <w:rsid w:val="0A102AC3"/>
    <w:rsid w:val="0CFC3305"/>
    <w:rsid w:val="0D29243C"/>
    <w:rsid w:val="0ECB3F41"/>
    <w:rsid w:val="0F964179"/>
    <w:rsid w:val="0FA13EA1"/>
    <w:rsid w:val="162F731B"/>
    <w:rsid w:val="17C97C28"/>
    <w:rsid w:val="18676D43"/>
    <w:rsid w:val="1B6330F0"/>
    <w:rsid w:val="1BB158AD"/>
    <w:rsid w:val="1D7F1C04"/>
    <w:rsid w:val="1EB41424"/>
    <w:rsid w:val="22335084"/>
    <w:rsid w:val="23826870"/>
    <w:rsid w:val="27911471"/>
    <w:rsid w:val="281F28FD"/>
    <w:rsid w:val="29284B26"/>
    <w:rsid w:val="29862CCB"/>
    <w:rsid w:val="29E3389C"/>
    <w:rsid w:val="2C8578CE"/>
    <w:rsid w:val="2D786A6C"/>
    <w:rsid w:val="2D825525"/>
    <w:rsid w:val="307F76EE"/>
    <w:rsid w:val="308561E7"/>
    <w:rsid w:val="34204CF4"/>
    <w:rsid w:val="371C7ADF"/>
    <w:rsid w:val="38593326"/>
    <w:rsid w:val="3A4760CA"/>
    <w:rsid w:val="3CDD5A1A"/>
    <w:rsid w:val="3DF14C86"/>
    <w:rsid w:val="40076861"/>
    <w:rsid w:val="40B2123B"/>
    <w:rsid w:val="412F0D80"/>
    <w:rsid w:val="41CB53CF"/>
    <w:rsid w:val="478E1274"/>
    <w:rsid w:val="4CB70C39"/>
    <w:rsid w:val="4F78576C"/>
    <w:rsid w:val="546E0DBC"/>
    <w:rsid w:val="556D17E3"/>
    <w:rsid w:val="55A01182"/>
    <w:rsid w:val="58B47197"/>
    <w:rsid w:val="59401C6C"/>
    <w:rsid w:val="5B2F0F1B"/>
    <w:rsid w:val="5BFA2F31"/>
    <w:rsid w:val="5DEC7DF2"/>
    <w:rsid w:val="61333EA2"/>
    <w:rsid w:val="617B75FE"/>
    <w:rsid w:val="624A351E"/>
    <w:rsid w:val="69406CF0"/>
    <w:rsid w:val="6A072332"/>
    <w:rsid w:val="6A13154E"/>
    <w:rsid w:val="6D4D6B50"/>
    <w:rsid w:val="6DEC7532"/>
    <w:rsid w:val="6DED4437"/>
    <w:rsid w:val="71863313"/>
    <w:rsid w:val="71C70D25"/>
    <w:rsid w:val="723D3110"/>
    <w:rsid w:val="72EA4FFF"/>
    <w:rsid w:val="73D94D40"/>
    <w:rsid w:val="7465798E"/>
    <w:rsid w:val="746C7BF2"/>
    <w:rsid w:val="75095FDC"/>
    <w:rsid w:val="75BC31F4"/>
    <w:rsid w:val="7A5511F7"/>
    <w:rsid w:val="7AD32427"/>
    <w:rsid w:val="7DAF50BE"/>
    <w:rsid w:val="7EDC7492"/>
    <w:rsid w:val="7F472654"/>
    <w:rsid w:val="7F8550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iPriority="99" w:semiHidden="0"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exact"/>
      <w:ind w:firstLine="200" w:firstLineChars="200"/>
      <w:jc w:val="both"/>
    </w:pPr>
    <w:rPr>
      <w:rFonts w:ascii="Times New Roman" w:hAnsi="Times New Roman" w:eastAsia="宋体" w:cs="Times New Roman"/>
      <w:kern w:val="2"/>
      <w:sz w:val="21"/>
      <w:szCs w:val="21"/>
      <w:lang w:val="en-US" w:eastAsia="zh-CN" w:bidi="ar-SA"/>
    </w:rPr>
  </w:style>
  <w:style w:type="paragraph" w:styleId="2">
    <w:name w:val="heading 1"/>
    <w:basedOn w:val="1"/>
    <w:next w:val="1"/>
    <w:link w:val="31"/>
    <w:qFormat/>
    <w:uiPriority w:val="0"/>
    <w:pPr>
      <w:numPr>
        <w:ilvl w:val="0"/>
        <w:numId w:val="1"/>
      </w:numPr>
      <w:adjustRightInd w:val="0"/>
      <w:spacing w:before="50" w:beforeLines="50" w:after="50" w:afterLines="50" w:line="240" w:lineRule="auto"/>
      <w:ind w:firstLineChars="0"/>
      <w:outlineLvl w:val="0"/>
    </w:pPr>
    <w:rPr>
      <w:b/>
      <w:bCs/>
      <w:kern w:val="44"/>
      <w:szCs w:val="44"/>
    </w:rPr>
  </w:style>
  <w:style w:type="paragraph" w:styleId="3">
    <w:name w:val="heading 2"/>
    <w:basedOn w:val="1"/>
    <w:next w:val="1"/>
    <w:link w:val="33"/>
    <w:qFormat/>
    <w:uiPriority w:val="0"/>
    <w:pPr>
      <w:keepNext/>
      <w:keepLines/>
      <w:numPr>
        <w:ilvl w:val="0"/>
        <w:numId w:val="2"/>
      </w:numPr>
      <w:adjustRightInd w:val="0"/>
      <w:ind w:firstLineChars="0"/>
      <w:outlineLvl w:val="1"/>
    </w:pPr>
    <w:rPr>
      <w:b/>
      <w:bCs/>
      <w:szCs w:val="32"/>
    </w:rPr>
  </w:style>
  <w:style w:type="paragraph" w:styleId="4">
    <w:name w:val="heading 3"/>
    <w:basedOn w:val="1"/>
    <w:next w:val="1"/>
    <w:link w:val="21"/>
    <w:qFormat/>
    <w:uiPriority w:val="0"/>
    <w:pPr>
      <w:keepNext/>
      <w:keepLines/>
      <w:spacing w:before="260" w:after="260" w:line="416" w:lineRule="auto"/>
      <w:outlineLvl w:val="2"/>
    </w:pPr>
    <w:rPr>
      <w:b/>
      <w:bCs/>
      <w:sz w:val="32"/>
      <w:szCs w:val="32"/>
    </w:rPr>
  </w:style>
  <w:style w:type="paragraph" w:styleId="5">
    <w:name w:val="heading 4"/>
    <w:basedOn w:val="1"/>
    <w:next w:val="1"/>
    <w:link w:val="28"/>
    <w:qFormat/>
    <w:uiPriority w:val="9"/>
    <w:pPr>
      <w:keepNext/>
      <w:keepLines/>
      <w:spacing w:before="280" w:after="290" w:line="376" w:lineRule="auto"/>
      <w:outlineLvl w:val="3"/>
    </w:pPr>
    <w:rPr>
      <w:rFonts w:ascii="Cambria" w:hAnsi="Cambria"/>
      <w:b/>
      <w:bCs/>
      <w:sz w:val="28"/>
      <w:szCs w:val="28"/>
    </w:rPr>
  </w:style>
  <w:style w:type="character" w:default="1" w:styleId="17">
    <w:name w:val="Default Paragraph Font"/>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qFormat/>
    <w:uiPriority w:val="0"/>
    <w:rPr>
      <w:rFonts w:ascii="黑体"/>
      <w:b/>
      <w:bCs/>
      <w:sz w:val="44"/>
    </w:rPr>
  </w:style>
  <w:style w:type="paragraph" w:styleId="7">
    <w:name w:val="annotation text"/>
    <w:basedOn w:val="1"/>
    <w:semiHidden/>
    <w:unhideWhenUsed/>
    <w:qFormat/>
    <w:uiPriority w:val="99"/>
    <w:pPr>
      <w:jc w:val="left"/>
    </w:pPr>
  </w:style>
  <w:style w:type="paragraph" w:styleId="8">
    <w:name w:val="Body Text Indent"/>
    <w:basedOn w:val="1"/>
    <w:link w:val="26"/>
    <w:qFormat/>
    <w:uiPriority w:val="0"/>
    <w:pPr>
      <w:ind w:left="538" w:hanging="538" w:hangingChars="192"/>
    </w:pPr>
    <w:rPr>
      <w:sz w:val="28"/>
    </w:rPr>
  </w:style>
  <w:style w:type="paragraph" w:styleId="9">
    <w:name w:val="Balloon Text"/>
    <w:basedOn w:val="1"/>
    <w:link w:val="25"/>
    <w:unhideWhenUsed/>
    <w:qFormat/>
    <w:uiPriority w:val="99"/>
    <w:rPr>
      <w:sz w:val="18"/>
      <w:szCs w:val="18"/>
    </w:rPr>
  </w:style>
  <w:style w:type="paragraph" w:styleId="10">
    <w:name w:val="footer"/>
    <w:basedOn w:val="1"/>
    <w:link w:val="30"/>
    <w:unhideWhenUsed/>
    <w:qFormat/>
    <w:uiPriority w:val="99"/>
    <w:pPr>
      <w:tabs>
        <w:tab w:val="center" w:pos="4153"/>
        <w:tab w:val="right" w:pos="8306"/>
      </w:tabs>
      <w:snapToGrid w:val="0"/>
      <w:jc w:val="left"/>
    </w:pPr>
    <w:rPr>
      <w:sz w:val="18"/>
      <w:szCs w:val="18"/>
    </w:rPr>
  </w:style>
  <w:style w:type="paragraph" w:styleId="11">
    <w:name w:val="header"/>
    <w:basedOn w:val="1"/>
    <w:link w:val="32"/>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Subtitle"/>
    <w:basedOn w:val="1"/>
    <w:link w:val="22"/>
    <w:qFormat/>
    <w:uiPriority w:val="0"/>
    <w:pPr>
      <w:jc w:val="center"/>
      <w:outlineLvl w:val="1"/>
    </w:pPr>
    <w:rPr>
      <w:rFonts w:eastAsia="黑体" w:cs="Arial"/>
      <w:b/>
      <w:bCs/>
      <w:kern w:val="28"/>
      <w:sz w:val="32"/>
      <w:szCs w:val="32"/>
    </w:rPr>
  </w:style>
  <w:style w:type="paragraph" w:styleId="13">
    <w:name w:val="Normal (Web)"/>
    <w:basedOn w:val="1"/>
    <w:semiHidden/>
    <w:unhideWhenUsed/>
    <w:qFormat/>
    <w:uiPriority w:val="99"/>
    <w:pPr>
      <w:spacing w:beforeAutospacing="1" w:afterAutospacing="1"/>
      <w:jc w:val="left"/>
    </w:pPr>
    <w:rPr>
      <w:kern w:val="0"/>
      <w:sz w:val="24"/>
    </w:rPr>
  </w:style>
  <w:style w:type="paragraph" w:styleId="14">
    <w:name w:val="Title"/>
    <w:basedOn w:val="1"/>
    <w:next w:val="1"/>
    <w:link w:val="29"/>
    <w:qFormat/>
    <w:uiPriority w:val="10"/>
    <w:pPr>
      <w:spacing w:before="240" w:after="60"/>
      <w:jc w:val="center"/>
      <w:outlineLvl w:val="0"/>
    </w:pPr>
    <w:rPr>
      <w:rFonts w:ascii="Cambria" w:hAnsi="Cambria"/>
      <w:b/>
      <w:bCs/>
      <w:sz w:val="32"/>
      <w:szCs w:val="32"/>
    </w:rPr>
  </w:style>
  <w:style w:type="table" w:styleId="16">
    <w:name w:val="Table Grid"/>
    <w:basedOn w:val="15"/>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8">
    <w:name w:val="Strong"/>
    <w:qFormat/>
    <w:uiPriority w:val="0"/>
    <w:rPr>
      <w:b/>
      <w:bCs/>
    </w:rPr>
  </w:style>
  <w:style w:type="character" w:styleId="19">
    <w:name w:val="Emphasis"/>
    <w:basedOn w:val="17"/>
    <w:qFormat/>
    <w:uiPriority w:val="20"/>
    <w:rPr>
      <w:i/>
    </w:rPr>
  </w:style>
  <w:style w:type="character" w:styleId="20">
    <w:name w:val="Hyperlink"/>
    <w:basedOn w:val="17"/>
    <w:semiHidden/>
    <w:unhideWhenUsed/>
    <w:qFormat/>
    <w:uiPriority w:val="99"/>
    <w:rPr>
      <w:color w:val="0000FF"/>
      <w:u w:val="single"/>
    </w:rPr>
  </w:style>
  <w:style w:type="character" w:customStyle="1" w:styleId="21">
    <w:name w:val="标题 3 字符"/>
    <w:link w:val="4"/>
    <w:qFormat/>
    <w:uiPriority w:val="0"/>
    <w:rPr>
      <w:rFonts w:ascii="Times New Roman" w:hAnsi="Times New Roman"/>
      <w:b/>
      <w:bCs/>
      <w:kern w:val="2"/>
      <w:sz w:val="32"/>
      <w:szCs w:val="32"/>
    </w:rPr>
  </w:style>
  <w:style w:type="character" w:customStyle="1" w:styleId="22">
    <w:name w:val="副标题 字符"/>
    <w:link w:val="12"/>
    <w:qFormat/>
    <w:uiPriority w:val="0"/>
    <w:rPr>
      <w:rFonts w:ascii="Times New Roman" w:hAnsi="Times New Roman" w:eastAsia="黑体" w:cs="Arial"/>
      <w:b/>
      <w:bCs/>
      <w:kern w:val="28"/>
      <w:sz w:val="32"/>
      <w:szCs w:val="32"/>
    </w:rPr>
  </w:style>
  <w:style w:type="character" w:customStyle="1" w:styleId="23">
    <w:name w:val="无间隔 字符"/>
    <w:link w:val="24"/>
    <w:qFormat/>
    <w:locked/>
    <w:uiPriority w:val="1"/>
    <w:rPr>
      <w:rFonts w:ascii="Times New Roman" w:hAnsi="Times New Roman"/>
      <w:sz w:val="21"/>
      <w:lang w:val="en-US" w:eastAsia="zh-CN" w:bidi="ar-SA"/>
    </w:rPr>
  </w:style>
  <w:style w:type="paragraph" w:styleId="24">
    <w:name w:val="No Spacing"/>
    <w:link w:val="23"/>
    <w:qFormat/>
    <w:uiPriority w:val="1"/>
    <w:pPr>
      <w:widowControl w:val="0"/>
      <w:adjustRightInd w:val="0"/>
      <w:jc w:val="both"/>
      <w:textAlignment w:val="bottom"/>
    </w:pPr>
    <w:rPr>
      <w:rFonts w:ascii="Times New Roman" w:hAnsi="Times New Roman" w:eastAsia="宋体" w:cs="Times New Roman"/>
      <w:sz w:val="21"/>
      <w:lang w:val="en-US" w:eastAsia="zh-CN" w:bidi="ar-SA"/>
    </w:rPr>
  </w:style>
  <w:style w:type="character" w:customStyle="1" w:styleId="25">
    <w:name w:val="批注框文本 字符"/>
    <w:link w:val="9"/>
    <w:semiHidden/>
    <w:qFormat/>
    <w:uiPriority w:val="99"/>
    <w:rPr>
      <w:rFonts w:ascii="Times New Roman" w:hAnsi="Times New Roman"/>
      <w:kern w:val="2"/>
      <w:sz w:val="18"/>
      <w:szCs w:val="18"/>
    </w:rPr>
  </w:style>
  <w:style w:type="character" w:customStyle="1" w:styleId="26">
    <w:name w:val="正文文本缩进 字符"/>
    <w:link w:val="8"/>
    <w:qFormat/>
    <w:uiPriority w:val="0"/>
    <w:rPr>
      <w:rFonts w:ascii="Times New Roman" w:hAnsi="Times New Roman"/>
      <w:kern w:val="2"/>
      <w:sz w:val="28"/>
      <w:szCs w:val="24"/>
    </w:rPr>
  </w:style>
  <w:style w:type="character" w:customStyle="1" w:styleId="27">
    <w:name w:val="_Style 22"/>
    <w:qFormat/>
    <w:uiPriority w:val="33"/>
    <w:rPr>
      <w:b/>
      <w:bCs/>
      <w:smallCaps/>
      <w:spacing w:val="5"/>
    </w:rPr>
  </w:style>
  <w:style w:type="character" w:customStyle="1" w:styleId="28">
    <w:name w:val="标题 4 字符"/>
    <w:link w:val="5"/>
    <w:qFormat/>
    <w:uiPriority w:val="9"/>
    <w:rPr>
      <w:rFonts w:ascii="Cambria" w:hAnsi="Cambria" w:eastAsia="宋体" w:cs="Times New Roman"/>
      <w:b/>
      <w:bCs/>
      <w:kern w:val="2"/>
      <w:sz w:val="28"/>
      <w:szCs w:val="28"/>
    </w:rPr>
  </w:style>
  <w:style w:type="character" w:customStyle="1" w:styleId="29">
    <w:name w:val="标题 字符"/>
    <w:link w:val="14"/>
    <w:qFormat/>
    <w:uiPriority w:val="10"/>
    <w:rPr>
      <w:rFonts w:ascii="Cambria" w:hAnsi="Cambria"/>
      <w:b/>
      <w:bCs/>
      <w:kern w:val="2"/>
      <w:sz w:val="32"/>
      <w:szCs w:val="32"/>
    </w:rPr>
  </w:style>
  <w:style w:type="character" w:customStyle="1" w:styleId="30">
    <w:name w:val="页脚 字符"/>
    <w:link w:val="10"/>
    <w:semiHidden/>
    <w:qFormat/>
    <w:uiPriority w:val="99"/>
    <w:rPr>
      <w:rFonts w:ascii="Times New Roman" w:hAnsi="Times New Roman"/>
      <w:kern w:val="2"/>
      <w:sz w:val="18"/>
      <w:szCs w:val="18"/>
    </w:rPr>
  </w:style>
  <w:style w:type="character" w:customStyle="1" w:styleId="31">
    <w:name w:val="标题 1 字符"/>
    <w:link w:val="2"/>
    <w:qFormat/>
    <w:uiPriority w:val="0"/>
    <w:rPr>
      <w:rFonts w:ascii="Times New Roman" w:hAnsi="Times New Roman"/>
      <w:b/>
      <w:bCs/>
      <w:kern w:val="44"/>
      <w:sz w:val="21"/>
      <w:szCs w:val="44"/>
    </w:rPr>
  </w:style>
  <w:style w:type="character" w:customStyle="1" w:styleId="32">
    <w:name w:val="页眉 字符"/>
    <w:link w:val="11"/>
    <w:semiHidden/>
    <w:qFormat/>
    <w:uiPriority w:val="99"/>
    <w:rPr>
      <w:rFonts w:ascii="Times New Roman" w:hAnsi="Times New Roman"/>
      <w:kern w:val="2"/>
      <w:sz w:val="18"/>
      <w:szCs w:val="18"/>
    </w:rPr>
  </w:style>
  <w:style w:type="character" w:customStyle="1" w:styleId="33">
    <w:name w:val="标题 2 字符"/>
    <w:link w:val="3"/>
    <w:qFormat/>
    <w:uiPriority w:val="0"/>
    <w:rPr>
      <w:rFonts w:ascii="Times New Roman" w:hAnsi="Times New Roman"/>
      <w:b/>
      <w:bCs/>
      <w:kern w:val="2"/>
      <w:sz w:val="21"/>
      <w:szCs w:val="32"/>
    </w:rPr>
  </w:style>
  <w:style w:type="paragraph" w:styleId="34">
    <w:name w:val="List Paragraph"/>
    <w:basedOn w:val="1"/>
    <w:qFormat/>
    <w:uiPriority w:val="99"/>
    <w:pPr>
      <w:ind w:firstLine="420"/>
    </w:pPr>
  </w:style>
  <w:style w:type="paragraph" w:customStyle="1" w:styleId="35">
    <w:name w:val="参考文献 正文"/>
    <w:basedOn w:val="1"/>
    <w:qFormat/>
    <w:uiPriority w:val="99"/>
  </w:style>
  <w:style w:type="paragraph" w:customStyle="1" w:styleId="36">
    <w:name w:val="Text of Reference 1"/>
    <w:qFormat/>
    <w:uiPriority w:val="0"/>
    <w:pPr>
      <w:numPr>
        <w:ilvl w:val="0"/>
        <w:numId w:val="3"/>
      </w:numPr>
      <w:spacing w:line="260" w:lineRule="exact"/>
      <w:jc w:val="both"/>
    </w:pPr>
    <w:rPr>
      <w:rFonts w:ascii="Times New Roman" w:hAnsi="Times New Roman" w:eastAsia="宋体" w:cs="Times New Roman"/>
      <w:sz w:val="15"/>
      <w:lang w:val="en-US" w:eastAsia="zh-CN" w:bidi="ar-SA"/>
    </w:rPr>
  </w:style>
  <w:style w:type="paragraph" w:customStyle="1" w:styleId="37">
    <w:name w:val="表注"/>
    <w:basedOn w:val="1"/>
    <w:link w:val="38"/>
    <w:qFormat/>
    <w:uiPriority w:val="0"/>
    <w:pPr>
      <w:widowControl/>
      <w:spacing w:before="50" w:beforeLines="50" w:line="240" w:lineRule="auto"/>
      <w:ind w:firstLine="0" w:firstLineChars="0"/>
      <w:jc w:val="center"/>
    </w:pPr>
    <w:rPr>
      <w:b/>
      <w:sz w:val="18"/>
    </w:rPr>
  </w:style>
  <w:style w:type="character" w:customStyle="1" w:styleId="38">
    <w:name w:val="表注 字符"/>
    <w:basedOn w:val="17"/>
    <w:link w:val="37"/>
    <w:qFormat/>
    <w:uiPriority w:val="0"/>
    <w:rPr>
      <w:rFonts w:ascii="Times New Roman" w:hAnsi="Times New Roman"/>
      <w:b/>
      <w:kern w:val="2"/>
      <w:sz w:val="18"/>
      <w:szCs w:val="21"/>
    </w:rPr>
  </w:style>
  <w:style w:type="table" w:customStyle="1" w:styleId="39">
    <w:name w:val="三线表"/>
    <w:basedOn w:val="15"/>
    <w:qFormat/>
    <w:uiPriority w:val="99"/>
    <w:tblPr>
      <w:tblBorders>
        <w:top w:val="single" w:color="auto" w:sz="12" w:space="0"/>
        <w:bottom w:val="single" w:color="auto" w:sz="12" w:space="0"/>
      </w:tblBorders>
    </w:tblPr>
    <w:tblStylePr w:type="firstRow">
      <w:rPr>
        <w:rFonts w:ascii="Times New Roman" w:hAnsi="Times New Roman" w:eastAsia="宋体"/>
        <w:sz w:val="18"/>
      </w:rPr>
      <w:tcPr>
        <w:tcBorders>
          <w:bottom w:val="single" w:color="auto" w:sz="4" w:space="0"/>
        </w:tcBorders>
      </w:tcPr>
    </w:tblStylePr>
  </w:style>
  <w:style w:type="table" w:customStyle="1" w:styleId="40">
    <w:name w:val="无格式表格 11"/>
    <w:basedOn w:val="15"/>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41">
    <w:name w:val="无格式表格 31"/>
    <w:basedOn w:val="15"/>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42">
    <w:name w:val="无格式表格 41"/>
    <w:basedOn w:val="15"/>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43">
    <w:name w:val="无格式表格 51"/>
    <w:basedOn w:val="15"/>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4">
    <w:name w:val="网格表 1 浅色1"/>
    <w:basedOn w:val="15"/>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45">
    <w:name w:val="网格表 1 浅色 - 着色 11"/>
    <w:basedOn w:val="15"/>
    <w:qFormat/>
    <w:uiPriority w:val="46"/>
    <w:tblPr>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cPr>
        <w:tcBorders>
          <w:bottom w:val="single" w:color="95B3D7" w:themeColor="accent1" w:themeTint="99" w:sz="12" w:space="0"/>
        </w:tcBorders>
      </w:tcPr>
    </w:tblStylePr>
    <w:tblStylePr w:type="lastRow">
      <w:rPr>
        <w:b/>
        <w:bCs/>
      </w:rPr>
      <w:tcPr>
        <w:tcBorders>
          <w:top w:val="double" w:color="95B3D7" w:themeColor="accent1" w:themeTint="99" w:sz="2" w:space="0"/>
        </w:tcBorders>
      </w:tcPr>
    </w:tblStylePr>
    <w:tblStylePr w:type="firstCol">
      <w:rPr>
        <w:b/>
        <w:bCs/>
      </w:rPr>
    </w:tblStylePr>
    <w:tblStylePr w:type="lastCol">
      <w:rPr>
        <w:b/>
        <w:bCs/>
      </w:rPr>
    </w:tblStylePr>
  </w:style>
  <w:style w:type="table" w:customStyle="1" w:styleId="46">
    <w:name w:val="网格表 1 浅色 - 着色 21"/>
    <w:basedOn w:val="15"/>
    <w:qFormat/>
    <w:uiPriority w:val="46"/>
    <w:tblPr>
      <w:tblBorders>
        <w:top w:val="single" w:color="E5B8B7" w:themeColor="accent2" w:themeTint="66" w:sz="4" w:space="0"/>
        <w:left w:val="single" w:color="E5B8B7" w:themeColor="accent2" w:themeTint="66" w:sz="4" w:space="0"/>
        <w:bottom w:val="single" w:color="E5B8B7" w:themeColor="accent2" w:themeTint="66" w:sz="4" w:space="0"/>
        <w:right w:val="single" w:color="E5B8B7" w:themeColor="accent2" w:themeTint="66" w:sz="4" w:space="0"/>
        <w:insideH w:val="single" w:color="E5B8B7" w:themeColor="accent2" w:themeTint="66" w:sz="4" w:space="0"/>
        <w:insideV w:val="single" w:color="E5B8B7" w:themeColor="accent2" w:themeTint="66" w:sz="4" w:space="0"/>
      </w:tblBorders>
    </w:tblPr>
    <w:tblStylePr w:type="firstRow">
      <w:rPr>
        <w:b/>
        <w:bCs/>
      </w:rPr>
      <w:tcPr>
        <w:tcBorders>
          <w:bottom w:val="single" w:color="D99594" w:themeColor="accent2" w:themeTint="99" w:sz="12" w:space="0"/>
        </w:tcBorders>
      </w:tcPr>
    </w:tblStylePr>
    <w:tblStylePr w:type="lastRow">
      <w:rPr>
        <w:b/>
        <w:bCs/>
      </w:rPr>
      <w:tcPr>
        <w:tcBorders>
          <w:top w:val="double" w:color="D99594" w:themeColor="accent2" w:themeTint="99" w:sz="2" w:space="0"/>
        </w:tcBorders>
      </w:tcPr>
    </w:tblStylePr>
    <w:tblStylePr w:type="firstCol">
      <w:rPr>
        <w:b/>
        <w:bCs/>
      </w:rPr>
    </w:tblStylePr>
    <w:tblStylePr w:type="lastCol">
      <w:rPr>
        <w:b/>
        <w:bCs/>
      </w:rPr>
    </w:tblStylePr>
  </w:style>
  <w:style w:type="table" w:customStyle="1" w:styleId="47">
    <w:name w:val="网格表 31"/>
    <w:basedOn w:val="15"/>
    <w:qFormat/>
    <w:uiPriority w:val="48"/>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48">
    <w:name w:val="网格表 3 - 着色 11"/>
    <w:basedOn w:val="15"/>
    <w:qFormat/>
    <w:uiPriority w:val="48"/>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BE5F1" w:themeFill="accent1" w:themeFillTint="33"/>
      </w:tcPr>
    </w:tblStylePr>
    <w:tblStylePr w:type="band1Horz">
      <w:tcPr>
        <w:shd w:val="clear" w:color="auto" w:fill="DBE5F1" w:themeFill="accent1" w:themeFillTint="33"/>
      </w:tcPr>
    </w:tblStylePr>
    <w:tblStylePr w:type="neCell">
      <w:tcPr>
        <w:tcBorders>
          <w:bottom w:val="single" w:color="95B3D7" w:themeColor="accent1" w:themeTint="99" w:sz="4" w:space="0"/>
        </w:tcBorders>
      </w:tcPr>
    </w:tblStylePr>
    <w:tblStylePr w:type="nwCell">
      <w:tcPr>
        <w:tcBorders>
          <w:bottom w:val="single" w:color="95B3D7" w:themeColor="accent1" w:themeTint="99" w:sz="4" w:space="0"/>
        </w:tcBorders>
      </w:tcPr>
    </w:tblStylePr>
    <w:tblStylePr w:type="seCell">
      <w:tcPr>
        <w:tcBorders>
          <w:top w:val="single" w:color="95B3D7" w:themeColor="accent1" w:themeTint="99" w:sz="4" w:space="0"/>
        </w:tcBorders>
      </w:tcPr>
    </w:tblStylePr>
    <w:tblStylePr w:type="swCell">
      <w:tcPr>
        <w:tcBorders>
          <w:top w:val="single" w:color="95B3D7" w:themeColor="accent1" w:themeTint="99" w:sz="4" w:space="0"/>
        </w:tcBorders>
      </w:tcPr>
    </w:tblStylePr>
  </w:style>
  <w:style w:type="table" w:customStyle="1" w:styleId="49">
    <w:name w:val="网格表 3 - 着色 21"/>
    <w:basedOn w:val="15"/>
    <w:qFormat/>
    <w:uiPriority w:val="48"/>
    <w:tblPr>
      <w:tblBorders>
        <w:top w:val="single" w:color="D99594" w:themeColor="accent2" w:themeTint="99" w:sz="4" w:space="0"/>
        <w:left w:val="single" w:color="D99594" w:themeColor="accent2" w:themeTint="99" w:sz="4" w:space="0"/>
        <w:bottom w:val="single" w:color="D99594" w:themeColor="accent2" w:themeTint="99" w:sz="4" w:space="0"/>
        <w:right w:val="single" w:color="D99594" w:themeColor="accent2" w:themeTint="99" w:sz="4" w:space="0"/>
        <w:insideH w:val="single" w:color="D99594" w:themeColor="accent2" w:themeTint="99" w:sz="4" w:space="0"/>
        <w:insideV w:val="single" w:color="D99594"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2DBDB" w:themeFill="accent2" w:themeFillTint="33"/>
      </w:tcPr>
    </w:tblStylePr>
    <w:tblStylePr w:type="band1Horz">
      <w:tcPr>
        <w:shd w:val="clear" w:color="auto" w:fill="F2DBDB" w:themeFill="accent2" w:themeFillTint="33"/>
      </w:tcPr>
    </w:tblStylePr>
    <w:tblStylePr w:type="neCell">
      <w:tcPr>
        <w:tcBorders>
          <w:bottom w:val="single" w:color="D99594" w:themeColor="accent2" w:themeTint="99" w:sz="4" w:space="0"/>
        </w:tcBorders>
      </w:tcPr>
    </w:tblStylePr>
    <w:tblStylePr w:type="nwCell">
      <w:tcPr>
        <w:tcBorders>
          <w:bottom w:val="single" w:color="D99594" w:themeColor="accent2" w:themeTint="99" w:sz="4" w:space="0"/>
        </w:tcBorders>
      </w:tcPr>
    </w:tblStylePr>
    <w:tblStylePr w:type="seCell">
      <w:tcPr>
        <w:tcBorders>
          <w:top w:val="single" w:color="D99594" w:themeColor="accent2" w:themeTint="99" w:sz="4" w:space="0"/>
        </w:tcBorders>
      </w:tcPr>
    </w:tblStylePr>
    <w:tblStylePr w:type="swCell">
      <w:tcPr>
        <w:tcBorders>
          <w:top w:val="single" w:color="D99594" w:themeColor="accent2" w:themeTint="99" w:sz="4" w:space="0"/>
        </w:tcBorders>
      </w:tcPr>
    </w:tblStylePr>
  </w:style>
  <w:style w:type="table" w:customStyle="1" w:styleId="50">
    <w:name w:val="网格表 3 - 着色 31"/>
    <w:basedOn w:val="15"/>
    <w:qFormat/>
    <w:uiPriority w:val="48"/>
    <w:tblPr>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AF1DD" w:themeFill="accent3" w:themeFillTint="33"/>
      </w:tcPr>
    </w:tblStylePr>
    <w:tblStylePr w:type="band1Horz">
      <w:tcPr>
        <w:shd w:val="clear" w:color="auto" w:fill="EAF1DD" w:themeFill="accent3" w:themeFillTint="33"/>
      </w:tcPr>
    </w:tblStylePr>
    <w:tblStylePr w:type="neCell">
      <w:tcPr>
        <w:tcBorders>
          <w:bottom w:val="single" w:color="C2D69B" w:themeColor="accent3" w:themeTint="99" w:sz="4" w:space="0"/>
        </w:tcBorders>
      </w:tcPr>
    </w:tblStylePr>
    <w:tblStylePr w:type="nwCell">
      <w:tcPr>
        <w:tcBorders>
          <w:bottom w:val="single" w:color="C2D69B" w:themeColor="accent3" w:themeTint="99" w:sz="4" w:space="0"/>
        </w:tcBorders>
      </w:tcPr>
    </w:tblStylePr>
    <w:tblStylePr w:type="seCell">
      <w:tcPr>
        <w:tcBorders>
          <w:top w:val="single" w:color="C2D69B" w:themeColor="accent3" w:themeTint="99" w:sz="4" w:space="0"/>
        </w:tcBorders>
      </w:tcPr>
    </w:tblStylePr>
    <w:tblStylePr w:type="swCell">
      <w:tcPr>
        <w:tcBorders>
          <w:top w:val="single" w:color="C2D69B" w:themeColor="accent3" w:themeTint="99" w:sz="4" w:space="0"/>
        </w:tcBorders>
      </w:tcPr>
    </w:tblStylePr>
  </w:style>
  <w:style w:type="table" w:customStyle="1" w:styleId="51">
    <w:name w:val="网格表 3 - 着色 41"/>
    <w:basedOn w:val="15"/>
    <w:qFormat/>
    <w:uiPriority w:val="48"/>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5DFEC" w:themeFill="accent4" w:themeFillTint="33"/>
      </w:tcPr>
    </w:tblStylePr>
    <w:tblStylePr w:type="band1Horz">
      <w:tcPr>
        <w:shd w:val="clear" w:color="auto" w:fill="E5DFEC" w:themeFill="accent4" w:themeFillTint="33"/>
      </w:tcPr>
    </w:tblStylePr>
    <w:tblStylePr w:type="neCell">
      <w:tcPr>
        <w:tcBorders>
          <w:bottom w:val="single" w:color="B2A1C7" w:themeColor="accent4" w:themeTint="99" w:sz="4" w:space="0"/>
        </w:tcBorders>
      </w:tcPr>
    </w:tblStylePr>
    <w:tblStylePr w:type="nwCell">
      <w:tcPr>
        <w:tcBorders>
          <w:bottom w:val="single" w:color="B2A1C7" w:themeColor="accent4" w:themeTint="99" w:sz="4" w:space="0"/>
        </w:tcBorders>
      </w:tcPr>
    </w:tblStylePr>
    <w:tblStylePr w:type="seCell">
      <w:tcPr>
        <w:tcBorders>
          <w:top w:val="single" w:color="B2A1C7" w:themeColor="accent4" w:themeTint="99" w:sz="4" w:space="0"/>
        </w:tcBorders>
      </w:tcPr>
    </w:tblStylePr>
    <w:tblStylePr w:type="swCell">
      <w:tcPr>
        <w:tcBorders>
          <w:top w:val="single" w:color="B2A1C7" w:themeColor="accent4" w:themeTint="99" w:sz="4" w:space="0"/>
        </w:tcBorders>
      </w:tcPr>
    </w:tblStylePr>
  </w:style>
  <w:style w:type="table" w:customStyle="1" w:styleId="52">
    <w:name w:val="清单表 6 彩色1"/>
    <w:basedOn w:val="15"/>
    <w:qFormat/>
    <w:uiPriority w:val="51"/>
    <w:rPr>
      <w:color w:val="000000" w:themeColor="text1"/>
      <w14:textFill>
        <w14:solidFill>
          <w14:schemeClr w14:val="tx1"/>
        </w14:solidFill>
      </w14:textFill>
    </w:rPr>
    <w:tblPr>
      <w:tblBorders>
        <w:top w:val="single" w:color="000000" w:themeColor="text1" w:sz="4" w:space="0"/>
        <w:bottom w:val="single" w:color="000000" w:themeColor="text1" w:sz="4"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53">
    <w:name w:val="网格型浅色1"/>
    <w:basedOn w:val="15"/>
    <w:qFormat/>
    <w:uiPriority w:val="40"/>
    <w:tblPr>
      <w:jc w:val="center"/>
      <w:tblBorders>
        <w:top w:val="single" w:color="auto" w:sz="12" w:space="0"/>
        <w:bottom w:val="single" w:color="auto" w:sz="12" w:space="0"/>
      </w:tblBorders>
    </w:tblPr>
    <w:trPr>
      <w:jc w:val="center"/>
    </w:trPr>
    <w:tcPr>
      <w:vAlign w:val="center"/>
    </w:tcPr>
    <w:tblStylePr w:type="firstRow">
      <w:tcPr>
        <w:tcBorders>
          <w:bottom w:val="single" w:color="auto" w:sz="4" w:space="0"/>
        </w:tcBorders>
      </w:tcPr>
    </w:tblStylePr>
  </w:style>
  <w:style w:type="table" w:customStyle="1" w:styleId="54">
    <w:name w:val="无格式表格 21"/>
    <w:basedOn w:val="15"/>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55">
    <w:name w:val="图注"/>
    <w:basedOn w:val="1"/>
    <w:link w:val="56"/>
    <w:qFormat/>
    <w:uiPriority w:val="0"/>
    <w:pPr>
      <w:spacing w:after="156" w:afterLines="50" w:line="240" w:lineRule="auto"/>
      <w:ind w:firstLine="0" w:firstLineChars="0"/>
      <w:jc w:val="center"/>
    </w:pPr>
    <w:rPr>
      <w:rFonts w:cs="宋体"/>
      <w:b/>
      <w:bCs/>
      <w:sz w:val="18"/>
      <w:szCs w:val="18"/>
    </w:rPr>
  </w:style>
  <w:style w:type="character" w:customStyle="1" w:styleId="56">
    <w:name w:val="图注 字符"/>
    <w:basedOn w:val="17"/>
    <w:link w:val="55"/>
    <w:qFormat/>
    <w:uiPriority w:val="0"/>
    <w:rPr>
      <w:rFonts w:ascii="Times New Roman" w:hAnsi="Times New Roman" w:cs="宋体"/>
      <w:b/>
      <w:bCs/>
      <w:kern w:val="2"/>
      <w:sz w:val="18"/>
      <w:szCs w:val="18"/>
    </w:rPr>
  </w:style>
  <w:style w:type="paragraph" w:customStyle="1" w:styleId="57">
    <w:name w:val="参考文献格式"/>
    <w:basedOn w:val="1"/>
    <w:link w:val="58"/>
    <w:qFormat/>
    <w:uiPriority w:val="0"/>
    <w:pPr>
      <w:numPr>
        <w:ilvl w:val="0"/>
        <w:numId w:val="4"/>
      </w:numPr>
      <w:ind w:firstLineChars="0"/>
    </w:pPr>
  </w:style>
  <w:style w:type="character" w:customStyle="1" w:styleId="58">
    <w:name w:val="参考文献格式 字符"/>
    <w:basedOn w:val="17"/>
    <w:link w:val="57"/>
    <w:qFormat/>
    <w:uiPriority w:val="0"/>
    <w:rPr>
      <w:rFonts w:ascii="Times New Roman" w:hAnsi="Times New Roman"/>
      <w:kern w:val="2"/>
      <w:sz w:val="21"/>
      <w:szCs w:val="21"/>
    </w:rPr>
  </w:style>
  <w:style w:type="paragraph" w:customStyle="1" w:styleId="59">
    <w:name w:val="单行内容样式"/>
    <w:basedOn w:val="1"/>
    <w:link w:val="60"/>
    <w:qFormat/>
    <w:uiPriority w:val="0"/>
    <w:pPr>
      <w:ind w:firstLine="0" w:firstLineChars="0"/>
      <w:jc w:val="center"/>
    </w:pPr>
  </w:style>
  <w:style w:type="character" w:customStyle="1" w:styleId="60">
    <w:name w:val="单行内容样式 字符"/>
    <w:basedOn w:val="17"/>
    <w:link w:val="59"/>
    <w:qFormat/>
    <w:uiPriority w:val="0"/>
    <w:rPr>
      <w:rFonts w:ascii="Times New Roman" w:hAnsi="Times New Roman"/>
      <w:kern w:val="2"/>
      <w:sz w:val="21"/>
      <w:szCs w:val="21"/>
    </w:rPr>
  </w:style>
  <w:style w:type="character" w:styleId="61">
    <w:name w:val="Placeholder Text"/>
    <w:basedOn w:val="17"/>
    <w:unhideWhenUsed/>
    <w:qFormat/>
    <w:uiPriority w:val="99"/>
    <w:rPr>
      <w:color w:val="666666"/>
    </w:rPr>
  </w:style>
  <w:style w:type="paragraph" w:customStyle="1" w:styleId="62">
    <w:name w:val="图片的标题"/>
    <w:basedOn w:val="1"/>
    <w:link w:val="63"/>
    <w:qFormat/>
    <w:uiPriority w:val="0"/>
    <w:pPr>
      <w:spacing w:after="50" w:afterLines="50" w:line="240" w:lineRule="auto"/>
      <w:ind w:firstLine="0" w:firstLineChars="0"/>
      <w:jc w:val="center"/>
    </w:pPr>
    <w:rPr>
      <w:b/>
      <w:bCs/>
      <w:sz w:val="18"/>
      <w:szCs w:val="18"/>
    </w:rPr>
  </w:style>
  <w:style w:type="character" w:customStyle="1" w:styleId="63">
    <w:name w:val="图片的标题 Char"/>
    <w:link w:val="62"/>
    <w:qFormat/>
    <w:uiPriority w:val="0"/>
    <w:rPr>
      <w:rFonts w:hint="default" w:ascii="Times New Roman" w:hAnsi="Times New Roman" w:eastAsia="宋体"/>
      <w:b/>
      <w:bCs/>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A244FF-EFC0-4620-A272-E4AC1F4086EE}">
  <ds:schemaRefs/>
</ds:datastoreItem>
</file>

<file path=docProps/app.xml><?xml version="1.0" encoding="utf-8"?>
<Properties xmlns="http://schemas.openxmlformats.org/officeDocument/2006/extended-properties" xmlns:vt="http://schemas.openxmlformats.org/officeDocument/2006/docPropsVTypes">
  <Template>Normal</Template>
  <Pages>12</Pages>
  <Words>9061</Words>
  <Characters>11794</Characters>
  <Lines>78</Lines>
  <Paragraphs>22</Paragraphs>
  <TotalTime>121</TotalTime>
  <ScaleCrop>false</ScaleCrop>
  <LinksUpToDate>false</LinksUpToDate>
  <CharactersWithSpaces>12382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2012-03-31T05:30:00Z</dcterms:created>
  <dc:creator>wy</dc:creator>
  <cp:lastModifiedBy>白梦</cp:lastModifiedBy>
  <cp:lastPrinted>2025-06-09T01:37:00Z</cp:lastPrinted>
  <dcterms:modified xsi:type="dcterms:W3CDTF">2025-12-30T04:46:12Z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0BB96E1950BF4022B9EC7D1EBE99ABEC_13</vt:lpwstr>
  </property>
  <property fmtid="{D5CDD505-2E9C-101B-9397-08002B2CF9AE}" pid="4" name="commondata">
    <vt:lpwstr>eyJoZGlkIjoiMjZjNGY0ZjFiNTk0MWEwY2U3ODE0NGQ5OTIyYzhiMmQifQ==</vt:lpwstr>
  </property>
  <property fmtid="{D5CDD505-2E9C-101B-9397-08002B2CF9AE}" pid="5" name="KSOTemplateDocerSaveRecord">
    <vt:lpwstr>eyJoZGlkIjoiZTViMGM2YjMyMWIyMTRkNGNiNjAwNzIyNDRiMjQ4ODYiLCJ1c2VySWQiOiIxNTI4MDUxNDk3In0=</vt:lpwstr>
  </property>
</Properties>
</file>