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3310f7cb14f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Journal of Physical Education, Recreation &amp; Dance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 Making of Brilliance (1985)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IEEE Computer Graphics and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"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"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ACM SIGGRAPH Computer Graphics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Waldo - The Jim Henson Hour - The Jim Henson Company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Rotoscoping: From Early Animation to Blockbuster VFX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Understanding motion capture for computer animation and video games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Real Time Mario at the 1992 SCES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76c12d418a4306" /><Relationship Type="http://schemas.openxmlformats.org/officeDocument/2006/relationships/numbering" Target="/word/numbering.xml" Id="R9d01258e01b74043" /><Relationship Type="http://schemas.openxmlformats.org/officeDocument/2006/relationships/settings" Target="/word/settings.xml" Id="R1edb08ab14ae4635" /></Relationships>
</file>