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kj0r6vs05bb" w:id="0"/>
      <w:bookmarkEnd w:id="0"/>
      <w:r w:rsidDel="00000000" w:rsidR="00000000" w:rsidRPr="00000000">
        <w:rPr>
          <w:rtl w:val="0"/>
        </w:rPr>
        <w:t xml:space="preserve">Byte Stream Format for CMAF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Versions: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Initial Draft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Version after Call Nov 11, 2019</w:t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9nndfwbnuxyy" w:id="1"/>
      <w:bookmarkEnd w:id="1"/>
      <w:r w:rsidDel="00000000" w:rsidR="00000000" w:rsidRPr="00000000">
        <w:rPr>
          <w:sz w:val="40"/>
          <w:szCs w:val="40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This specification defines segment formats for implementations that choose to support the CMAF ISO/IEC 23000-19 [CMAF] and CTA WAVE Content Specification [CTA WAVE CONTENT].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CMAF Byte Stream Format is a restriction of the ISO BMFF BYte Stream format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https://www.w3.org/TR/mse-byte-stream-format-isobmff/</w:t>
        </w:r>
      </w:hyperlink>
      <w:r w:rsidDel="00000000" w:rsidR="00000000" w:rsidRPr="00000000">
        <w:rPr>
          <w:rtl w:val="0"/>
        </w:rPr>
        <w:t xml:space="preserve"> [ISO-BMFF-BYTE-STREAM].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It defines the MIME-type parameters used to signal codecs, and provides the necessary format specific definitions for </w:t>
      </w:r>
      <w:hyperlink r:id="rId7">
        <w:r w:rsidDel="00000000" w:rsidR="00000000" w:rsidRPr="00000000">
          <w:rPr>
            <w:color w:val="034575"/>
            <w:u w:val="single"/>
            <w:rtl w:val="0"/>
          </w:rPr>
          <w:t xml:space="preserve">initialization segments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34575"/>
            <w:u w:val="single"/>
            <w:rtl w:val="0"/>
          </w:rPr>
          <w:t xml:space="preserve">media segments</w:t>
        </w:r>
      </w:hyperlink>
      <w:r w:rsidDel="00000000" w:rsidR="00000000" w:rsidRPr="00000000">
        <w:rPr>
          <w:rtl w:val="0"/>
        </w:rPr>
        <w:t xml:space="preserve">, and </w:t>
      </w:r>
      <w:hyperlink r:id="rId9">
        <w:r w:rsidDel="00000000" w:rsidR="00000000" w:rsidRPr="00000000">
          <w:rPr>
            <w:color w:val="034575"/>
            <w:u w:val="single"/>
            <w:rtl w:val="0"/>
          </w:rPr>
          <w:t xml:space="preserve">random access points</w:t>
        </w:r>
      </w:hyperlink>
      <w:r w:rsidDel="00000000" w:rsidR="00000000" w:rsidRPr="00000000">
        <w:rPr>
          <w:rtl w:val="0"/>
        </w:rPr>
        <w:t xml:space="preserve"> required by the </w:t>
      </w:r>
      <w:hyperlink r:id="rId10">
        <w:r w:rsidDel="00000000" w:rsidR="00000000" w:rsidRPr="00000000">
          <w:rPr>
            <w:color w:val="034575"/>
            <w:u w:val="single"/>
            <w:rtl w:val="0"/>
          </w:rPr>
          <w:t xml:space="preserve">byte stream formats section</w:t>
        </w:r>
      </w:hyperlink>
      <w:r w:rsidDel="00000000" w:rsidR="00000000" w:rsidRPr="00000000">
        <w:rPr>
          <w:rtl w:val="0"/>
        </w:rPr>
        <w:t xml:space="preserve"> of the Media Source Extensions spec.</w:t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This specification addresses the requirements here: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https://www.w3.org/TR/media-source/#byte-stream-formats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lineRule="auto"/>
        <w:rPr/>
      </w:pPr>
      <w:bookmarkStart w:colFirst="0" w:colLast="0" w:name="_cuar70j3esph" w:id="2"/>
      <w:bookmarkEnd w:id="2"/>
      <w:r w:rsidDel="00000000" w:rsidR="00000000" w:rsidRPr="00000000">
        <w:rPr>
          <w:rtl w:val="0"/>
        </w:rPr>
        <w:t xml:space="preserve">MIME type Parameters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MIME-types for this specification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conform to the rules outlined for "audio/mp4" and "video/mp4" in </w:t>
      </w:r>
      <w:hyperlink r:id="rId12">
        <w:r w:rsidDel="00000000" w:rsidR="00000000" w:rsidRPr="00000000">
          <w:rPr>
            <w:color w:val="034575"/>
            <w:rtl w:val="0"/>
          </w:rPr>
          <w:t xml:space="preserve">RFC 6381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76" w:lineRule="auto"/>
        <w:ind w:left="-20" w:right="-20" w:firstLine="0"/>
        <w:jc w:val="left"/>
        <w:rPr>
          <w:highlight w:val="green"/>
        </w:rPr>
      </w:pPr>
      <w:r w:rsidDel="00000000" w:rsidR="00000000" w:rsidRPr="00000000">
        <w:rPr>
          <w:rtl w:val="0"/>
        </w:rPr>
        <w:t xml:space="preserve">Examples for appropriate MIME-type parameters for CMAF Media Profiles are for example provided in the CTA WAVE content specification, clause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9fbe9" w:val="clear"/>
        <w:spacing w:after="220" w:before="220" w:lineRule="auto"/>
        <w:rPr>
          <w:color w:val="178217"/>
          <w:highlight w:val="yellow"/>
        </w:rPr>
      </w:pPr>
      <w:r w:rsidDel="00000000" w:rsidR="00000000" w:rsidRPr="00000000">
        <w:rPr>
          <w:color w:val="178217"/>
          <w:highlight w:val="yellow"/>
          <w:rtl w:val="0"/>
        </w:rPr>
        <w:t xml:space="preserve">NOTE</w:t>
      </w:r>
    </w:p>
    <w:p w:rsidR="00000000" w:rsidDel="00000000" w:rsidP="00000000" w:rsidRDefault="00000000" w:rsidRPr="00000000" w14:paraId="0000000E">
      <w:pPr>
        <w:shd w:fill="e9fbe9" w:val="clear"/>
        <w:spacing w:after="220" w:before="22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Implementations </w:t>
      </w:r>
      <w:r w:rsidDel="00000000" w:rsidR="00000000" w:rsidRPr="00000000">
        <w:rPr>
          <w:color w:val="990000"/>
          <w:highlight w:val="yellow"/>
          <w:rtl w:val="0"/>
        </w:rPr>
        <w:t xml:space="preserve">may</w:t>
      </w:r>
      <w:r w:rsidDel="00000000" w:rsidR="00000000" w:rsidRPr="00000000">
        <w:rPr>
          <w:highlight w:val="yellow"/>
          <w:rtl w:val="0"/>
        </w:rPr>
        <w:t xml:space="preserve"> only implement a subset of the codecs and profiles mentioned in CMAF or the CTA WAVE content specification.</w:t>
      </w:r>
    </w:p>
    <w:p w:rsidR="00000000" w:rsidDel="00000000" w:rsidP="00000000" w:rsidRDefault="00000000" w:rsidRPr="00000000" w14:paraId="0000000F">
      <w:pPr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40" w:lineRule="auto"/>
        <w:rPr/>
      </w:pPr>
      <w:bookmarkStart w:colFirst="0" w:colLast="0" w:name="_j1cn899wx4zc" w:id="3"/>
      <w:bookmarkEnd w:id="3"/>
      <w:r w:rsidDel="00000000" w:rsidR="00000000" w:rsidRPr="00000000">
        <w:rPr>
          <w:rtl w:val="0"/>
        </w:rPr>
        <w:t xml:space="preserve">Initialization Segments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agent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run the </w:t>
      </w:r>
      <w:hyperlink r:id="rId13">
        <w:r w:rsidDel="00000000" w:rsidR="00000000" w:rsidRPr="00000000">
          <w:rPr>
            <w:color w:val="034575"/>
            <w:u w:val="single"/>
            <w:rtl w:val="0"/>
          </w:rPr>
          <w:t xml:space="preserve">append error algorithm</w:t>
        </w:r>
      </w:hyperlink>
      <w:r w:rsidDel="00000000" w:rsidR="00000000" w:rsidRPr="00000000">
        <w:rPr>
          <w:rtl w:val="0"/>
        </w:rPr>
        <w:t xml:space="preserve"> if any of the following conditions are met: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 Initialization Segment does not conform to a CMAF header as defined in [CMAF]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 Initialization Segment does not conform to the constraints in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https://www.w3.org/TR/mse-byte-stream-format-isobmff/</w:t>
        </w:r>
      </w:hyperlink>
      <w:r w:rsidDel="00000000" w:rsidR="00000000" w:rsidRPr="00000000">
        <w:rPr>
          <w:rtl w:val="0"/>
        </w:rPr>
        <w:t xml:space="preserve">, clause 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agent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support setting the offset from media composition time to movie presentation time by handling an Edit Box (</w:t>
      </w:r>
      <w:r w:rsidDel="00000000" w:rsidR="00000000" w:rsidRPr="00000000">
        <w:rPr>
          <w:b w:val="1"/>
          <w:rtl w:val="0"/>
        </w:rPr>
        <w:t xml:space="preserve">edts</w:t>
      </w:r>
      <w:r w:rsidDel="00000000" w:rsidR="00000000" w:rsidRPr="00000000">
        <w:rPr>
          <w:rtl w:val="0"/>
        </w:rPr>
        <w:t xml:space="preserve">) containing a single Edit List Box (</w:t>
      </w:r>
      <w:r w:rsidDel="00000000" w:rsidR="00000000" w:rsidRPr="00000000">
        <w:rPr>
          <w:b w:val="1"/>
          <w:rtl w:val="0"/>
        </w:rPr>
        <w:t xml:space="preserve">elst</w:t>
      </w:r>
      <w:r w:rsidDel="00000000" w:rsidR="00000000" w:rsidRPr="00000000">
        <w:rPr>
          <w:rtl w:val="0"/>
        </w:rPr>
        <w:t xml:space="preserve">) that contains a single edit with media rate one. This edit </w:t>
      </w:r>
      <w:r w:rsidDel="00000000" w:rsidR="00000000" w:rsidRPr="00000000">
        <w:rPr>
          <w:color w:val="990000"/>
          <w:rtl w:val="0"/>
        </w:rPr>
        <w:t xml:space="preserve">may</w:t>
      </w:r>
      <w:r w:rsidDel="00000000" w:rsidR="00000000" w:rsidRPr="00000000">
        <w:rPr>
          <w:rtl w:val="0"/>
        </w:rPr>
        <w:t xml:space="preserve"> have a duration of 0 (indicating that it spans all subsequent media) or </w:t>
      </w:r>
      <w:r w:rsidDel="00000000" w:rsidR="00000000" w:rsidRPr="00000000">
        <w:rPr>
          <w:color w:val="990000"/>
          <w:rtl w:val="0"/>
        </w:rPr>
        <w:t xml:space="preserve">may</w:t>
      </w:r>
      <w:r w:rsidDel="00000000" w:rsidR="00000000" w:rsidRPr="00000000">
        <w:rPr>
          <w:rtl w:val="0"/>
        </w:rPr>
        <w:t xml:space="preserve"> have a non-zero duration (indicating the total duration of the movie including fragments).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agent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support codec configurations stored out-of-band in the sample entry, and for codecs which allow codec configurations stored inband in the samples themselves, the user agent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support codec configurations stored inband within the requirements of a CMAF media profile.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 top-level boxes such as </w:t>
      </w:r>
      <w:r w:rsidDel="00000000" w:rsidR="00000000" w:rsidRPr="00000000">
        <w:rPr>
          <w:b w:val="1"/>
          <w:rtl w:val="0"/>
        </w:rPr>
        <w:t xml:space="preserve">pdin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sidx</w:t>
      </w:r>
      <w:r w:rsidDel="00000000" w:rsidR="00000000" w:rsidRPr="00000000">
        <w:rPr>
          <w:rtl w:val="0"/>
        </w:rPr>
        <w:t xml:space="preserve"> are allowed to appear before the </w:t>
      </w:r>
      <w:r w:rsidDel="00000000" w:rsidR="00000000" w:rsidRPr="00000000">
        <w:rPr>
          <w:b w:val="1"/>
          <w:rtl w:val="0"/>
        </w:rPr>
        <w:t xml:space="preserve">moov</w:t>
      </w:r>
      <w:r w:rsidDel="00000000" w:rsidR="00000000" w:rsidRPr="00000000">
        <w:rPr>
          <w:rtl w:val="0"/>
        </w:rPr>
        <w:t xml:space="preserve"> box. These boxes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accepted and ignored by the user agent and are not considered part of the </w:t>
      </w:r>
      <w:hyperlink r:id="rId16">
        <w:r w:rsidDel="00000000" w:rsidR="00000000" w:rsidRPr="00000000">
          <w:rPr>
            <w:color w:val="034575"/>
            <w:rtl w:val="0"/>
          </w:rPr>
          <w:t xml:space="preserve">initialization segment</w:t>
        </w:r>
      </w:hyperlink>
      <w:r w:rsidDel="00000000" w:rsidR="00000000" w:rsidRPr="00000000">
        <w:rPr>
          <w:rtl w:val="0"/>
        </w:rPr>
        <w:t xml:space="preserve"> in this specification.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user agent </w:t>
      </w:r>
      <w:r w:rsidDel="00000000" w:rsidR="00000000" w:rsidRPr="00000000">
        <w:rPr>
          <w:color w:val="990000"/>
          <w:highlight w:val="yellow"/>
          <w:rtl w:val="0"/>
        </w:rPr>
        <w:t xml:space="preserve">must</w:t>
      </w:r>
      <w:r w:rsidDel="00000000" w:rsidR="00000000" w:rsidRPr="00000000">
        <w:rPr>
          <w:highlight w:val="yellow"/>
          <w:rtl w:val="0"/>
        </w:rPr>
        <w:t xml:space="preserve"> source (i.e., extract) attribute values for id, kind, label and language for </w:t>
      </w:r>
      <w:hyperlink r:id="rId17">
        <w:r w:rsidDel="00000000" w:rsidR="00000000" w:rsidRPr="00000000">
          <w:rPr>
            <w:rFonts w:ascii="Consolas" w:cs="Consolas" w:eastAsia="Consolas" w:hAnsi="Consolas"/>
            <w:color w:val="034575"/>
            <w:sz w:val="20"/>
            <w:szCs w:val="20"/>
            <w:highlight w:val="yellow"/>
            <w:rtl w:val="0"/>
          </w:rPr>
          <w:t xml:space="preserve">AudioTrack</w:t>
        </w:r>
      </w:hyperlink>
      <w:r w:rsidDel="00000000" w:rsidR="00000000" w:rsidRPr="00000000">
        <w:rPr>
          <w:highlight w:val="yellow"/>
          <w:rtl w:val="0"/>
        </w:rPr>
        <w:t xml:space="preserve">, </w:t>
      </w:r>
      <w:hyperlink r:id="rId18">
        <w:r w:rsidDel="00000000" w:rsidR="00000000" w:rsidRPr="00000000">
          <w:rPr>
            <w:rFonts w:ascii="Consolas" w:cs="Consolas" w:eastAsia="Consolas" w:hAnsi="Consolas"/>
            <w:color w:val="034575"/>
            <w:sz w:val="20"/>
            <w:szCs w:val="20"/>
            <w:highlight w:val="yellow"/>
            <w:rtl w:val="0"/>
          </w:rPr>
          <w:t xml:space="preserve">VideoTrack</w:t>
        </w:r>
      </w:hyperlink>
      <w:r w:rsidDel="00000000" w:rsidR="00000000" w:rsidRPr="00000000">
        <w:rPr>
          <w:highlight w:val="yellow"/>
          <w:rtl w:val="0"/>
        </w:rPr>
        <w:t xml:space="preserve"> and </w:t>
      </w:r>
      <w:hyperlink r:id="rId19">
        <w:r w:rsidDel="00000000" w:rsidR="00000000" w:rsidRPr="00000000">
          <w:rPr>
            <w:rFonts w:ascii="Consolas" w:cs="Consolas" w:eastAsia="Consolas" w:hAnsi="Consolas"/>
            <w:color w:val="034575"/>
            <w:sz w:val="20"/>
            <w:szCs w:val="20"/>
            <w:highlight w:val="yellow"/>
            <w:rtl w:val="0"/>
          </w:rPr>
          <w:t xml:space="preserve">TextTrack</w:t>
        </w:r>
      </w:hyperlink>
      <w:r w:rsidDel="00000000" w:rsidR="00000000" w:rsidRPr="00000000">
        <w:rPr>
          <w:highlight w:val="yellow"/>
          <w:rtl w:val="0"/>
        </w:rPr>
        <w:t xml:space="preserve"> objects as described for MPEG-4 ISOBMFF in the in-band tracks spec [</w:t>
      </w:r>
      <w:hyperlink r:id="rId20">
        <w:r w:rsidDel="00000000" w:rsidR="00000000" w:rsidRPr="00000000">
          <w:rPr>
            <w:color w:val="034575"/>
            <w:highlight w:val="yellow"/>
            <w:rtl w:val="0"/>
          </w:rPr>
          <w:t xml:space="preserve">INBANDTRACKS</w:t>
        </w:r>
      </w:hyperlink>
      <w:r w:rsidDel="00000000" w:rsidR="00000000" w:rsidRPr="00000000">
        <w:rPr>
          <w:highlight w:val="yellow"/>
          <w:rtl w:val="0"/>
        </w:rPr>
        <w:t xml:space="preserve">] </w:t>
      </w:r>
      <w:r w:rsidDel="00000000" w:rsidR="00000000" w:rsidRPr="00000000">
        <w:rPr>
          <w:highlight w:val="cyan"/>
          <w:rtl w:val="0"/>
        </w:rPr>
        <w:t xml:space="preserve">=&gt;  Check CMAF more carefully</w:t>
      </w:r>
    </w:p>
    <w:p w:rsidR="00000000" w:rsidDel="00000000" w:rsidP="00000000" w:rsidRDefault="00000000" w:rsidRPr="00000000" w14:paraId="00000018">
      <w:pPr>
        <w:pStyle w:val="Heading1"/>
        <w:spacing w:after="240" w:lineRule="auto"/>
        <w:rPr/>
      </w:pPr>
      <w:bookmarkStart w:colFirst="0" w:colLast="0" w:name="_neej88azyhkv" w:id="4"/>
      <w:bookmarkEnd w:id="4"/>
      <w:r w:rsidDel="00000000" w:rsidR="00000000" w:rsidRPr="00000000">
        <w:rPr>
          <w:rtl w:val="0"/>
        </w:rPr>
        <w:t xml:space="preserve">Media Segments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 CMAF media segment is defined in this specification as by CMAF Chunk (as defined in CMAF Spec).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the Segment Type Box is present and contains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‘cmff’: an CMAF media segment is defined in this specification must conform to a CMAF Fragment (as defined in CMAF Spec)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‘cmfs’: an CMAF media segment is defined in this specification must conform to a CMAF Segment (as defined in CMAF Spec)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If the Segment Type Box is not present, the segment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conform to the brands listed in the File Type Box (</w:t>
      </w:r>
      <w:r w:rsidDel="00000000" w:rsidR="00000000" w:rsidRPr="00000000">
        <w:rPr>
          <w:b w:val="1"/>
          <w:rtl w:val="0"/>
        </w:rPr>
        <w:t xml:space="preserve">ftyp</w:t>
      </w:r>
      <w:r w:rsidDel="00000000" w:rsidR="00000000" w:rsidRPr="00000000">
        <w:rPr>
          <w:rtl w:val="0"/>
        </w:rPr>
        <w:t xml:space="preserve">) in the i</w:t>
      </w:r>
      <w:hyperlink r:id="rId21">
        <w:r w:rsidDel="00000000" w:rsidR="00000000" w:rsidRPr="00000000">
          <w:rPr>
            <w:color w:val="034575"/>
            <w:rtl w:val="0"/>
          </w:rPr>
          <w:t xml:space="preserve">nitialization segment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-20" w:right="-20" w:firstLine="0"/>
        <w:rPr/>
      </w:pPr>
      <w:r w:rsidDel="00000000" w:rsidR="00000000" w:rsidRPr="00000000">
        <w:rPr>
          <w:rtl w:val="0"/>
        </w:rPr>
        <w:t xml:space="preserve">Valid top-level boxes defined in </w:t>
      </w:r>
      <w:hyperlink r:id="rId22">
        <w:r w:rsidDel="00000000" w:rsidR="00000000" w:rsidRPr="00000000">
          <w:rPr>
            <w:color w:val="034575"/>
            <w:rtl w:val="0"/>
          </w:rPr>
          <w:t xml:space="preserve">ISO/IEC 14496-12</w:t>
        </w:r>
      </w:hyperlink>
      <w:r w:rsidDel="00000000" w:rsidR="00000000" w:rsidRPr="00000000">
        <w:rPr>
          <w:rtl w:val="0"/>
        </w:rPr>
        <w:t xml:space="preserve"> other than </w:t>
      </w:r>
      <w:r w:rsidDel="00000000" w:rsidR="00000000" w:rsidRPr="00000000">
        <w:rPr>
          <w:b w:val="1"/>
          <w:rtl w:val="0"/>
        </w:rPr>
        <w:t xml:space="preserve">ftyp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moov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styp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moof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mdat</w:t>
      </w:r>
      <w:r w:rsidDel="00000000" w:rsidR="00000000" w:rsidRPr="00000000">
        <w:rPr>
          <w:rtl w:val="0"/>
        </w:rPr>
        <w:t xml:space="preserve"> are allowed to appear between the end of an </w:t>
      </w:r>
      <w:hyperlink r:id="rId23">
        <w:r w:rsidDel="00000000" w:rsidR="00000000" w:rsidRPr="00000000">
          <w:rPr>
            <w:color w:val="034575"/>
            <w:rtl w:val="0"/>
          </w:rPr>
          <w:t xml:space="preserve">initialization segment</w:t>
        </w:r>
      </w:hyperlink>
      <w:r w:rsidDel="00000000" w:rsidR="00000000" w:rsidRPr="00000000">
        <w:rPr>
          <w:rtl w:val="0"/>
        </w:rPr>
        <w:t xml:space="preserve"> or </w:t>
      </w:r>
      <w:hyperlink r:id="rId24">
        <w:r w:rsidDel="00000000" w:rsidR="00000000" w:rsidRPr="00000000">
          <w:rPr>
            <w:color w:val="034575"/>
            <w:rtl w:val="0"/>
          </w:rPr>
          <w:t xml:space="preserve">media segment</w:t>
        </w:r>
      </w:hyperlink>
      <w:r w:rsidDel="00000000" w:rsidR="00000000" w:rsidRPr="00000000">
        <w:rPr>
          <w:rtl w:val="0"/>
        </w:rPr>
        <w:t xml:space="preserve"> and before the beginning of a new </w:t>
      </w:r>
      <w:hyperlink r:id="rId25">
        <w:r w:rsidDel="00000000" w:rsidR="00000000" w:rsidRPr="00000000">
          <w:rPr>
            <w:color w:val="034575"/>
            <w:rtl w:val="0"/>
          </w:rPr>
          <w:t xml:space="preserve">media segment</w:t>
        </w:r>
      </w:hyperlink>
      <w:r w:rsidDel="00000000" w:rsidR="00000000" w:rsidRPr="00000000">
        <w:rPr>
          <w:rtl w:val="0"/>
        </w:rPr>
        <w:t xml:space="preserve">. This in particular includes ‘emsg’ and ‘prft’. These boxes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accepted and ignored by the user agent and are not considered part of the </w:t>
      </w:r>
      <w:hyperlink r:id="rId26">
        <w:r w:rsidDel="00000000" w:rsidR="00000000" w:rsidRPr="00000000">
          <w:rPr>
            <w:color w:val="034575"/>
            <w:rtl w:val="0"/>
          </w:rPr>
          <w:t xml:space="preserve">media segment</w:t>
        </w:r>
      </w:hyperlink>
      <w:r w:rsidDel="00000000" w:rsidR="00000000" w:rsidRPr="00000000">
        <w:rPr>
          <w:rtl w:val="0"/>
        </w:rPr>
        <w:t xml:space="preserve"> in this specification.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user agent </w:t>
      </w:r>
      <w:r w:rsidDel="00000000" w:rsidR="00000000" w:rsidRPr="00000000">
        <w:rPr>
          <w:color w:val="990000"/>
          <w:highlight w:val="white"/>
          <w:rtl w:val="0"/>
        </w:rPr>
        <w:t xml:space="preserve">must</w:t>
      </w:r>
      <w:r w:rsidDel="00000000" w:rsidR="00000000" w:rsidRPr="00000000">
        <w:rPr>
          <w:highlight w:val="white"/>
          <w:rtl w:val="0"/>
        </w:rPr>
        <w:t xml:space="preserve"> run the </w:t>
      </w:r>
      <w:hyperlink r:id="rId27">
        <w:r w:rsidDel="00000000" w:rsidR="00000000" w:rsidRPr="00000000">
          <w:rPr>
            <w:color w:val="034575"/>
            <w:highlight w:val="white"/>
            <w:u w:val="single"/>
            <w:rtl w:val="0"/>
          </w:rPr>
          <w:t xml:space="preserve">append error algorithm</w:t>
        </w:r>
      </w:hyperlink>
      <w:r w:rsidDel="00000000" w:rsidR="00000000" w:rsidRPr="00000000">
        <w:rPr>
          <w:highlight w:val="white"/>
          <w:rtl w:val="0"/>
        </w:rPr>
        <w:t xml:space="preserve"> if any of the following conditions are met: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Media Segment does not conform to a CMAF Chunk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Inband parameter sets are not present in the appropriate samples and parameter sets are not present in the last initialization segment appended.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lineRule="auto"/>
        <w:rPr/>
      </w:pPr>
      <w:bookmarkStart w:colFirst="0" w:colLast="0" w:name="_nmpuhxp48cgo" w:id="5"/>
      <w:bookmarkEnd w:id="5"/>
      <w:r w:rsidDel="00000000" w:rsidR="00000000" w:rsidRPr="00000000">
        <w:rPr>
          <w:rtl w:val="0"/>
        </w:rPr>
        <w:t xml:space="preserve">Random Access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A </w:t>
      </w:r>
      <w:hyperlink r:id="rId28">
        <w:r w:rsidDel="00000000" w:rsidR="00000000" w:rsidRPr="00000000">
          <w:rPr>
            <w:color w:val="034575"/>
            <w:highlight w:val="white"/>
            <w:rtl w:val="0"/>
          </w:rPr>
          <w:t xml:space="preserve">random access point</w:t>
        </w:r>
      </w:hyperlink>
      <w:r w:rsidDel="00000000" w:rsidR="00000000" w:rsidRPr="00000000">
        <w:rPr>
          <w:highlight w:val="white"/>
          <w:rtl w:val="0"/>
        </w:rPr>
        <w:t xml:space="preserve"> as defined in this specification corresponds to a Stream Access Point of type 1, 2 or 3 as defined in Annex I of </w:t>
      </w:r>
      <w:hyperlink r:id="rId29">
        <w:r w:rsidDel="00000000" w:rsidR="00000000" w:rsidRPr="00000000">
          <w:rPr>
            <w:color w:val="034575"/>
            <w:highlight w:val="white"/>
            <w:rtl w:val="0"/>
          </w:rPr>
          <w:t xml:space="preserve">ISO/IEC 14496-12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lineRule="auto"/>
        <w:rPr/>
      </w:pPr>
      <w:bookmarkStart w:colFirst="0" w:colLast="0" w:name="_z376dmyygz2" w:id="6"/>
      <w:bookmarkEnd w:id="6"/>
      <w:r w:rsidDel="00000000" w:rsidR="00000000" w:rsidRPr="00000000">
        <w:rPr>
          <w:rtl w:val="0"/>
        </w:rPr>
        <w:t xml:space="preserve">Compatibility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&lt;Mention compatibility with ISO BMFF Byte Stream format&gt;</w:t>
      </w:r>
    </w:p>
    <w:p w:rsidR="00000000" w:rsidDel="00000000" w:rsidP="00000000" w:rsidRDefault="00000000" w:rsidRPr="00000000" w14:paraId="00000027">
      <w:pPr>
        <w:pStyle w:val="Heading1"/>
        <w:spacing w:after="240" w:lineRule="auto"/>
        <w:rPr/>
      </w:pPr>
      <w:bookmarkStart w:colFirst="0" w:colLast="0" w:name="_4qc6nxw5oolg" w:id="7"/>
      <w:bookmarkEnd w:id="7"/>
      <w:r w:rsidDel="00000000" w:rsidR="00000000" w:rsidRPr="00000000">
        <w:rPr>
          <w:rtl w:val="0"/>
        </w:rPr>
        <w:t xml:space="preserve">Conformance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As well as sections marked as non-normative, all authoring guidelines, diagrams, examples, and notes in this specification are non-normative. Everything else in this specification is normative.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key words </w:t>
      </w:r>
      <w:r w:rsidDel="00000000" w:rsidR="00000000" w:rsidRPr="00000000">
        <w:rPr>
          <w:color w:val="990000"/>
          <w:rtl w:val="0"/>
        </w:rPr>
        <w:t xml:space="preserve">may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color w:val="990000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are to be interpreted as described in [</w:t>
      </w:r>
      <w:hyperlink r:id="rId30">
        <w:r w:rsidDel="00000000" w:rsidR="00000000" w:rsidRPr="00000000">
          <w:rPr>
            <w:color w:val="034575"/>
            <w:rtl w:val="0"/>
          </w:rPr>
          <w:t xml:space="preserve">RFC2119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00" w:line="276" w:lineRule="auto"/>
        <w:ind w:left="0" w:right="0" w:firstLine="0"/>
        <w:jc w:val="left"/>
        <w:rPr>
          <w:sz w:val="40"/>
          <w:szCs w:val="40"/>
        </w:rPr>
      </w:pPr>
      <w:bookmarkStart w:colFirst="0" w:colLast="0" w:name="_nj2asu5s0h" w:id="8"/>
      <w:bookmarkEnd w:id="8"/>
      <w:r w:rsidDel="00000000" w:rsidR="00000000" w:rsidRPr="00000000">
        <w:rPr>
          <w:sz w:val="40"/>
          <w:szCs w:val="40"/>
          <w:rtl w:val="0"/>
        </w:rPr>
        <w:t xml:space="preserve">References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before="280" w:line="288" w:lineRule="auto"/>
        <w:rPr/>
      </w:pPr>
      <w:bookmarkStart w:colFirst="0" w:colLast="0" w:name="_vf3ltxii73pt" w:id="9"/>
      <w:bookmarkEnd w:id="9"/>
      <w:r w:rsidDel="00000000" w:rsidR="00000000" w:rsidRPr="00000000">
        <w:rPr>
          <w:rtl w:val="0"/>
        </w:rPr>
        <w:t xml:space="preserve">A.1 Normative references</w:t>
      </w:r>
    </w:p>
    <w:p w:rsidR="00000000" w:rsidDel="00000000" w:rsidP="00000000" w:rsidRDefault="00000000" w:rsidRPr="00000000" w14:paraId="0000002C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[CMAF]</w:t>
      </w:r>
    </w:p>
    <w:p w:rsidR="00000000" w:rsidDel="00000000" w:rsidP="00000000" w:rsidRDefault="00000000" w:rsidRPr="00000000" w14:paraId="0000002D">
      <w:pPr>
        <w:spacing w:after="120" w:lineRule="auto"/>
        <w:ind w:left="420" w:right="-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ISO/IEC. 23000-19</w:t>
      </w:r>
    </w:p>
    <w:p w:rsidR="00000000" w:rsidDel="00000000" w:rsidP="00000000" w:rsidRDefault="00000000" w:rsidRPr="00000000" w14:paraId="0000002E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[CTA WAVE CONTENT]</w:t>
      </w:r>
    </w:p>
    <w:p w:rsidR="00000000" w:rsidDel="00000000" w:rsidP="00000000" w:rsidRDefault="00000000" w:rsidRPr="00000000" w14:paraId="0000002F">
      <w:pPr>
        <w:spacing w:after="120" w:lineRule="auto"/>
        <w:ind w:left="420" w:right="-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CTA-WAVE 5001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[MEDIA-SOURCE]</w:t>
      </w:r>
    </w:p>
    <w:p w:rsidR="00000000" w:rsidDel="00000000" w:rsidP="00000000" w:rsidRDefault="00000000" w:rsidRPr="00000000" w14:paraId="00000031">
      <w:pPr>
        <w:spacing w:after="120" w:lineRule="auto"/>
        <w:ind w:left="420" w:right="-20" w:firstLine="0"/>
        <w:rPr>
          <w:color w:val="03457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Matthew Wolenetz; Jerry Smith; Mark Watson; Aaron Colwell; Adrian Bateman. W3C. </w:t>
      </w:r>
      <w:hyperlink r:id="rId31">
        <w:r w:rsidDel="00000000" w:rsidR="00000000" w:rsidRPr="00000000">
          <w:rPr>
            <w:color w:val="034575"/>
            <w:highlight w:val="white"/>
            <w:rtl w:val="0"/>
          </w:rPr>
          <w:t xml:space="preserve">Media Source Extensions</w:t>
        </w:r>
      </w:hyperlink>
      <w:r w:rsidDel="00000000" w:rsidR="00000000" w:rsidRPr="00000000">
        <w:rPr>
          <w:highlight w:val="white"/>
          <w:rtl w:val="0"/>
        </w:rPr>
        <w:t xml:space="preserve">. 5 July 2016. W3C Candidate Recommendation. URL: </w:t>
      </w:r>
      <w:hyperlink r:id="rId32">
        <w:r w:rsidDel="00000000" w:rsidR="00000000" w:rsidRPr="00000000">
          <w:rPr>
            <w:color w:val="034575"/>
            <w:highlight w:val="white"/>
            <w:rtl w:val="0"/>
          </w:rPr>
          <w:t xml:space="preserve">https://www.w3.org/TR/media-source/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[ISO-BMFF-BYTE-STREAM]</w:t>
      </w:r>
    </w:p>
    <w:p w:rsidR="00000000" w:rsidDel="00000000" w:rsidP="00000000" w:rsidRDefault="00000000" w:rsidRPr="00000000" w14:paraId="00000033">
      <w:pPr>
        <w:spacing w:after="120" w:lineRule="auto"/>
        <w:ind w:left="420" w:right="-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Matthew Wolenetz; Jerry Smith; Mark Watson; Aaron Colwell; Adrian Bateman. W3C. </w:t>
      </w: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ISO BMFF Byte Stream Format</w:t>
        </w:r>
      </w:hyperlink>
      <w:r w:rsidDel="00000000" w:rsidR="00000000" w:rsidRPr="00000000">
        <w:rPr>
          <w:highlight w:val="white"/>
          <w:rtl w:val="0"/>
        </w:rPr>
        <w:t xml:space="preserve">. 6 October 2016. W3C Candidate Recommendation. URL: https://www.w3.org/TR/mse-byte-stream-format-isobmff/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[RFC2119]</w:t>
      </w:r>
    </w:p>
    <w:p w:rsidR="00000000" w:rsidDel="00000000" w:rsidP="00000000" w:rsidRDefault="00000000" w:rsidRPr="00000000" w14:paraId="00000035">
      <w:pPr>
        <w:spacing w:after="120" w:lineRule="auto"/>
        <w:ind w:left="420" w:right="-20" w:firstLine="0"/>
        <w:rPr>
          <w:color w:val="03457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S. Bradner. IETF. </w:t>
      </w:r>
      <w:hyperlink r:id="rId34">
        <w:r w:rsidDel="00000000" w:rsidR="00000000" w:rsidRPr="00000000">
          <w:rPr>
            <w:color w:val="034575"/>
            <w:highlight w:val="white"/>
            <w:rtl w:val="0"/>
          </w:rPr>
          <w:t xml:space="preserve">Key words for use in RFCs to Indicate Requirement Levels</w:t>
        </w:r>
      </w:hyperlink>
      <w:r w:rsidDel="00000000" w:rsidR="00000000" w:rsidRPr="00000000">
        <w:rPr>
          <w:highlight w:val="white"/>
          <w:rtl w:val="0"/>
        </w:rPr>
        <w:t xml:space="preserve">. March 1997. Best Current Practice. URL: </w:t>
      </w:r>
      <w:hyperlink r:id="rId35">
        <w:r w:rsidDel="00000000" w:rsidR="00000000" w:rsidRPr="00000000">
          <w:rPr>
            <w:color w:val="034575"/>
            <w:highlight w:val="white"/>
            <w:rtl w:val="0"/>
          </w:rPr>
          <w:t xml:space="preserve">https://tools.ietf.org/html/rfc2119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before="280" w:line="288" w:lineRule="auto"/>
        <w:rPr/>
      </w:pPr>
      <w:bookmarkStart w:colFirst="0" w:colLast="0" w:name="_eh34xrpljjb" w:id="10"/>
      <w:bookmarkEnd w:id="10"/>
      <w:r w:rsidDel="00000000" w:rsidR="00000000" w:rsidRPr="00000000">
        <w:rPr>
          <w:rtl w:val="0"/>
        </w:rPr>
        <w:t xml:space="preserve">A.2 Informative references</w:t>
      </w:r>
    </w:p>
    <w:p w:rsidR="00000000" w:rsidDel="00000000" w:rsidP="00000000" w:rsidRDefault="00000000" w:rsidRPr="00000000" w14:paraId="00000037">
      <w:pPr>
        <w:spacing w:line="28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[INBANDTRACKS]</w:t>
      </w:r>
    </w:p>
    <w:p w:rsidR="00000000" w:rsidDel="00000000" w:rsidP="00000000" w:rsidRDefault="00000000" w:rsidRPr="00000000" w14:paraId="00000038">
      <w:pPr>
        <w:spacing w:after="120" w:lineRule="auto"/>
        <w:ind w:left="420" w:right="-20" w:firstLine="0"/>
        <w:rPr>
          <w:color w:val="034575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Bob Lund; Silvia Pfeiffer. W3C. </w:t>
      </w:r>
      <w:hyperlink r:id="rId36">
        <w:r w:rsidDel="00000000" w:rsidR="00000000" w:rsidRPr="00000000">
          <w:rPr>
            <w:color w:val="034575"/>
            <w:highlight w:val="white"/>
            <w:rtl w:val="0"/>
          </w:rPr>
          <w:t xml:space="preserve">Sourcing In-band Media Resource Tracks from Media Containers into HTML</w:t>
        </w:r>
      </w:hyperlink>
      <w:r w:rsidDel="00000000" w:rsidR="00000000" w:rsidRPr="00000000">
        <w:rPr>
          <w:highlight w:val="white"/>
          <w:rtl w:val="0"/>
        </w:rPr>
        <w:t xml:space="preserve">. URL: </w:t>
      </w:r>
      <w:hyperlink r:id="rId37">
        <w:r w:rsidDel="00000000" w:rsidR="00000000" w:rsidRPr="00000000">
          <w:rPr>
            <w:color w:val="034575"/>
            <w:highlight w:val="white"/>
            <w:rtl w:val="0"/>
          </w:rPr>
          <w:t xml:space="preserve">https://dev.w3.org/html5/html-sourcing-inband-tracks/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.org/TR/mse-byte-stream-format-isobmff/#bib-INBANDTRACKS" TargetMode="External"/><Relationship Id="rId22" Type="http://schemas.openxmlformats.org/officeDocument/2006/relationships/hyperlink" Target="http://standards.iso.org/ittf/PubliclyAvailableStandards/c061988_ISO_IEC_14496-12_2012.zip" TargetMode="External"/><Relationship Id="rId21" Type="http://schemas.openxmlformats.org/officeDocument/2006/relationships/hyperlink" Target="https://www.w3.org/TR/media-source/#init-segment" TargetMode="External"/><Relationship Id="rId24" Type="http://schemas.openxmlformats.org/officeDocument/2006/relationships/hyperlink" Target="https://www.w3.org/TR/media-source/#media-segment" TargetMode="External"/><Relationship Id="rId23" Type="http://schemas.openxmlformats.org/officeDocument/2006/relationships/hyperlink" Target="https://www.w3.org/TR/media-source/#init-seg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TR/media-source/#random-access-point" TargetMode="External"/><Relationship Id="rId26" Type="http://schemas.openxmlformats.org/officeDocument/2006/relationships/hyperlink" Target="https://www.w3.org/TR/media-source/#media-segment" TargetMode="External"/><Relationship Id="rId25" Type="http://schemas.openxmlformats.org/officeDocument/2006/relationships/hyperlink" Target="https://www.w3.org/TR/media-source/#media-segment" TargetMode="External"/><Relationship Id="rId28" Type="http://schemas.openxmlformats.org/officeDocument/2006/relationships/hyperlink" Target="https://www.w3.org/TR/media-source/#random-access-point" TargetMode="External"/><Relationship Id="rId27" Type="http://schemas.openxmlformats.org/officeDocument/2006/relationships/hyperlink" Target="https://www.w3.org/TR/media-source/#sourcebuffer-append-err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.org/TR/mse-byte-stream-format-isobmff/" TargetMode="External"/><Relationship Id="rId29" Type="http://schemas.openxmlformats.org/officeDocument/2006/relationships/hyperlink" Target="http://standards.iso.org/ittf/PubliclyAvailableStandards/c061988_ISO_IEC_14496-12_2012.zip" TargetMode="External"/><Relationship Id="rId7" Type="http://schemas.openxmlformats.org/officeDocument/2006/relationships/hyperlink" Target="https://www.w3.org/TR/media-source/#init-segment" TargetMode="External"/><Relationship Id="rId8" Type="http://schemas.openxmlformats.org/officeDocument/2006/relationships/hyperlink" Target="https://www.w3.org/TR/media-source/#media-segment" TargetMode="External"/><Relationship Id="rId31" Type="http://schemas.openxmlformats.org/officeDocument/2006/relationships/hyperlink" Target="https://www.w3.org/TR/media-source/" TargetMode="External"/><Relationship Id="rId30" Type="http://schemas.openxmlformats.org/officeDocument/2006/relationships/hyperlink" Target="https://www.w3.org/TR/mse-byte-stream-format-isobmff/#bib-RFC2119" TargetMode="External"/><Relationship Id="rId11" Type="http://schemas.openxmlformats.org/officeDocument/2006/relationships/hyperlink" Target="https://www.w3.org/TR/media-source/#byte-stream-formats" TargetMode="External"/><Relationship Id="rId33" Type="http://schemas.openxmlformats.org/officeDocument/2006/relationships/hyperlink" Target="https://www.w3.org/TR/mse-byte-stream-format-isobmff/" TargetMode="External"/><Relationship Id="rId10" Type="http://schemas.openxmlformats.org/officeDocument/2006/relationships/hyperlink" Target="https://www.w3.org/TR/media-source/#byte-stream-formats" TargetMode="External"/><Relationship Id="rId32" Type="http://schemas.openxmlformats.org/officeDocument/2006/relationships/hyperlink" Target="https://www.w3.org/TR/media-source/" TargetMode="External"/><Relationship Id="rId13" Type="http://schemas.openxmlformats.org/officeDocument/2006/relationships/hyperlink" Target="https://www.w3.org/TR/media-source/#sourcebuffer-append-error" TargetMode="External"/><Relationship Id="rId35" Type="http://schemas.openxmlformats.org/officeDocument/2006/relationships/hyperlink" Target="https://tools.ietf.org/html/rfc2119" TargetMode="External"/><Relationship Id="rId12" Type="http://schemas.openxmlformats.org/officeDocument/2006/relationships/hyperlink" Target="http://tools.ietf.org/html/rfc6381" TargetMode="External"/><Relationship Id="rId34" Type="http://schemas.openxmlformats.org/officeDocument/2006/relationships/hyperlink" Target="https://tools.ietf.org/html/rfc2119" TargetMode="External"/><Relationship Id="rId15" Type="http://schemas.openxmlformats.org/officeDocument/2006/relationships/hyperlink" Target="https://www.w3.org/TR/mse-byte-stream-format-isobmff/" TargetMode="External"/><Relationship Id="rId37" Type="http://schemas.openxmlformats.org/officeDocument/2006/relationships/hyperlink" Target="https://dev.w3.org/html5/html-sourcing-inband-tracks/" TargetMode="External"/><Relationship Id="rId14" Type="http://schemas.openxmlformats.org/officeDocument/2006/relationships/hyperlink" Target="https://www.w3.org/TR/mse-byte-stream-format-isobmff/" TargetMode="External"/><Relationship Id="rId36" Type="http://schemas.openxmlformats.org/officeDocument/2006/relationships/hyperlink" Target="https://dev.w3.org/html5/html-sourcing-inband-tracks/" TargetMode="External"/><Relationship Id="rId17" Type="http://schemas.openxmlformats.org/officeDocument/2006/relationships/hyperlink" Target="https://www.w3.org/TR/html51/semantics-embedded-content.html#audiotrack-audiotrack" TargetMode="External"/><Relationship Id="rId16" Type="http://schemas.openxmlformats.org/officeDocument/2006/relationships/hyperlink" Target="https://www.w3.org/TR/media-source/#init-segment" TargetMode="External"/><Relationship Id="rId19" Type="http://schemas.openxmlformats.org/officeDocument/2006/relationships/hyperlink" Target="https://www.w3.org/TR/html51/semantics-embedded-content.html#texttrack-texttrack" TargetMode="External"/><Relationship Id="rId18" Type="http://schemas.openxmlformats.org/officeDocument/2006/relationships/hyperlink" Target="https://www.w3.org/TR/html51/semantics-embedded-content.html#videotrack-videotr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