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377440" cy="2502204"/>
            <wp:docPr id="1" name="Picture 1"/>
            <wp:cNvGraphicFramePr>
              <a:graphicFrameLocks noChangeAspect="1"/>
            </wp:cNvGraphicFramePr>
            <a:graphic>
              <a:graphicData uri="http://schemas.openxmlformats.org/drawingml/2006/picture">
                <pic:pic>
                  <pic:nvPicPr>
                    <pic:cNvPr id="0" name="cover_hero.jpg"/>
                    <pic:cNvPicPr/>
                  </pic:nvPicPr>
                  <pic:blipFill>
                    <a:blip r:embed="rId10"/>
                    <a:stretch>
                      <a:fillRect/>
                    </a:stretch>
                  </pic:blipFill>
                  <pic:spPr>
                    <a:xfrm>
                      <a:off x="0" y="0"/>
                      <a:ext cx="2377440" cy="2502204"/>
                    </a:xfrm>
                    <a:prstGeom prst="rect"/>
                  </pic:spPr>
                </pic:pic>
              </a:graphicData>
            </a:graphic>
          </wp:inline>
        </w:drawing>
      </w:r>
    </w:p>
    <w:p/>
    <w:p>
      <w:pPr>
        <w:jc w:val="center"/>
      </w:pPr>
      <w:r>
        <w:rPr>
          <w:b/>
          <w:color w:val="1B2A4A"/>
          <w:sz w:val="56"/>
        </w:rPr>
        <w:t>BUSINESS REQUIREMENTS DOCUMENT</w:t>
      </w:r>
    </w:p>
    <w:p>
      <w:pPr>
        <w:jc w:val="center"/>
      </w:pPr>
      <w:r>
        <w:rPr>
          <w:b/>
          <w:color w:val="C73E6B"/>
          <w:sz w:val="30"/>
        </w:rPr>
        <w:t>BRD Hospital — Gynaecology, Pregnancy &amp; Maternity Care Platform</w:t>
      </w:r>
    </w:p>
    <w:p>
      <w:pPr>
        <w:jc w:val="center"/>
      </w:pPr>
      <w:r>
        <w:rPr>
          <w:color w:val="555555"/>
          <w:sz w:val="24"/>
        </w:rPr>
        <w:t>Marketing Website · Online Appointment Booking · Admin Dashboard</w:t>
      </w:r>
    </w:p>
    <w:p/>
    <w:p/>
    <w:p/>
    <w:tbl>
      <w:tblPr>
        <w:tblW w:type="auto" w:w="0"/>
        <w:jc w:val="center"/>
        <w:tblLook w:firstColumn="1" w:firstRow="1" w:lastColumn="0" w:lastRow="0" w:noHBand="0" w:noVBand="1" w:val="04A0"/>
      </w:tblPr>
      <w:tblGrid>
        <w:gridCol w:w="4873"/>
        <w:gridCol w:w="4873"/>
      </w:tblGrid>
      <w:tr>
        <w:tc>
          <w:tcPr>
            <w:tcW w:type="dxa" w:w="2592"/>
          </w:tcPr>
          <w:p>
            <w:r>
              <w:rPr>
                <w:b/>
                <w:sz w:val="22"/>
              </w:rPr>
              <w:t>Document Type</w:t>
            </w:r>
          </w:p>
        </w:tc>
        <w:tc>
          <w:tcPr>
            <w:tcW w:type="dxa" w:w="6048"/>
          </w:tcPr>
          <w:p>
            <w:r>
              <w:rPr>
                <w:sz w:val="22"/>
              </w:rPr>
              <w:t>Business Requirements Document (BRD)</w:t>
            </w:r>
          </w:p>
        </w:tc>
      </w:tr>
      <w:tr>
        <w:tc>
          <w:tcPr>
            <w:tcW w:type="dxa" w:w="2592"/>
          </w:tcPr>
          <w:p>
            <w:r>
              <w:rPr>
                <w:b/>
                <w:sz w:val="22"/>
              </w:rPr>
              <w:t>Project</w:t>
            </w:r>
          </w:p>
        </w:tc>
        <w:tc>
          <w:tcPr>
            <w:tcW w:type="dxa" w:w="6048"/>
          </w:tcPr>
          <w:p>
            <w:r>
              <w:rPr>
                <w:sz w:val="22"/>
              </w:rPr>
              <w:t>BRD Hospital — Gynaecologist &amp; Maternity Care Website</w:t>
            </w:r>
          </w:p>
        </w:tc>
      </w:tr>
      <w:tr>
        <w:tc>
          <w:tcPr>
            <w:tcW w:type="dxa" w:w="2592"/>
          </w:tcPr>
          <w:p>
            <w:r>
              <w:rPr>
                <w:b/>
                <w:sz w:val="22"/>
              </w:rPr>
              <w:t>Prepared By</w:t>
            </w:r>
          </w:p>
        </w:tc>
        <w:tc>
          <w:tcPr>
            <w:tcW w:type="dxa" w:w="6048"/>
          </w:tcPr>
          <w:p>
            <w:r>
              <w:rPr>
                <w:sz w:val="22"/>
              </w:rPr>
              <w:t>Craftlanee (Development Partner)</w:t>
            </w:r>
          </w:p>
        </w:tc>
      </w:tr>
      <w:tr>
        <w:tc>
          <w:tcPr>
            <w:tcW w:type="dxa" w:w="2592"/>
          </w:tcPr>
          <w:p>
            <w:r>
              <w:rPr>
                <w:b/>
                <w:sz w:val="22"/>
              </w:rPr>
              <w:t>Version</w:t>
            </w:r>
          </w:p>
        </w:tc>
        <w:tc>
          <w:tcPr>
            <w:tcW w:type="dxa" w:w="6048"/>
          </w:tcPr>
          <w:p>
            <w:r>
              <w:rPr>
                <w:sz w:val="22"/>
              </w:rPr>
              <w:t>1.0</w:t>
            </w:r>
          </w:p>
        </w:tc>
      </w:tr>
      <w:tr>
        <w:tc>
          <w:tcPr>
            <w:tcW w:type="dxa" w:w="2592"/>
          </w:tcPr>
          <w:p>
            <w:r>
              <w:rPr>
                <w:b/>
                <w:sz w:val="22"/>
              </w:rPr>
              <w:t>Date</w:t>
            </w:r>
          </w:p>
        </w:tc>
        <w:tc>
          <w:tcPr>
            <w:tcW w:type="dxa" w:w="6048"/>
          </w:tcPr>
          <w:p>
            <w:r>
              <w:rPr>
                <w:sz w:val="22"/>
              </w:rPr>
              <w:t>10 September 2026</w:t>
            </w:r>
          </w:p>
        </w:tc>
      </w:tr>
    </w:tbl>
    <w:p/>
    <w:p>
      <w:pPr>
        <w:jc w:val="center"/>
      </w:pPr>
      <w:r>
        <w:drawing>
          <wp:inline xmlns:a="http://schemas.openxmlformats.org/drawingml/2006/main" xmlns:pic="http://schemas.openxmlformats.org/drawingml/2006/picture">
            <wp:extent cx="1280160" cy="272034"/>
            <wp:docPr id="2" name="Picture 2"/>
            <wp:cNvGraphicFramePr>
              <a:graphicFrameLocks noChangeAspect="1"/>
            </wp:cNvGraphicFramePr>
            <a:graphic>
              <a:graphicData uri="http://schemas.openxmlformats.org/drawingml/2006/picture">
                <pic:pic>
                  <pic:nvPicPr>
                    <pic:cNvPr id="0" name="craftlanee_logo.png"/>
                    <pic:cNvPicPr/>
                  </pic:nvPicPr>
                  <pic:blipFill>
                    <a:blip r:embed="rId11"/>
                    <a:stretch>
                      <a:fillRect/>
                    </a:stretch>
                  </pic:blipFill>
                  <pic:spPr>
                    <a:xfrm>
                      <a:off x="0" y="0"/>
                      <a:ext cx="1280160" cy="272034"/>
                    </a:xfrm>
                    <a:prstGeom prst="rect"/>
                  </pic:spPr>
                </pic:pic>
              </a:graphicData>
            </a:graphic>
          </wp:inline>
        </w:drawing>
      </w:r>
    </w:p>
    <w:p>
      <w:r>
        <w:br w:type="page"/>
      </w:r>
    </w:p>
    <w:p>
      <w:pPr>
        <w:pStyle w:val="Heading1"/>
      </w:pPr>
      <w:r>
        <w:t>Document Control</w:t>
      </w:r>
    </w:p>
    <w:p>
      <w:pPr>
        <w:pStyle w:val="Heading2"/>
      </w:pPr>
      <w:r>
        <w:t>Revision History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296"/>
            <w:shd w:fill="1B2A4A"/>
          </w:tcPr>
          <w:p>
            <w:r/>
            <w:r>
              <w:rPr>
                <w:b/>
                <w:color w:val="FFFFFF"/>
                <w:sz w:val="20"/>
              </w:rPr>
              <w:t>Version</w:t>
            </w:r>
          </w:p>
        </w:tc>
        <w:tc>
          <w:tcPr>
            <w:tcW w:type="dxa" w:w="1584"/>
            <w:shd w:fill="1B2A4A"/>
          </w:tcPr>
          <w:p>
            <w:r/>
            <w:r>
              <w:rPr>
                <w:b/>
                <w:color w:val="FFFFFF"/>
                <w:sz w:val="20"/>
              </w:rPr>
              <w:t>Date</w:t>
            </w:r>
          </w:p>
        </w:tc>
        <w:tc>
          <w:tcPr>
            <w:tcW w:type="dxa" w:w="1872"/>
            <w:shd w:fill="1B2A4A"/>
          </w:tcPr>
          <w:p>
            <w:r/>
            <w:r>
              <w:rPr>
                <w:b/>
                <w:color w:val="FFFFFF"/>
                <w:sz w:val="20"/>
              </w:rPr>
              <w:t>Author</w:t>
            </w:r>
          </w:p>
        </w:tc>
        <w:tc>
          <w:tcPr>
            <w:tcW w:type="dxa" w:w="3888"/>
            <w:shd w:fill="1B2A4A"/>
          </w:tcPr>
          <w:p>
            <w:r/>
            <w:r>
              <w:rPr>
                <w:b/>
                <w:color w:val="FFFFFF"/>
                <w:sz w:val="20"/>
              </w:rPr>
              <w:t>Description</w:t>
            </w:r>
          </w:p>
        </w:tc>
      </w:tr>
      <w:tr>
        <w:tc>
          <w:tcPr>
            <w:tcW w:type="dxa" w:w="1296"/>
          </w:tcPr>
          <w:p>
            <w:r/>
            <w:r>
              <w:rPr>
                <w:sz w:val="20"/>
              </w:rPr>
              <w:t>0.1</w:t>
            </w:r>
          </w:p>
        </w:tc>
        <w:tc>
          <w:tcPr>
            <w:tcW w:type="dxa" w:w="1584"/>
          </w:tcPr>
          <w:p>
            <w:r/>
            <w:r>
              <w:rPr>
                <w:sz w:val="20"/>
              </w:rPr>
              <w:t>01 Sep 2026</w:t>
            </w:r>
          </w:p>
        </w:tc>
        <w:tc>
          <w:tcPr>
            <w:tcW w:type="dxa" w:w="1872"/>
          </w:tcPr>
          <w:p>
            <w:r/>
            <w:r>
              <w:rPr>
                <w:sz w:val="20"/>
              </w:rPr>
              <w:t>Craftlanee</w:t>
            </w:r>
          </w:p>
        </w:tc>
        <w:tc>
          <w:tcPr>
            <w:tcW w:type="dxa" w:w="3888"/>
          </w:tcPr>
          <w:p>
            <w:r/>
            <w:r>
              <w:rPr>
                <w:sz w:val="20"/>
              </w:rPr>
              <w:t>Initial draft based on delivered build</w:t>
            </w:r>
          </w:p>
        </w:tc>
      </w:tr>
      <w:tr>
        <w:tc>
          <w:tcPr>
            <w:tcW w:type="dxa" w:w="1296"/>
          </w:tcPr>
          <w:p>
            <w:r/>
            <w:r>
              <w:rPr>
                <w:sz w:val="20"/>
              </w:rPr>
              <w:t>1.0</w:t>
            </w:r>
          </w:p>
        </w:tc>
        <w:tc>
          <w:tcPr>
            <w:tcW w:type="dxa" w:w="1584"/>
          </w:tcPr>
          <w:p>
            <w:r/>
            <w:r>
              <w:rPr>
                <w:sz w:val="20"/>
              </w:rPr>
              <w:t>10 Sep 2026</w:t>
            </w:r>
          </w:p>
        </w:tc>
        <w:tc>
          <w:tcPr>
            <w:tcW w:type="dxa" w:w="1872"/>
          </w:tcPr>
          <w:p>
            <w:r/>
            <w:r>
              <w:rPr>
                <w:sz w:val="20"/>
              </w:rPr>
              <w:t>Craftlanee</w:t>
            </w:r>
          </w:p>
        </w:tc>
        <w:tc>
          <w:tcPr>
            <w:tcW w:type="dxa" w:w="3888"/>
          </w:tcPr>
          <w:p>
            <w:r/>
            <w:r>
              <w:rPr>
                <w:sz w:val="20"/>
              </w:rPr>
              <w:t>Finalized BRD covering full feature set, tech stack, and data model</w:t>
            </w:r>
          </w:p>
        </w:tc>
      </w:tr>
    </w:tbl>
    <w:p>
      <w:pPr>
        <w:spacing w:after="80"/>
      </w:pPr>
    </w:p>
    <w:p>
      <w:pPr>
        <w:pStyle w:val="Heading2"/>
      </w:pPr>
      <w:r>
        <w:t>Approval</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304"/>
            <w:shd w:fill="1B2A4A"/>
          </w:tcPr>
          <w:p>
            <w:r/>
            <w:r>
              <w:rPr>
                <w:b/>
                <w:color w:val="FFFFFF"/>
                <w:sz w:val="20"/>
              </w:rPr>
              <w:t>Role</w:t>
            </w:r>
          </w:p>
        </w:tc>
        <w:tc>
          <w:tcPr>
            <w:tcW w:type="dxa" w:w="3168"/>
            <w:shd w:fill="1B2A4A"/>
          </w:tcPr>
          <w:p>
            <w:r/>
            <w:r>
              <w:rPr>
                <w:b/>
                <w:color w:val="FFFFFF"/>
                <w:sz w:val="20"/>
              </w:rPr>
              <w:t>Name</w:t>
            </w:r>
          </w:p>
        </w:tc>
        <w:tc>
          <w:tcPr>
            <w:tcW w:type="dxa" w:w="1584"/>
            <w:shd w:fill="1B2A4A"/>
          </w:tcPr>
          <w:p>
            <w:r/>
            <w:r>
              <w:rPr>
                <w:b/>
                <w:color w:val="FFFFFF"/>
                <w:sz w:val="20"/>
              </w:rPr>
              <w:t>Signature</w:t>
            </w:r>
          </w:p>
        </w:tc>
        <w:tc>
          <w:tcPr>
            <w:tcW w:type="dxa" w:w="1584"/>
            <w:shd w:fill="1B2A4A"/>
          </w:tcPr>
          <w:p>
            <w:r/>
            <w:r>
              <w:rPr>
                <w:b/>
                <w:color w:val="FFFFFF"/>
                <w:sz w:val="20"/>
              </w:rPr>
              <w:t>Date</w:t>
            </w:r>
          </w:p>
        </w:tc>
      </w:tr>
      <w:tr>
        <w:tc>
          <w:tcPr>
            <w:tcW w:type="dxa" w:w="2304"/>
          </w:tcPr>
          <w:p>
            <w:r/>
            <w:r>
              <w:rPr>
                <w:sz w:val="20"/>
              </w:rPr>
              <w:t>Project Sponsor / Client</w:t>
            </w:r>
          </w:p>
        </w:tc>
        <w:tc>
          <w:tcPr>
            <w:tcW w:type="dxa" w:w="3168"/>
          </w:tcPr>
          <w:p>
            <w:r/>
            <w:r>
              <w:rPr>
                <w:sz w:val="20"/>
              </w:rPr>
              <w:t>BRD Hospital (Dr. Haritha Mandava)</w:t>
            </w:r>
          </w:p>
        </w:tc>
        <w:tc>
          <w:tcPr>
            <w:tcW w:type="dxa" w:w="1584"/>
          </w:tcPr>
          <w:p>
            <w:r/>
            <w:r>
              <w:rPr>
                <w:sz w:val="20"/>
              </w:rPr>
            </w:r>
          </w:p>
        </w:tc>
        <w:tc>
          <w:tcPr>
            <w:tcW w:type="dxa" w:w="1584"/>
          </w:tcPr>
          <w:p>
            <w:r/>
            <w:r>
              <w:rPr>
                <w:sz w:val="20"/>
              </w:rPr>
            </w:r>
          </w:p>
        </w:tc>
      </w:tr>
      <w:tr>
        <w:tc>
          <w:tcPr>
            <w:tcW w:type="dxa" w:w="2304"/>
          </w:tcPr>
          <w:p>
            <w:r/>
            <w:r>
              <w:rPr>
                <w:sz w:val="20"/>
              </w:rPr>
              <w:t>Development Partner</w:t>
            </w:r>
          </w:p>
        </w:tc>
        <w:tc>
          <w:tcPr>
            <w:tcW w:type="dxa" w:w="3168"/>
          </w:tcPr>
          <w:p>
            <w:r/>
            <w:r>
              <w:rPr>
                <w:sz w:val="20"/>
              </w:rPr>
              <w:t>Craftlanee</w:t>
            </w:r>
          </w:p>
        </w:tc>
        <w:tc>
          <w:tcPr>
            <w:tcW w:type="dxa" w:w="1584"/>
          </w:tcPr>
          <w:p>
            <w:r/>
            <w:r>
              <w:rPr>
                <w:sz w:val="20"/>
              </w:rPr>
            </w:r>
          </w:p>
        </w:tc>
        <w:tc>
          <w:tcPr>
            <w:tcW w:type="dxa" w:w="1584"/>
          </w:tcPr>
          <w:p>
            <w:r/>
            <w:r>
              <w:rPr>
                <w:sz w:val="20"/>
              </w:rPr>
            </w:r>
          </w:p>
        </w:tc>
      </w:tr>
    </w:tbl>
    <w:p>
      <w:pPr>
        <w:spacing w:after="80"/>
      </w:pPr>
    </w:p>
    <w:p>
      <w:pPr>
        <w:pStyle w:val="Heading2"/>
      </w:pPr>
      <w:r>
        <w:t>Table of Contents</w:t>
      </w:r>
    </w:p>
    <w:p>
      <w:pPr>
        <w:pStyle w:val="ListNumber"/>
      </w:pPr>
      <w:r>
        <w:t>1. Executive Summary</w:t>
      </w:r>
    </w:p>
    <w:p>
      <w:pPr>
        <w:pStyle w:val="ListNumber"/>
      </w:pPr>
      <w:r>
        <w:t>2. Project Background &amp; Purpose</w:t>
      </w:r>
    </w:p>
    <w:p>
      <w:pPr>
        <w:pStyle w:val="ListNumber"/>
      </w:pPr>
      <w:r>
        <w:t>3. Business Objectives</w:t>
      </w:r>
    </w:p>
    <w:p>
      <w:pPr>
        <w:pStyle w:val="ListNumber"/>
      </w:pPr>
      <w:r>
        <w:t>4. Scope of Work</w:t>
      </w:r>
    </w:p>
    <w:p>
      <w:pPr>
        <w:pStyle w:val="ListNumber"/>
      </w:pPr>
      <w:r>
        <w:t>5. Stakeholders</w:t>
      </w:r>
    </w:p>
    <w:p>
      <w:pPr>
        <w:pStyle w:val="ListNumber"/>
      </w:pPr>
      <w:r>
        <w:t>6. Technology Stack</w:t>
      </w:r>
    </w:p>
    <w:p>
      <w:pPr>
        <w:pStyle w:val="ListNumber"/>
      </w:pPr>
      <w:r>
        <w:t>7. System Architecture</w:t>
      </w:r>
    </w:p>
    <w:p>
      <w:pPr>
        <w:pStyle w:val="ListNumber"/>
      </w:pPr>
      <w:r>
        <w:t>8. Functional Requirements</w:t>
      </w:r>
    </w:p>
    <w:p>
      <w:pPr>
        <w:pStyle w:val="ListNumber"/>
      </w:pPr>
      <w:r>
        <w:t>9. Non-Functional Requirements</w:t>
      </w:r>
    </w:p>
    <w:p>
      <w:pPr>
        <w:pStyle w:val="ListNumber"/>
      </w:pPr>
      <w:r>
        <w:t>10. Database Design</w:t>
      </w:r>
    </w:p>
    <w:p>
      <w:pPr>
        <w:pStyle w:val="ListNumber"/>
      </w:pPr>
      <w:r>
        <w:t>11. User Roles &amp; Permissions</w:t>
      </w:r>
    </w:p>
    <w:p>
      <w:pPr>
        <w:pStyle w:val="ListNumber"/>
      </w:pPr>
      <w:r>
        <w:t>12. Third-Party Integrations</w:t>
      </w:r>
    </w:p>
    <w:p>
      <w:pPr>
        <w:pStyle w:val="ListNumber"/>
      </w:pPr>
      <w:r>
        <w:t>13. Deployment &amp; Hosting</w:t>
      </w:r>
    </w:p>
    <w:p>
      <w:pPr>
        <w:pStyle w:val="ListNumber"/>
      </w:pPr>
      <w:r>
        <w:t>14. Assumptions &amp; Constraints</w:t>
      </w:r>
    </w:p>
    <w:p>
      <w:pPr>
        <w:pStyle w:val="ListNumber"/>
      </w:pPr>
      <w:r>
        <w:t>15. Risks &amp; Mitigations</w:t>
      </w:r>
    </w:p>
    <w:p>
      <w:pPr>
        <w:pStyle w:val="ListNumber"/>
      </w:pPr>
      <w:r>
        <w:t>16. Future Enhancements</w:t>
      </w:r>
    </w:p>
    <w:p>
      <w:pPr>
        <w:pStyle w:val="ListNumber"/>
      </w:pPr>
      <w:r>
        <w:t>17. Approval &amp; Sign-off</w:t>
      </w:r>
    </w:p>
    <w:p>
      <w:r>
        <w:br w:type="page"/>
      </w:r>
    </w:p>
    <w:p>
      <w:pPr>
        <w:pStyle w:val="Heading1"/>
      </w:pPr>
      <w:r>
        <w:t>1. Executive Summary</w:t>
      </w:r>
    </w:p>
    <w:p>
      <w:pPr>
        <w:spacing w:after="160"/>
      </w:pPr>
      <w:r>
        <w:rPr>
          <w:b w:val="0"/>
          <w:sz w:val="22"/>
        </w:rPr>
        <w:t>BRD Hospital is a digital front door for a gynaecology and maternity care practice led by Dr. Haritha Mandava. This document defines the business and functional requirements for the platform that has been designed and built: a patient-facing marketing website, an online appointment booking system, and a private admin dashboard for staff to manage bookings, availability, and payments.</w:t>
      </w:r>
    </w:p>
    <w:p>
      <w:pPr>
        <w:spacing w:after="160"/>
      </w:pPr>
      <w:r>
        <w:rPr>
          <w:b w:val="0"/>
          <w:sz w:val="22"/>
        </w:rPr>
        <w:t>The platform is built as a modern, fast, mobile-responsive single-page application, backed by a managed cloud database, and is already deployed and operational. This BRD captures what the system does, why it does it, the technology used to build it, and the data and workflows that power it — serving as the single reference document for stakeholders, new team members, and future enhancement planning.</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hospital.jpg"/>
                    <pic:cNvPicPr/>
                  </pic:nvPicPr>
                  <pic:blipFill>
                    <a:blip r:embed="rId12"/>
                    <a:stretch>
                      <a:fillRect/>
                    </a:stretch>
                  </pic:blipFill>
                  <pic:spPr>
                    <a:xfrm>
                      <a:off x="0" y="0"/>
                      <a:ext cx="4572000" cy="3048000"/>
                    </a:xfrm>
                    <a:prstGeom prst="rect"/>
                  </pic:spPr>
                </pic:pic>
              </a:graphicData>
            </a:graphic>
          </wp:inline>
        </w:drawing>
      </w:r>
    </w:p>
    <w:p>
      <w:pPr>
        <w:jc w:val="center"/>
      </w:pPr>
      <w:r>
        <w:rPr>
          <w:i/>
          <w:color w:val="555555"/>
          <w:sz w:val="18"/>
        </w:rPr>
        <w:t>The patient experience the platform is designed to reflect — a calm, trusted maternity care journey.</w:t>
      </w:r>
    </w:p>
    <w:p>
      <w:pPr>
        <w:pStyle w:val="Heading1"/>
      </w:pPr>
      <w:r>
        <w:t>2. Project Background &amp; Purpose</w:t>
      </w:r>
    </w:p>
    <w:p>
      <w:pPr>
        <w:spacing w:after="160"/>
      </w:pPr>
      <w:r>
        <w:rPr>
          <w:b w:val="0"/>
          <w:sz w:val="22"/>
        </w:rPr>
        <w:t>Expecting mothers and women seeking gynaecological care need clear information, an easy way to book a consultation, and confidence that they are choosing a qualified, experienced doctor. Historically, this kind of practice relied on phone calls and walk-ins, with no online presence to build trust before a patient's first visit, and no digital record of bookings for staff to manage.</w:t>
      </w:r>
    </w:p>
    <w:p>
      <w:pPr>
        <w:spacing w:after="160"/>
      </w:pPr>
      <w:r>
        <w:rPr>
          <w:b w:val="0"/>
          <w:sz w:val="22"/>
        </w:rPr>
        <w:t>The purpose of this project is to give BRD Hospital a professional online presence that:</w:t>
      </w:r>
    </w:p>
    <w:p>
      <w:pPr>
        <w:pStyle w:val="ListBullet"/>
      </w:pPr>
      <w:r>
        <w:t>Builds trust with prospective patients through the doctor's credentials, real photography, and a warm, emotionally resonant design.</w:t>
      </w:r>
    </w:p>
    <w:p>
      <w:pPr>
        <w:pStyle w:val="ListBullet"/>
      </w:pPr>
      <w:r>
        <w:t>Lets a patient book an appointment online in a few steps, at any time, without a phone call.</w:t>
      </w:r>
    </w:p>
    <w:p>
      <w:pPr>
        <w:pStyle w:val="ListBullet"/>
      </w:pPr>
      <w:r>
        <w:t>Gives clinic staff one place to see, confirm, and manage every booking, its payment status, and doctor availability.</w:t>
      </w:r>
    </w:p>
    <w:p>
      <w:pPr>
        <w:pStyle w:val="ListBullet"/>
      </w:pPr>
      <w:r>
        <w:t>Works for patients across language backgrounds common in the region (English, Hindi, Telugu, Tamil, Kannada).</w:t>
      </w:r>
    </w:p>
    <w:p>
      <w:r>
        <w:br w:type="page"/>
      </w:r>
    </w:p>
    <w:p>
      <w:pPr>
        <w:pStyle w:val="Heading1"/>
      </w:pPr>
      <w:r>
        <w:t>3. Business Objectives</w:t>
      </w:r>
    </w:p>
    <w:tbl>
      <w:tblPr>
        <w:tblStyle w:val="LightGrid-Accent1"/>
        <w:tblW w:type="auto" w:w="0"/>
        <w:jc w:val="center"/>
        <w:tblLook w:firstColumn="1" w:firstRow="1" w:lastColumn="0" w:lastRow="0" w:noHBand="0" w:noVBand="1" w:val="04A0"/>
      </w:tblPr>
      <w:tblGrid>
        <w:gridCol w:w="3249"/>
        <w:gridCol w:w="3249"/>
        <w:gridCol w:w="3249"/>
      </w:tblGrid>
      <w:tr>
        <w:tc>
          <w:tcPr>
            <w:tcW w:type="dxa" w:w="576"/>
            <w:shd w:fill="1B2A4A"/>
          </w:tcPr>
          <w:p>
            <w:r/>
            <w:r>
              <w:rPr>
                <w:b/>
                <w:color w:val="FFFFFF"/>
                <w:sz w:val="20"/>
              </w:rPr>
              <w:t>#</w:t>
            </w:r>
          </w:p>
        </w:tc>
        <w:tc>
          <w:tcPr>
            <w:tcW w:type="dxa" w:w="4176"/>
            <w:shd w:fill="1B2A4A"/>
          </w:tcPr>
          <w:p>
            <w:r/>
            <w:r>
              <w:rPr>
                <w:b/>
                <w:color w:val="FFFFFF"/>
                <w:sz w:val="20"/>
              </w:rPr>
              <w:t>Objective</w:t>
            </w:r>
          </w:p>
        </w:tc>
        <w:tc>
          <w:tcPr>
            <w:tcW w:type="dxa" w:w="3888"/>
            <w:shd w:fill="1B2A4A"/>
          </w:tcPr>
          <w:p>
            <w:r/>
            <w:r>
              <w:rPr>
                <w:b/>
                <w:color w:val="FFFFFF"/>
                <w:sz w:val="20"/>
              </w:rPr>
              <w:t>Success Measure</w:t>
            </w:r>
          </w:p>
        </w:tc>
      </w:tr>
      <w:tr>
        <w:tc>
          <w:tcPr>
            <w:tcW w:type="dxa" w:w="576"/>
          </w:tcPr>
          <w:p>
            <w:r/>
            <w:r>
              <w:rPr>
                <w:sz w:val="20"/>
              </w:rPr>
              <w:t>1</w:t>
            </w:r>
          </w:p>
        </w:tc>
        <w:tc>
          <w:tcPr>
            <w:tcW w:type="dxa" w:w="4176"/>
          </w:tcPr>
          <w:p>
            <w:r/>
            <w:r>
              <w:rPr>
                <w:sz w:val="20"/>
              </w:rPr>
              <w:t>Establish a credible, trustworthy online presence for the practice</w:t>
            </w:r>
          </w:p>
        </w:tc>
        <w:tc>
          <w:tcPr>
            <w:tcW w:type="dxa" w:w="3888"/>
          </w:tcPr>
          <w:p>
            <w:r/>
            <w:r>
              <w:rPr>
                <w:sz w:val="20"/>
              </w:rPr>
              <w:t>Professional marketing site live and accessible 24/7</w:t>
            </w:r>
          </w:p>
        </w:tc>
      </w:tr>
      <w:tr>
        <w:tc>
          <w:tcPr>
            <w:tcW w:type="dxa" w:w="576"/>
          </w:tcPr>
          <w:p>
            <w:r/>
            <w:r>
              <w:rPr>
                <w:sz w:val="20"/>
              </w:rPr>
              <w:t>2</w:t>
            </w:r>
          </w:p>
        </w:tc>
        <w:tc>
          <w:tcPr>
            <w:tcW w:type="dxa" w:w="4176"/>
          </w:tcPr>
          <w:p>
            <w:r/>
            <w:r>
              <w:rPr>
                <w:sz w:val="20"/>
              </w:rPr>
              <w:t>Reduce phone-based booking overhead</w:t>
            </w:r>
          </w:p>
        </w:tc>
        <w:tc>
          <w:tcPr>
            <w:tcW w:type="dxa" w:w="3888"/>
          </w:tcPr>
          <w:p>
            <w:r/>
            <w:r>
              <w:rPr>
                <w:sz w:val="20"/>
              </w:rPr>
              <w:t>Patients can self-book a consultation online in under 2 minutes</w:t>
            </w:r>
          </w:p>
        </w:tc>
      </w:tr>
      <w:tr>
        <w:tc>
          <w:tcPr>
            <w:tcW w:type="dxa" w:w="576"/>
          </w:tcPr>
          <w:p>
            <w:r/>
            <w:r>
              <w:rPr>
                <w:sz w:val="20"/>
              </w:rPr>
              <w:t>3</w:t>
            </w:r>
          </w:p>
        </w:tc>
        <w:tc>
          <w:tcPr>
            <w:tcW w:type="dxa" w:w="4176"/>
          </w:tcPr>
          <w:p>
            <w:r/>
            <w:r>
              <w:rPr>
                <w:sz w:val="20"/>
              </w:rPr>
              <w:t>Give staff a single source of truth for appointments</w:t>
            </w:r>
          </w:p>
        </w:tc>
        <w:tc>
          <w:tcPr>
            <w:tcW w:type="dxa" w:w="3888"/>
          </w:tcPr>
          <w:p>
            <w:r/>
            <w:r>
              <w:rPr>
                <w:sz w:val="20"/>
              </w:rPr>
              <w:t>All bookings visible and manageable from the admin dashboard</w:t>
            </w:r>
          </w:p>
        </w:tc>
      </w:tr>
      <w:tr>
        <w:tc>
          <w:tcPr>
            <w:tcW w:type="dxa" w:w="576"/>
          </w:tcPr>
          <w:p>
            <w:r/>
            <w:r>
              <w:rPr>
                <w:sz w:val="20"/>
              </w:rPr>
              <w:t>4</w:t>
            </w:r>
          </w:p>
        </w:tc>
        <w:tc>
          <w:tcPr>
            <w:tcW w:type="dxa" w:w="4176"/>
          </w:tcPr>
          <w:p>
            <w:r/>
            <w:r>
              <w:rPr>
                <w:sz w:val="20"/>
              </w:rPr>
              <w:t>Support informal, low-friction digital payments</w:t>
            </w:r>
          </w:p>
        </w:tc>
        <w:tc>
          <w:tcPr>
            <w:tcW w:type="dxa" w:w="3888"/>
          </w:tcPr>
          <w:p>
            <w:r/>
            <w:r>
              <w:rPr>
                <w:sz w:val="20"/>
              </w:rPr>
              <w:t>UPI QR + WhatsApp confirmation flow used at booking</w:t>
            </w:r>
          </w:p>
        </w:tc>
      </w:tr>
      <w:tr>
        <w:tc>
          <w:tcPr>
            <w:tcW w:type="dxa" w:w="576"/>
          </w:tcPr>
          <w:p>
            <w:r/>
            <w:r>
              <w:rPr>
                <w:sz w:val="20"/>
              </w:rPr>
              <w:t>5</w:t>
            </w:r>
          </w:p>
        </w:tc>
        <w:tc>
          <w:tcPr>
            <w:tcW w:type="dxa" w:w="4176"/>
          </w:tcPr>
          <w:p>
            <w:r/>
            <w:r>
              <w:rPr>
                <w:sz w:val="20"/>
              </w:rPr>
              <w:t>Serve a multilingual patient base</w:t>
            </w:r>
          </w:p>
        </w:tc>
        <w:tc>
          <w:tcPr>
            <w:tcW w:type="dxa" w:w="3888"/>
          </w:tcPr>
          <w:p>
            <w:r/>
            <w:r>
              <w:rPr>
                <w:sz w:val="20"/>
              </w:rPr>
              <w:t>Site available in 5 languages</w:t>
            </w:r>
          </w:p>
        </w:tc>
      </w:tr>
      <w:tr>
        <w:tc>
          <w:tcPr>
            <w:tcW w:type="dxa" w:w="576"/>
          </w:tcPr>
          <w:p>
            <w:r/>
            <w:r>
              <w:rPr>
                <w:sz w:val="20"/>
              </w:rPr>
              <w:t>6</w:t>
            </w:r>
          </w:p>
        </w:tc>
        <w:tc>
          <w:tcPr>
            <w:tcW w:type="dxa" w:w="4176"/>
          </w:tcPr>
          <w:p>
            <w:r/>
            <w:r>
              <w:rPr>
                <w:sz w:val="20"/>
              </w:rPr>
              <w:t>Keep the site fast and reliable on mobile devices</w:t>
            </w:r>
          </w:p>
        </w:tc>
        <w:tc>
          <w:tcPr>
            <w:tcW w:type="dxa" w:w="3888"/>
          </w:tcPr>
          <w:p>
            <w:r/>
            <w:r>
              <w:rPr>
                <w:sz w:val="20"/>
              </w:rPr>
              <w:t>Optimized images, responsive layout, sub-second navigation</w:t>
            </w:r>
          </w:p>
        </w:tc>
      </w:tr>
    </w:tbl>
    <w:p>
      <w:pPr>
        <w:spacing w:after="80"/>
      </w:pPr>
    </w:p>
    <w:p>
      <w:pPr>
        <w:pStyle w:val="Heading1"/>
      </w:pPr>
      <w:r>
        <w:t>4. Scope of Work</w:t>
      </w:r>
    </w:p>
    <w:p>
      <w:pPr>
        <w:pStyle w:val="Heading2"/>
      </w:pPr>
      <w:r>
        <w:t>4.1 In Scope</w:t>
      </w:r>
    </w:p>
    <w:p>
      <w:pPr>
        <w:pStyle w:val="ListBullet"/>
      </w:pPr>
      <w:r>
        <w:t>Public marketing website covering the doctor's profile, services, patient journey, and testimonial-style content.</w:t>
      </w:r>
    </w:p>
    <w:p>
      <w:pPr>
        <w:pStyle w:val="ListBullet"/>
      </w:pPr>
      <w:r>
        <w:t>Multi-step online appointment booking flow with live availability checking.</w:t>
      </w:r>
    </w:p>
    <w:p>
      <w:pPr>
        <w:pStyle w:val="ListBullet"/>
      </w:pPr>
      <w:r>
        <w:t>Private, authenticated admin dashboard for staff (appointments, availability, payments, settings).</w:t>
      </w:r>
    </w:p>
    <w:p>
      <w:pPr>
        <w:pStyle w:val="ListBullet"/>
      </w:pPr>
      <w:r>
        <w:t>Manual UPI-based payment flow with WhatsApp-assisted confirmation (no payment gateway integration).</w:t>
      </w:r>
    </w:p>
    <w:p>
      <w:pPr>
        <w:pStyle w:val="ListBullet"/>
      </w:pPr>
      <w:r>
        <w:t>Automated email notifications to staff on new bookings and to patients on confirmation.</w:t>
      </w:r>
    </w:p>
    <w:p>
      <w:pPr>
        <w:pStyle w:val="ListBullet"/>
      </w:pPr>
      <w:r>
        <w:t>Multilingual UI (English, Hindi, Telugu, Tamil, Kannada).</w:t>
      </w:r>
    </w:p>
    <w:p>
      <w:pPr>
        <w:pStyle w:val="ListBullet"/>
      </w:pPr>
      <w:r>
        <w:t>Cloud hosting and deployment pipeline for the live site.</w:t>
      </w:r>
    </w:p>
    <w:p>
      <w:pPr>
        <w:pStyle w:val="Heading2"/>
      </w:pPr>
      <w:r>
        <w:t>4.2 Out of Scope</w:t>
      </w:r>
    </w:p>
    <w:p>
      <w:pPr>
        <w:pStyle w:val="ListBullet"/>
      </w:pPr>
      <w:r>
        <w:t>Direct online payment gateway (card/UPI auto-capture) integration.</w:t>
      </w:r>
    </w:p>
    <w:p>
      <w:pPr>
        <w:pStyle w:val="ListBullet"/>
      </w:pPr>
      <w:r>
        <w:t>Multi-doctor / multi-branch scheduling (current build supports a single doctor).</w:t>
      </w:r>
    </w:p>
    <w:p>
      <w:pPr>
        <w:pStyle w:val="ListBullet"/>
      </w:pPr>
      <w:r>
        <w:t>Native mobile applications (iOS/Android) — the site is a responsive web app only.</w:t>
      </w:r>
    </w:p>
    <w:p>
      <w:pPr>
        <w:pStyle w:val="ListBullet"/>
      </w:pPr>
      <w:r>
        <w:t>Electronic Health Records (EHR) or clinical charting functionality.</w:t>
      </w:r>
    </w:p>
    <w:p>
      <w:pPr>
        <w:pStyle w:val="ListBullet"/>
      </w:pPr>
      <w:r>
        <w:t>Third-party marketing automation (SMS campaigns, CRM integration).</w:t>
      </w:r>
    </w:p>
    <w:p>
      <w:r>
        <w:br w:type="page"/>
      </w:r>
    </w:p>
    <w:p>
      <w:pPr>
        <w:pStyle w:val="Heading1"/>
      </w:pPr>
      <w:r>
        <w:t>5. Stakeholders</w:t>
      </w:r>
    </w:p>
    <w:tbl>
      <w:tblPr>
        <w:tblStyle w:val="LightGrid-Accent1"/>
        <w:tblW w:type="auto" w:w="0"/>
        <w:jc w:val="center"/>
        <w:tblLook w:firstColumn="1" w:firstRow="1" w:lastColumn="0" w:lastRow="0" w:noHBand="0" w:noVBand="1" w:val="04A0"/>
      </w:tblPr>
      <w:tblGrid>
        <w:gridCol w:w="4873"/>
        <w:gridCol w:w="4873"/>
      </w:tblGrid>
      <w:tr>
        <w:tc>
          <w:tcPr>
            <w:tcW w:type="dxa" w:w="3168"/>
            <w:shd w:fill="1B2A4A"/>
          </w:tcPr>
          <w:p>
            <w:r/>
            <w:r>
              <w:rPr>
                <w:b/>
                <w:color w:val="FFFFFF"/>
                <w:sz w:val="20"/>
              </w:rPr>
              <w:t>Stakeholder</w:t>
            </w:r>
          </w:p>
        </w:tc>
        <w:tc>
          <w:tcPr>
            <w:tcW w:type="dxa" w:w="6624"/>
            <w:shd w:fill="1B2A4A"/>
          </w:tcPr>
          <w:p>
            <w:r/>
            <w:r>
              <w:rPr>
                <w:b/>
                <w:color w:val="FFFFFF"/>
                <w:sz w:val="20"/>
              </w:rPr>
              <w:t>Role / Interest</w:t>
            </w:r>
          </w:p>
        </w:tc>
      </w:tr>
      <w:tr>
        <w:tc>
          <w:tcPr>
            <w:tcW w:type="dxa" w:w="3168"/>
          </w:tcPr>
          <w:p>
            <w:r/>
            <w:r>
              <w:rPr>
                <w:sz w:val="20"/>
              </w:rPr>
              <w:t>Dr. Haritha Mandava</w:t>
            </w:r>
          </w:p>
        </w:tc>
        <w:tc>
          <w:tcPr>
            <w:tcW w:type="dxa" w:w="6624"/>
          </w:tcPr>
          <w:p>
            <w:r/>
            <w:r>
              <w:rPr>
                <w:sz w:val="20"/>
              </w:rPr>
              <w:t>Practicing obstetrician, gynaecologist &amp; sonologist; primary practitioner represented on the site; approves clinical/content accuracy</w:t>
            </w:r>
          </w:p>
        </w:tc>
      </w:tr>
      <w:tr>
        <w:tc>
          <w:tcPr>
            <w:tcW w:type="dxa" w:w="3168"/>
          </w:tcPr>
          <w:p>
            <w:r/>
            <w:r>
              <w:rPr>
                <w:sz w:val="20"/>
              </w:rPr>
              <w:t>Clinic Front-Desk / Admin Staff</w:t>
            </w:r>
          </w:p>
        </w:tc>
        <w:tc>
          <w:tcPr>
            <w:tcW w:type="dxa" w:w="6624"/>
          </w:tcPr>
          <w:p>
            <w:r/>
            <w:r>
              <w:rPr>
                <w:sz w:val="20"/>
              </w:rPr>
              <w:t>Daily users of the admin dashboard — manage appointments, availability, and payment tracking</w:t>
            </w:r>
          </w:p>
        </w:tc>
      </w:tr>
      <w:tr>
        <w:tc>
          <w:tcPr>
            <w:tcW w:type="dxa" w:w="3168"/>
          </w:tcPr>
          <w:p>
            <w:r/>
            <w:r>
              <w:rPr>
                <w:sz w:val="20"/>
              </w:rPr>
              <w:t>Patients / Site Visitors</w:t>
            </w:r>
          </w:p>
        </w:tc>
        <w:tc>
          <w:tcPr>
            <w:tcW w:type="dxa" w:w="6624"/>
          </w:tcPr>
          <w:p>
            <w:r/>
            <w:r>
              <w:rPr>
                <w:sz w:val="20"/>
              </w:rPr>
              <w:t>End users of the public site and booking flow</w:t>
            </w:r>
          </w:p>
        </w:tc>
      </w:tr>
      <w:tr>
        <w:tc>
          <w:tcPr>
            <w:tcW w:type="dxa" w:w="3168"/>
          </w:tcPr>
          <w:p>
            <w:r/>
            <w:r>
              <w:rPr>
                <w:sz w:val="20"/>
              </w:rPr>
              <w:t>Craftlanee (Development Partner)</w:t>
            </w:r>
          </w:p>
        </w:tc>
        <w:tc>
          <w:tcPr>
            <w:tcW w:type="dxa" w:w="6624"/>
          </w:tcPr>
          <w:p>
            <w:r/>
            <w:r>
              <w:rPr>
                <w:sz w:val="20"/>
              </w:rPr>
              <w:t>Designs, builds, deploys, and maintains the platform</w:t>
            </w:r>
          </w:p>
        </w:tc>
      </w:tr>
    </w:tbl>
    <w:p>
      <w:pPr>
        <w:spacing w:after="80"/>
      </w:pPr>
    </w:p>
    <w:p>
      <w:pPr>
        <w:jc w:val="center"/>
      </w:pPr>
      <w:r>
        <w:drawing>
          <wp:inline xmlns:a="http://schemas.openxmlformats.org/drawingml/2006/main" xmlns:pic="http://schemas.openxmlformats.org/drawingml/2006/picture">
            <wp:extent cx="1828800" cy="1828800"/>
            <wp:docPr id="4" name="Picture 4"/>
            <wp:cNvGraphicFramePr>
              <a:graphicFrameLocks noChangeAspect="1"/>
            </wp:cNvGraphicFramePr>
            <a:graphic>
              <a:graphicData uri="http://schemas.openxmlformats.org/drawingml/2006/picture">
                <pic:pic>
                  <pic:nvPicPr>
                    <pic:cNvPr id="0" name="doctor_headshot.jpg"/>
                    <pic:cNvPicPr/>
                  </pic:nvPicPr>
                  <pic:blipFill>
                    <a:blip r:embed="rId13"/>
                    <a:stretch>
                      <a:fillRect/>
                    </a:stretch>
                  </pic:blipFill>
                  <pic:spPr>
                    <a:xfrm>
                      <a:off x="0" y="0"/>
                      <a:ext cx="1828800" cy="1828800"/>
                    </a:xfrm>
                    <a:prstGeom prst="rect"/>
                  </pic:spPr>
                </pic:pic>
              </a:graphicData>
            </a:graphic>
          </wp:inline>
        </w:drawing>
      </w:r>
    </w:p>
    <w:p>
      <w:pPr>
        <w:jc w:val="center"/>
      </w:pPr>
      <w:r>
        <w:rPr>
          <w:i/>
          <w:color w:val="555555"/>
          <w:sz w:val="18"/>
        </w:rPr>
        <w:t>Dr. Haritha Mandava — Obstetrician, Gynaecologist &amp; Sonologist, the practice's primary practitioner.</w:t>
      </w:r>
    </w:p>
    <w:p>
      <w:r>
        <w:br w:type="page"/>
      </w:r>
    </w:p>
    <w:p>
      <w:pPr>
        <w:pStyle w:val="Heading1"/>
      </w:pPr>
      <w:r>
        <w:t>6. Technology Stack</w:t>
      </w:r>
    </w:p>
    <w:p>
      <w:pPr>
        <w:spacing w:after="160"/>
      </w:pPr>
      <w:r>
        <w:rPr>
          <w:b w:val="0"/>
          <w:sz w:val="22"/>
        </w:rPr>
        <w:t>The platform is built entirely on a modern JavaScript/TypeScript stack with a serverless backend — there is no separate application server to provision or maintain.</w:t>
      </w:r>
    </w:p>
    <w:p>
      <w:pPr>
        <w:pStyle w:val="Heading2"/>
      </w:pPr>
      <w:r>
        <w:t>6.1 Frontend</w:t>
      </w:r>
    </w:p>
    <w:tbl>
      <w:tblPr>
        <w:tblStyle w:val="LightGrid-Accent1"/>
        <w:tblW w:type="auto" w:w="0"/>
        <w:jc w:val="center"/>
        <w:tblLook w:firstColumn="1" w:firstRow="1" w:lastColumn="0" w:lastRow="0" w:noHBand="0" w:noVBand="1" w:val="04A0"/>
      </w:tblPr>
      <w:tblGrid>
        <w:gridCol w:w="4873"/>
        <w:gridCol w:w="4873"/>
      </w:tblGrid>
      <w:tr>
        <w:tc>
          <w:tcPr>
            <w:tcW w:type="dxa" w:w="2736"/>
            <w:shd w:fill="1B2A4A"/>
          </w:tcPr>
          <w:p>
            <w:r/>
            <w:r>
              <w:rPr>
                <w:b/>
                <w:color w:val="FFFFFF"/>
                <w:sz w:val="20"/>
              </w:rPr>
              <w:t>Technology</w:t>
            </w:r>
          </w:p>
        </w:tc>
        <w:tc>
          <w:tcPr>
            <w:tcW w:type="dxa" w:w="7056"/>
            <w:shd w:fill="1B2A4A"/>
          </w:tcPr>
          <w:p>
            <w:r/>
            <w:r>
              <w:rPr>
                <w:b/>
                <w:color w:val="FFFFFF"/>
                <w:sz w:val="20"/>
              </w:rPr>
              <w:t>Purpose</w:t>
            </w:r>
          </w:p>
        </w:tc>
      </w:tr>
      <w:tr>
        <w:tc>
          <w:tcPr>
            <w:tcW w:type="dxa" w:w="2736"/>
          </w:tcPr>
          <w:p>
            <w:r/>
            <w:r>
              <w:rPr>
                <w:sz w:val="20"/>
              </w:rPr>
              <w:t>React 19</w:t>
            </w:r>
          </w:p>
        </w:tc>
        <w:tc>
          <w:tcPr>
            <w:tcW w:type="dxa" w:w="7056"/>
          </w:tcPr>
          <w:p>
            <w:r/>
            <w:r>
              <w:rPr>
                <w:sz w:val="20"/>
              </w:rPr>
              <w:t>Core UI library — component-based single-page application</w:t>
            </w:r>
          </w:p>
        </w:tc>
      </w:tr>
      <w:tr>
        <w:tc>
          <w:tcPr>
            <w:tcW w:type="dxa" w:w="2736"/>
          </w:tcPr>
          <w:p>
            <w:r/>
            <w:r>
              <w:rPr>
                <w:sz w:val="20"/>
              </w:rPr>
              <w:t>TypeScript</w:t>
            </w:r>
          </w:p>
        </w:tc>
        <w:tc>
          <w:tcPr>
            <w:tcW w:type="dxa" w:w="7056"/>
          </w:tcPr>
          <w:p>
            <w:r/>
            <w:r>
              <w:rPr>
                <w:sz w:val="20"/>
              </w:rPr>
              <w:t>Type-safe application code across the entire frontend</w:t>
            </w:r>
          </w:p>
        </w:tc>
      </w:tr>
      <w:tr>
        <w:tc>
          <w:tcPr>
            <w:tcW w:type="dxa" w:w="2736"/>
          </w:tcPr>
          <w:p>
            <w:r/>
            <w:r>
              <w:rPr>
                <w:sz w:val="20"/>
              </w:rPr>
              <w:t>Vite</w:t>
            </w:r>
          </w:p>
        </w:tc>
        <w:tc>
          <w:tcPr>
            <w:tcW w:type="dxa" w:w="7056"/>
          </w:tcPr>
          <w:p>
            <w:r/>
            <w:r>
              <w:rPr>
                <w:sz w:val="20"/>
              </w:rPr>
              <w:t>Build tool and local dev server — fast hot-reload and optimized production bundles</w:t>
            </w:r>
          </w:p>
        </w:tc>
      </w:tr>
      <w:tr>
        <w:tc>
          <w:tcPr>
            <w:tcW w:type="dxa" w:w="2736"/>
          </w:tcPr>
          <w:p>
            <w:r/>
            <w:r>
              <w:rPr>
                <w:sz w:val="20"/>
              </w:rPr>
              <w:t>React Router DOM</w:t>
            </w:r>
          </w:p>
        </w:tc>
        <w:tc>
          <w:tcPr>
            <w:tcW w:type="dxa" w:w="7056"/>
          </w:tcPr>
          <w:p>
            <w:r/>
            <w:r>
              <w:rPr>
                <w:sz w:val="20"/>
              </w:rPr>
              <w:t>Client-side routing (marketing site, booking, admin routes)</w:t>
            </w:r>
          </w:p>
        </w:tc>
      </w:tr>
      <w:tr>
        <w:tc>
          <w:tcPr>
            <w:tcW w:type="dxa" w:w="2736"/>
          </w:tcPr>
          <w:p>
            <w:r/>
            <w:r>
              <w:rPr>
                <w:sz w:val="20"/>
              </w:rPr>
              <w:t>Tailwind CSS v4</w:t>
            </w:r>
          </w:p>
        </w:tc>
        <w:tc>
          <w:tcPr>
            <w:tcW w:type="dxa" w:w="7056"/>
          </w:tcPr>
          <w:p>
            <w:r/>
            <w:r>
              <w:rPr>
                <w:sz w:val="20"/>
              </w:rPr>
              <w:t>Utility-first styling framework for the entire design system</w:t>
            </w:r>
          </w:p>
        </w:tc>
      </w:tr>
      <w:tr>
        <w:tc>
          <w:tcPr>
            <w:tcW w:type="dxa" w:w="2736"/>
          </w:tcPr>
          <w:p>
            <w:r/>
            <w:r>
              <w:rPr>
                <w:sz w:val="20"/>
              </w:rPr>
              <w:t>Framer Motion</w:t>
            </w:r>
          </w:p>
        </w:tc>
        <w:tc>
          <w:tcPr>
            <w:tcW w:type="dxa" w:w="7056"/>
          </w:tcPr>
          <w:p>
            <w:r/>
            <w:r>
              <w:rPr>
                <w:sz w:val="20"/>
              </w:rPr>
              <w:t>Animations and scroll-based reveal effects throughout the site</w:t>
            </w:r>
          </w:p>
        </w:tc>
      </w:tr>
      <w:tr>
        <w:tc>
          <w:tcPr>
            <w:tcW w:type="dxa" w:w="2736"/>
          </w:tcPr>
          <w:p>
            <w:r/>
            <w:r>
              <w:rPr>
                <w:sz w:val="20"/>
              </w:rPr>
              <w:t>Lucide React</w:t>
            </w:r>
          </w:p>
        </w:tc>
        <w:tc>
          <w:tcPr>
            <w:tcW w:type="dxa" w:w="7056"/>
          </w:tcPr>
          <w:p>
            <w:r/>
            <w:r>
              <w:rPr>
                <w:sz w:val="20"/>
              </w:rPr>
              <w:t>Icon library used across the UI</w:t>
            </w:r>
          </w:p>
        </w:tc>
      </w:tr>
      <w:tr>
        <w:tc>
          <w:tcPr>
            <w:tcW w:type="dxa" w:w="2736"/>
          </w:tcPr>
          <w:p>
            <w:r/>
            <w:r>
              <w:rPr>
                <w:sz w:val="20"/>
              </w:rPr>
              <w:t>Custom i18n context</w:t>
            </w:r>
          </w:p>
        </w:tc>
        <w:tc>
          <w:tcPr>
            <w:tcW w:type="dxa" w:w="7056"/>
          </w:tcPr>
          <w:p>
            <w:r/>
            <w:r>
              <w:rPr>
                <w:sz w:val="20"/>
              </w:rPr>
              <w:t>Lightweight in-house translation system (not a third-party i18n library)</w:t>
            </w:r>
          </w:p>
        </w:tc>
      </w:tr>
    </w:tbl>
    <w:p>
      <w:pPr>
        <w:spacing w:after="80"/>
      </w:pPr>
    </w:p>
    <w:p>
      <w:pPr>
        <w:pStyle w:val="Heading2"/>
      </w:pPr>
      <w:r>
        <w:t>6.2 Backend &amp; Data</w:t>
      </w:r>
    </w:p>
    <w:tbl>
      <w:tblPr>
        <w:tblStyle w:val="LightGrid-Accent1"/>
        <w:tblW w:type="auto" w:w="0"/>
        <w:jc w:val="center"/>
        <w:tblLook w:firstColumn="1" w:firstRow="1" w:lastColumn="0" w:lastRow="0" w:noHBand="0" w:noVBand="1" w:val="04A0"/>
      </w:tblPr>
      <w:tblGrid>
        <w:gridCol w:w="4873"/>
        <w:gridCol w:w="4873"/>
      </w:tblGrid>
      <w:tr>
        <w:tc>
          <w:tcPr>
            <w:tcW w:type="dxa" w:w="3312"/>
            <w:shd w:fill="1B2A4A"/>
          </w:tcPr>
          <w:p>
            <w:r/>
            <w:r>
              <w:rPr>
                <w:b/>
                <w:color w:val="FFFFFF"/>
                <w:sz w:val="20"/>
              </w:rPr>
              <w:t>Technology</w:t>
            </w:r>
          </w:p>
        </w:tc>
        <w:tc>
          <w:tcPr>
            <w:tcW w:type="dxa" w:w="6480"/>
            <w:shd w:fill="1B2A4A"/>
          </w:tcPr>
          <w:p>
            <w:r/>
            <w:r>
              <w:rPr>
                <w:b/>
                <w:color w:val="FFFFFF"/>
                <w:sz w:val="20"/>
              </w:rPr>
              <w:t>Purpose</w:t>
            </w:r>
          </w:p>
        </w:tc>
      </w:tr>
      <w:tr>
        <w:tc>
          <w:tcPr>
            <w:tcW w:type="dxa" w:w="3312"/>
          </w:tcPr>
          <w:p>
            <w:r/>
            <w:r>
              <w:rPr>
                <w:sz w:val="20"/>
              </w:rPr>
              <w:t>Supabase (PostgreSQL)</w:t>
            </w:r>
          </w:p>
        </w:tc>
        <w:tc>
          <w:tcPr>
            <w:tcW w:type="dxa" w:w="6480"/>
          </w:tcPr>
          <w:p>
            <w:r/>
            <w:r>
              <w:rPr>
                <w:sz w:val="20"/>
              </w:rPr>
              <w:t>Managed relational database holding doctors, services, appointments, availability, and settings</w:t>
            </w:r>
          </w:p>
        </w:tc>
      </w:tr>
      <w:tr>
        <w:tc>
          <w:tcPr>
            <w:tcW w:type="dxa" w:w="3312"/>
          </w:tcPr>
          <w:p>
            <w:r/>
            <w:r>
              <w:rPr>
                <w:sz w:val="20"/>
              </w:rPr>
              <w:t>Supabase Auth</w:t>
            </w:r>
          </w:p>
        </w:tc>
        <w:tc>
          <w:tcPr>
            <w:tcW w:type="dxa" w:w="6480"/>
          </w:tcPr>
          <w:p>
            <w:r/>
            <w:r>
              <w:rPr>
                <w:sz w:val="20"/>
              </w:rPr>
              <w:t>Email/password authentication securing the admin dashboard</w:t>
            </w:r>
          </w:p>
        </w:tc>
      </w:tr>
      <w:tr>
        <w:tc>
          <w:tcPr>
            <w:tcW w:type="dxa" w:w="3312"/>
          </w:tcPr>
          <w:p>
            <w:r/>
            <w:r>
              <w:rPr>
                <w:sz w:val="20"/>
              </w:rPr>
              <w:t>Supabase Edge Functions (Deno)</w:t>
            </w:r>
          </w:p>
        </w:tc>
        <w:tc>
          <w:tcPr>
            <w:tcW w:type="dxa" w:w="6480"/>
          </w:tcPr>
          <w:p>
            <w:r/>
            <w:r>
              <w:rPr>
                <w:sz w:val="20"/>
              </w:rPr>
              <w:t>Serverless functions for outbound email — new-booking staff alerts and patient confirmations</w:t>
            </w:r>
          </w:p>
        </w:tc>
      </w:tr>
      <w:tr>
        <w:tc>
          <w:tcPr>
            <w:tcW w:type="dxa" w:w="3312"/>
          </w:tcPr>
          <w:p>
            <w:r/>
            <w:r>
              <w:rPr>
                <w:sz w:val="20"/>
              </w:rPr>
              <w:t>Row-Level Security (RLS)</w:t>
            </w:r>
          </w:p>
        </w:tc>
        <w:tc>
          <w:tcPr>
            <w:tcW w:type="dxa" w:w="6480"/>
          </w:tcPr>
          <w:p>
            <w:r/>
            <w:r>
              <w:rPr>
                <w:sz w:val="20"/>
              </w:rPr>
              <w:t>Postgres policies restricting data access by role, enforced at the database layer</w:t>
            </w:r>
          </w:p>
        </w:tc>
      </w:tr>
      <w:tr>
        <w:tc>
          <w:tcPr>
            <w:tcW w:type="dxa" w:w="3312"/>
          </w:tcPr>
          <w:p>
            <w:r/>
            <w:r>
              <w:rPr>
                <w:sz w:val="20"/>
              </w:rPr>
              <w:t>@supabase/supabase-js</w:t>
            </w:r>
          </w:p>
        </w:tc>
        <w:tc>
          <w:tcPr>
            <w:tcW w:type="dxa" w:w="6480"/>
          </w:tcPr>
          <w:p>
            <w:r/>
            <w:r>
              <w:rPr>
                <w:sz w:val="20"/>
              </w:rPr>
              <w:t>JavaScript client the frontend uses to talk to the database and auth directly (no custom API server)</w:t>
            </w:r>
          </w:p>
        </w:tc>
      </w:tr>
    </w:tbl>
    <w:p>
      <w:pPr>
        <w:spacing w:after="80"/>
      </w:pPr>
    </w:p>
    <w:p>
      <w:pPr>
        <w:pStyle w:val="Heading2"/>
      </w:pPr>
      <w:r>
        <w:t>6.3 Supporting Libraries &amp; Tooling</w:t>
      </w:r>
    </w:p>
    <w:tbl>
      <w:tblPr>
        <w:tblStyle w:val="LightGrid-Accent1"/>
        <w:tblW w:type="auto" w:w="0"/>
        <w:jc w:val="center"/>
        <w:tblLook w:firstColumn="1" w:firstRow="1" w:lastColumn="0" w:lastRow="0" w:noHBand="0" w:noVBand="1" w:val="04A0"/>
      </w:tblPr>
      <w:tblGrid>
        <w:gridCol w:w="4873"/>
        <w:gridCol w:w="4873"/>
      </w:tblGrid>
      <w:tr>
        <w:tc>
          <w:tcPr>
            <w:tcW w:type="dxa" w:w="2880"/>
            <w:shd w:fill="1B2A4A"/>
          </w:tcPr>
          <w:p>
            <w:r/>
            <w:r>
              <w:rPr>
                <w:b/>
                <w:color w:val="FFFFFF"/>
                <w:sz w:val="20"/>
              </w:rPr>
              <w:t>Technology</w:t>
            </w:r>
          </w:p>
        </w:tc>
        <w:tc>
          <w:tcPr>
            <w:tcW w:type="dxa" w:w="6912"/>
            <w:shd w:fill="1B2A4A"/>
          </w:tcPr>
          <w:p>
            <w:r/>
            <w:r>
              <w:rPr>
                <w:b/>
                <w:color w:val="FFFFFF"/>
                <w:sz w:val="20"/>
              </w:rPr>
              <w:t>Purpose</w:t>
            </w:r>
          </w:p>
        </w:tc>
      </w:tr>
      <w:tr>
        <w:tc>
          <w:tcPr>
            <w:tcW w:type="dxa" w:w="2880"/>
          </w:tcPr>
          <w:p>
            <w:r/>
            <w:r>
              <w:rPr>
                <w:sz w:val="20"/>
              </w:rPr>
              <w:t>qrcode</w:t>
            </w:r>
          </w:p>
        </w:tc>
        <w:tc>
          <w:tcPr>
            <w:tcW w:type="dxa" w:w="6912"/>
          </w:tcPr>
          <w:p>
            <w:r/>
            <w:r>
              <w:rPr>
                <w:sz w:val="20"/>
              </w:rPr>
              <w:t>Generates the UPI payment QR code shown during checkout</w:t>
            </w:r>
          </w:p>
        </w:tc>
      </w:tr>
      <w:tr>
        <w:tc>
          <w:tcPr>
            <w:tcW w:type="dxa" w:w="2880"/>
          </w:tcPr>
          <w:p>
            <w:r/>
            <w:r>
              <w:rPr>
                <w:sz w:val="20"/>
              </w:rPr>
              <w:t>sharp</w:t>
            </w:r>
          </w:p>
        </w:tc>
        <w:tc>
          <w:tcPr>
            <w:tcW w:type="dxa" w:w="6912"/>
          </w:tcPr>
          <w:p>
            <w:r/>
            <w:r>
              <w:rPr>
                <w:sz w:val="20"/>
              </w:rPr>
              <w:t>Server-side image optimization during the build/asset pipeline</w:t>
            </w:r>
          </w:p>
        </w:tc>
      </w:tr>
      <w:tr>
        <w:tc>
          <w:tcPr>
            <w:tcW w:type="dxa" w:w="2880"/>
          </w:tcPr>
          <w:p>
            <w:r/>
            <w:r>
              <w:rPr>
                <w:sz w:val="20"/>
              </w:rPr>
              <w:t>Playwright</w:t>
            </w:r>
          </w:p>
        </w:tc>
        <w:tc>
          <w:tcPr>
            <w:tcW w:type="dxa" w:w="6912"/>
          </w:tcPr>
          <w:p>
            <w:r/>
            <w:r>
              <w:rPr>
                <w:sz w:val="20"/>
              </w:rPr>
              <w:t>Used ad hoc for automated image-processing scripts</w:t>
            </w:r>
          </w:p>
        </w:tc>
      </w:tr>
      <w:tr>
        <w:tc>
          <w:tcPr>
            <w:tcW w:type="dxa" w:w="2880"/>
          </w:tcPr>
          <w:p>
            <w:r/>
            <w:r>
              <w:rPr>
                <w:sz w:val="20"/>
              </w:rPr>
              <w:t>oxlint</w:t>
            </w:r>
          </w:p>
        </w:tc>
        <w:tc>
          <w:tcPr>
            <w:tcW w:type="dxa" w:w="6912"/>
          </w:tcPr>
          <w:p>
            <w:r/>
            <w:r>
              <w:rPr>
                <w:sz w:val="20"/>
              </w:rPr>
              <w:t>Fast linter enforcing code quality and consistency</w:t>
            </w:r>
          </w:p>
        </w:tc>
      </w:tr>
      <w:tr>
        <w:tc>
          <w:tcPr>
            <w:tcW w:type="dxa" w:w="2880"/>
          </w:tcPr>
          <w:p>
            <w:r/>
            <w:r>
              <w:rPr>
                <w:sz w:val="20"/>
              </w:rPr>
              <w:t>PostCSS + Autoprefixer</w:t>
            </w:r>
          </w:p>
        </w:tc>
        <w:tc>
          <w:tcPr>
            <w:tcW w:type="dxa" w:w="6912"/>
          </w:tcPr>
          <w:p>
            <w:r/>
            <w:r>
              <w:rPr>
                <w:sz w:val="20"/>
              </w:rPr>
              <w:t>CSS processing pipeline supporting Tailwind</w:t>
            </w:r>
          </w:p>
        </w:tc>
      </w:tr>
      <w:tr>
        <w:tc>
          <w:tcPr>
            <w:tcW w:type="dxa" w:w="2880"/>
          </w:tcPr>
          <w:p>
            <w:r/>
            <w:r>
              <w:rPr>
                <w:sz w:val="20"/>
              </w:rPr>
              <w:t>npm</w:t>
            </w:r>
          </w:p>
        </w:tc>
        <w:tc>
          <w:tcPr>
            <w:tcW w:type="dxa" w:w="6912"/>
          </w:tcPr>
          <w:p>
            <w:r/>
            <w:r>
              <w:rPr>
                <w:sz w:val="20"/>
              </w:rPr>
              <w:t>Package management and build scripts</w:t>
            </w:r>
          </w:p>
        </w:tc>
      </w:tr>
    </w:tbl>
    <w:p>
      <w:pPr>
        <w:spacing w:after="80"/>
      </w:pPr>
    </w:p>
    <w:p>
      <w:pPr>
        <w:pStyle w:val="Heading2"/>
      </w:pPr>
      <w:r>
        <w:t>6.4 Hosting &amp; Deployment</w:t>
      </w:r>
    </w:p>
    <w:tbl>
      <w:tblPr>
        <w:tblStyle w:val="LightGrid-Accent1"/>
        <w:tblW w:type="auto" w:w="0"/>
        <w:jc w:val="center"/>
        <w:tblLook w:firstColumn="1" w:firstRow="1" w:lastColumn="0" w:lastRow="0" w:noHBand="0" w:noVBand="1" w:val="04A0"/>
      </w:tblPr>
      <w:tblGrid>
        <w:gridCol w:w="4873"/>
        <w:gridCol w:w="4873"/>
      </w:tblGrid>
      <w:tr>
        <w:tc>
          <w:tcPr>
            <w:tcW w:type="dxa" w:w="2880"/>
            <w:shd w:fill="1B2A4A"/>
          </w:tcPr>
          <w:p>
            <w:r/>
            <w:r>
              <w:rPr>
                <w:b/>
                <w:color w:val="FFFFFF"/>
                <w:sz w:val="20"/>
              </w:rPr>
              <w:t>Technology</w:t>
            </w:r>
          </w:p>
        </w:tc>
        <w:tc>
          <w:tcPr>
            <w:tcW w:type="dxa" w:w="6912"/>
            <w:shd w:fill="1B2A4A"/>
          </w:tcPr>
          <w:p>
            <w:r/>
            <w:r>
              <w:rPr>
                <w:b/>
                <w:color w:val="FFFFFF"/>
                <w:sz w:val="20"/>
              </w:rPr>
              <w:t>Purpose</w:t>
            </w:r>
          </w:p>
        </w:tc>
      </w:tr>
      <w:tr>
        <w:tc>
          <w:tcPr>
            <w:tcW w:type="dxa" w:w="2880"/>
          </w:tcPr>
          <w:p>
            <w:r/>
            <w:r>
              <w:rPr>
                <w:sz w:val="20"/>
              </w:rPr>
              <w:t>Netlify</w:t>
            </w:r>
          </w:p>
        </w:tc>
        <w:tc>
          <w:tcPr>
            <w:tcW w:type="dxa" w:w="6912"/>
          </w:tcPr>
          <w:p>
            <w:r/>
            <w:r>
              <w:rPr>
                <w:sz w:val="20"/>
              </w:rPr>
              <w:t>Production hosting, CDN, and CI/CD — auto-deploys on every push to the main branch</w:t>
            </w:r>
          </w:p>
        </w:tc>
      </w:tr>
      <w:tr>
        <w:tc>
          <w:tcPr>
            <w:tcW w:type="dxa" w:w="2880"/>
          </w:tcPr>
          <w:p>
            <w:r/>
            <w:r>
              <w:rPr>
                <w:sz w:val="20"/>
              </w:rPr>
              <w:t>Git / GitHub</w:t>
            </w:r>
          </w:p>
        </w:tc>
        <w:tc>
          <w:tcPr>
            <w:tcW w:type="dxa" w:w="6912"/>
          </w:tcPr>
          <w:p>
            <w:r/>
            <w:r>
              <w:rPr>
                <w:sz w:val="20"/>
              </w:rPr>
              <w:t>Source control and deployment trigger</w:t>
            </w:r>
          </w:p>
        </w:tc>
      </w:tr>
      <w:tr>
        <w:tc>
          <w:tcPr>
            <w:tcW w:type="dxa" w:w="2880"/>
          </w:tcPr>
          <w:p>
            <w:r/>
            <w:r>
              <w:rPr>
                <w:sz w:val="20"/>
              </w:rPr>
              <w:t>Unsplash CDN</w:t>
            </w:r>
          </w:p>
        </w:tc>
        <w:tc>
          <w:tcPr>
            <w:tcW w:type="dxa" w:w="6912"/>
          </w:tcPr>
          <w:p>
            <w:r/>
            <w:r>
              <w:rPr>
                <w:sz w:val="20"/>
              </w:rPr>
              <w:t>Supplemental stock photography served alongside the clinic's own photos</w:t>
            </w:r>
          </w:p>
        </w:tc>
      </w:tr>
    </w:tbl>
    <w:p>
      <w:pPr>
        <w:spacing w:after="80"/>
      </w:pPr>
    </w:p>
    <w:p>
      <w:r>
        <w:br w:type="page"/>
      </w:r>
    </w:p>
    <w:p>
      <w:pPr>
        <w:pStyle w:val="Heading1"/>
      </w:pPr>
      <w:r>
        <w:t>7. System Architecture</w:t>
      </w:r>
    </w:p>
    <w:p>
      <w:pPr>
        <w:spacing w:after="160"/>
      </w:pPr>
      <w:r>
        <w:rPr>
          <w:b w:val="0"/>
          <w:sz w:val="22"/>
        </w:rPr>
        <w:t>The application follows a modern JAMstack-style architecture: a statically-built, client-side React application is served from Netlify's global CDN, and talks directly to Supabase (hosted PostgreSQL + Auth + Edge Functions) over HTTPS for all dynamic data. There is no custom backend server to deploy, patch, or scale — Supabase and Netlify handle that layer.</w:t>
      </w:r>
    </w:p>
    <w:p>
      <w:pPr>
        <w:pStyle w:val="Heading3"/>
      </w:pPr>
      <w:r>
        <w:t>Request Flow</w:t>
      </w:r>
    </w:p>
    <w:p>
      <w:pPr>
        <w:pStyle w:val="ListBullet"/>
      </w:pPr>
      <w:r>
        <w:t>A visitor's browser loads the pre-built React app (HTML/CSS/JS) from Netlify's CDN.</w:t>
      </w:r>
    </w:p>
    <w:p>
      <w:pPr>
        <w:pStyle w:val="ListBullet"/>
      </w:pPr>
      <w:r>
        <w:t>Public content (services, doctor profile, journey content) is bundled with the app or loaded from local/Unsplash image sources — no database call required to browse the marketing site.</w:t>
      </w:r>
    </w:p>
    <w:p>
      <w:pPr>
        <w:pStyle w:val="ListBullet"/>
      </w:pPr>
      <w:r>
        <w:t>Booking a slot calls Supabase directly (via supabase-js) to check availability and insert an appointment row, protected by Row-Level Security.</w:t>
      </w:r>
    </w:p>
    <w:p>
      <w:pPr>
        <w:pStyle w:val="ListBullet"/>
      </w:pPr>
      <w:r>
        <w:t>A successful booking triggers the notify-new-booking Edge Function, emailing staff immediately.</w:t>
      </w:r>
    </w:p>
    <w:p>
      <w:pPr>
        <w:pStyle w:val="ListBullet"/>
      </w:pPr>
      <w:r>
        <w:t>When staff update a booking's status/payment in the admin dashboard, the send-confirmation Edge Function emails the patient.</w:t>
      </w:r>
    </w:p>
    <w:p>
      <w:pPr>
        <w:pStyle w:val="ListBullet"/>
      </w:pPr>
      <w:r>
        <w:t>Admin routes are gated by Supabase Auth; unauthenticated visitors are redirected to /admin/login.</w:t>
      </w:r>
    </w:p>
    <w:p>
      <w:pPr>
        <w:spacing w:after="160"/>
      </w:pPr>
      <w:r>
        <w:rPr>
          <w:b w:val="0"/>
          <w:sz w:val="22"/>
        </w:rPr>
        <w:t>Without Supabase configured (e.g. in a fresh local environment), the marketing site still renders fully — booking and admin features degrade gracefully instead of crashing the app, controlled by an isSupabaseConfigured flag.</w:t>
      </w:r>
    </w:p>
    <w:p>
      <w:r>
        <w:br w:type="page"/>
      </w:r>
    </w:p>
    <w:p>
      <w:pPr>
        <w:pStyle w:val="Heading1"/>
      </w:pPr>
      <w:r>
        <w:t>8. Functional Requirements</w:t>
      </w:r>
    </w:p>
    <w:p>
      <w:pPr>
        <w:pStyle w:val="Heading2"/>
      </w:pPr>
      <w:r>
        <w:t>8.1 Public Marketing Website</w:t>
      </w:r>
    </w:p>
    <w:p>
      <w:pPr>
        <w:spacing w:after="160"/>
      </w:pPr>
      <w:r>
        <w:rPr>
          <w:b w:val="0"/>
          <w:sz w:val="22"/>
        </w:rPr>
        <w:t>The homepage is assembled from focused, single-purpose sections designed to build trust and guide the visitor toward booking:</w:t>
      </w:r>
    </w:p>
    <w:p>
      <w:pPr>
        <w:pStyle w:val="ListBullet"/>
      </w:pPr>
      <w:r>
        <w:rPr>
          <w:b/>
        </w:rPr>
        <w:t xml:space="preserve"> — introduces the practice with a warm, high-impact visual and a primary call-to-action to book.</w:t>
      </w:r>
      <w:r>
        <w:t>Hero</w:t>
      </w:r>
    </w:p>
    <w:p>
      <w:pPr>
        <w:pStyle w:val="ListBullet"/>
      </w:pPr>
      <w:r>
        <w:rPr>
          <w:b/>
        </w:rPr>
        <w:t xml:space="preserve"> — quick-glance credibility markers (experience, patients cared for, ratings).</w:t>
      </w:r>
      <w:r>
        <w:t>Trust Strip</w:t>
      </w:r>
    </w:p>
    <w:p>
      <w:pPr>
        <w:pStyle w:val="ListBullet"/>
      </w:pPr>
      <w:r>
        <w:rPr>
          <w:b/>
        </w:rPr>
        <w:t xml:space="preserve"> — Dr. Haritha Mandava's qualifications, specializations, languages spoken, and availability.</w:t>
      </w:r>
      <w:r>
        <w:t>Doctor Spotlight</w:t>
      </w:r>
    </w:p>
    <w:p>
      <w:pPr>
        <w:pStyle w:val="ListBullet"/>
      </w:pPr>
      <w:r>
        <w:rPr>
          <w:b/>
        </w:rPr>
        <w:t xml:space="preserve"> — content mapped to each trimester through delivery and postnatal care.</w:t>
      </w:r>
      <w:r>
        <w:t>Pregnancy Journey</w:t>
      </w:r>
    </w:p>
    <w:p>
      <w:pPr>
        <w:pStyle w:val="ListBullet"/>
      </w:pPr>
      <w:r>
        <w:rPr>
          <w:b/>
        </w:rPr>
        <w:t xml:space="preserve"> — an emotionally-driven storytelling section (crying, laughing, cooing moments) reinforcing the human side of care, each with supporting audio.</w:t>
      </w:r>
      <w:r>
        <w:t>Baby Emotions</w:t>
      </w:r>
    </w:p>
    <w:p>
      <w:pPr>
        <w:pStyle w:val="ListBullet"/>
      </w:pPr>
      <w:r>
        <w:rPr>
          <w:b/>
        </w:rPr>
        <w:t xml:space="preserve"> — photography-led sections building emotional connection.</w:t>
      </w:r>
      <w:r>
        <w:t>Mother &amp; Baby Story / Emotional Collage</w:t>
      </w:r>
    </w:p>
    <w:p>
      <w:pPr>
        <w:pStyle w:val="ListBullet"/>
      </w:pPr>
      <w:r>
        <w:rPr>
          <w:b/>
        </w:rPr>
        <w:t xml:space="preserve"> — key numbers (years of experience, patients served, satisfaction).</w:t>
      </w:r>
      <w:r>
        <w:t>Stats</w:t>
      </w:r>
    </w:p>
    <w:p>
      <w:pPr>
        <w:pStyle w:val="ListBullet"/>
      </w:pPr>
      <w:r>
        <w:rPr>
          <w:b/>
        </w:rPr>
        <w:t xml:space="preserve"> — a closing prompt to book an appointment.</w:t>
      </w:r>
      <w:r>
        <w:t>Final Call-to-Action</w:t>
      </w:r>
    </w:p>
    <w:p>
      <w:pPr>
        <w:pStyle w:val="ListBullet"/>
      </w:pPr>
      <w:r>
        <w:rPr>
          <w:b/>
        </w:rPr>
        <w:t xml:space="preserve"> — instantly re-renders all UI text in the visitor's preferred language.</w:t>
      </w:r>
      <w:r>
        <w:t>Language Switcher</w:t>
      </w:r>
    </w:p>
    <w:p>
      <w:pPr>
        <w:jc w:val="center"/>
      </w:pPr>
      <w:r>
        <w:drawing>
          <wp:inline xmlns:a="http://schemas.openxmlformats.org/drawingml/2006/main" xmlns:pic="http://schemas.openxmlformats.org/drawingml/2006/picture">
            <wp:extent cx="3017520" cy="4526280"/>
            <wp:docPr id="5" name="Picture 5"/>
            <wp:cNvGraphicFramePr>
              <a:graphicFrameLocks noChangeAspect="1"/>
            </wp:cNvGraphicFramePr>
            <a:graphic>
              <a:graphicData uri="http://schemas.openxmlformats.org/drawingml/2006/picture">
                <pic:pic>
                  <pic:nvPicPr>
                    <pic:cNvPr id="0" name="pregnant_mother.jpg"/>
                    <pic:cNvPicPr/>
                  </pic:nvPicPr>
                  <pic:blipFill>
                    <a:blip r:embed="rId14"/>
                    <a:stretch>
                      <a:fillRect/>
                    </a:stretch>
                  </pic:blipFill>
                  <pic:spPr>
                    <a:xfrm>
                      <a:off x="0" y="0"/>
                      <a:ext cx="3017520" cy="4526280"/>
                    </a:xfrm>
                    <a:prstGeom prst="rect"/>
                  </pic:spPr>
                </pic:pic>
              </a:graphicData>
            </a:graphic>
          </wp:inline>
        </w:drawing>
      </w:r>
    </w:p>
    <w:p>
      <w:pPr>
        <w:jc w:val="center"/>
      </w:pPr>
      <w:r>
        <w:rPr>
          <w:i/>
          <w:color w:val="555555"/>
          <w:sz w:val="18"/>
        </w:rPr>
        <w:t>Hero storytelling imagery used across the marketing site's pregnancy-journey sections.</w:t>
      </w:r>
    </w:p>
    <w:p>
      <w:pPr>
        <w:pStyle w:val="Heading2"/>
      </w:pPr>
      <w:r>
        <w:t>8.2 Online Appointment Booking</w:t>
      </w:r>
    </w:p>
    <w:p>
      <w:pPr>
        <w:spacing w:after="160"/>
      </w:pPr>
      <w:r>
        <w:rPr>
          <w:b w:val="0"/>
          <w:sz w:val="22"/>
        </w:rPr>
        <w:t>A guided, multi-step booking wizard lets a patient reserve a consultation without calling the clinic:</w:t>
      </w:r>
    </w:p>
    <w:p>
      <w:pPr>
        <w:pStyle w:val="ListBullet"/>
      </w:pPr>
      <w:r>
        <w:rPr>
          <w:b/>
        </w:rPr>
        <w:t xml:space="preserve"> (currently: Gynecological Consultation, 30 minutes).</w:t>
      </w:r>
      <w:r>
        <w:t>Step 1 — Service selection</w:t>
      </w:r>
    </w:p>
    <w:p>
      <w:pPr>
        <w:pStyle w:val="ListBullet"/>
      </w:pPr>
      <w:r>
        <w:rPr>
          <w:b/>
        </w:rPr>
        <w:t xml:space="preserve"> via a calendar date picker; already-booked and blocked slots are automatically disabled.</w:t>
      </w:r>
      <w:r>
        <w:t>Step 2 — Date &amp; time selection</w:t>
      </w:r>
    </w:p>
    <w:p>
      <w:pPr>
        <w:pStyle w:val="ListBullet"/>
      </w:pPr>
      <w:r>
        <w:rPr>
          <w:b/>
        </w:rPr>
        <w:t xml:space="preserve"> — full name, phone, email, date of birth, reason for visit (from a configurable checklist), and an optional message.</w:t>
      </w:r>
      <w:r>
        <w:t>Step 3 — Patient details</w:t>
      </w:r>
    </w:p>
    <w:p>
      <w:pPr>
        <w:pStyle w:val="ListBullet"/>
      </w:pPr>
      <w:r>
        <w:rPr>
          <w:b/>
        </w:rPr>
        <w:t xml:space="preserve"> — a UPI QR code is displayed with the configured payee details; the patient sends payment via any UPI app, optionally messages a screenshot over WhatsApp, and enters their UPI transaction ID.</w:t>
      </w:r>
      <w:r>
        <w:t>Step 4 — Payment</w:t>
      </w:r>
    </w:p>
    <w:p>
      <w:pPr>
        <w:pStyle w:val="ListBullet"/>
      </w:pPr>
      <w:r>
        <w:rPr>
          <w:b/>
        </w:rPr>
        <w:t xml:space="preserve"> — the booking is saved to the database and staff are notified by email immediately.</w:t>
      </w:r>
      <w:r>
        <w:t>Confirmation</w:t>
      </w:r>
    </w:p>
    <w:p>
      <w:pPr>
        <w:spacing w:after="160"/>
      </w:pPr>
      <w:r>
        <w:rPr>
          <w:b w:val="0"/>
          <w:sz w:val="22"/>
        </w:rPr>
        <w:t>Availability is layered: a slot is unbookable if it is already booked, individually blocked by staff, or falls on a day staff have blocked entirely — the calendar greys out fully-blocked days automatically.</w:t>
      </w:r>
    </w:p>
    <w:p>
      <w:pPr>
        <w:pStyle w:val="Heading2"/>
      </w:pPr>
      <w:r>
        <w:t>8.3 Admin Dashboard</w:t>
      </w:r>
    </w:p>
    <w:p>
      <w:pPr>
        <w:spacing w:after="160"/>
      </w:pPr>
      <w:r>
        <w:rPr>
          <w:b w:val="0"/>
          <w:sz w:val="22"/>
        </w:rPr>
        <w:t>A private, authenticated dashboard (/admin) gives staff full operational control:</w:t>
      </w:r>
    </w:p>
    <w:tbl>
      <w:tblPr>
        <w:tblStyle w:val="LightGrid-Accent1"/>
        <w:tblW w:type="auto" w:w="0"/>
        <w:jc w:val="center"/>
        <w:tblLook w:firstColumn="1" w:firstRow="1" w:lastColumn="0" w:lastRow="0" w:noHBand="0" w:noVBand="1" w:val="04A0"/>
      </w:tblPr>
      <w:tblGrid>
        <w:gridCol w:w="4873"/>
        <w:gridCol w:w="4873"/>
      </w:tblGrid>
      <w:tr>
        <w:tc>
          <w:tcPr>
            <w:tcW w:type="dxa" w:w="2160"/>
            <w:shd w:fill="1B2A4A"/>
          </w:tcPr>
          <w:p>
            <w:r/>
            <w:r>
              <w:rPr>
                <w:b/>
                <w:color w:val="FFFFFF"/>
                <w:sz w:val="20"/>
              </w:rPr>
              <w:t>Tab</w:t>
            </w:r>
          </w:p>
        </w:tc>
        <w:tc>
          <w:tcPr>
            <w:tcW w:type="dxa" w:w="7632"/>
            <w:shd w:fill="1B2A4A"/>
          </w:tcPr>
          <w:p>
            <w:r/>
            <w:r>
              <w:rPr>
                <w:b/>
                <w:color w:val="FFFFFF"/>
                <w:sz w:val="20"/>
              </w:rPr>
              <w:t>Capability</w:t>
            </w:r>
          </w:p>
        </w:tc>
      </w:tr>
      <w:tr>
        <w:tc>
          <w:tcPr>
            <w:tcW w:type="dxa" w:w="2160"/>
          </w:tcPr>
          <w:p>
            <w:r/>
            <w:r>
              <w:rPr>
                <w:sz w:val="20"/>
              </w:rPr>
              <w:t>Overview</w:t>
            </w:r>
          </w:p>
        </w:tc>
        <w:tc>
          <w:tcPr>
            <w:tcW w:type="dxa" w:w="7632"/>
          </w:tcPr>
          <w:p>
            <w:r/>
            <w:r>
              <w:rPr>
                <w:sz w:val="20"/>
              </w:rPr>
              <w:t>At-a-glance summary of bookings and activity</w:t>
            </w:r>
          </w:p>
        </w:tc>
      </w:tr>
      <w:tr>
        <w:tc>
          <w:tcPr>
            <w:tcW w:type="dxa" w:w="2160"/>
          </w:tcPr>
          <w:p>
            <w:r/>
            <w:r>
              <w:rPr>
                <w:sz w:val="20"/>
              </w:rPr>
              <w:t>Appointments</w:t>
            </w:r>
          </w:p>
        </w:tc>
        <w:tc>
          <w:tcPr>
            <w:tcW w:type="dxa" w:w="7632"/>
          </w:tcPr>
          <w:p>
            <w:r/>
            <w:r>
              <w:rPr>
                <w:sz w:val="20"/>
              </w:rPr>
              <w:t>View every booking; update status (pending / confirmed / cancelled / completed / no-show) and payment (pending / paid / failed) independently; search by name, phone, email, or UPI transaction ID; filter by date; open full patient detail</w:t>
            </w:r>
          </w:p>
        </w:tc>
      </w:tr>
      <w:tr>
        <w:tc>
          <w:tcPr>
            <w:tcW w:type="dxa" w:w="2160"/>
          </w:tcPr>
          <w:p>
            <w:r/>
            <w:r>
              <w:rPr>
                <w:sz w:val="20"/>
              </w:rPr>
              <w:t>Availability</w:t>
            </w:r>
          </w:p>
        </w:tc>
        <w:tc>
          <w:tcPr>
            <w:tcW w:type="dxa" w:w="7632"/>
          </w:tcPr>
          <w:p>
            <w:r/>
            <w:r>
              <w:rPr>
                <w:sz w:val="20"/>
              </w:rPr>
              <w:t>Block an individual time slot, or block an entire day, on top of the fixed weekly schedule</w:t>
            </w:r>
          </w:p>
        </w:tc>
      </w:tr>
      <w:tr>
        <w:tc>
          <w:tcPr>
            <w:tcW w:type="dxa" w:w="2160"/>
          </w:tcPr>
          <w:p>
            <w:r/>
            <w:r>
              <w:rPr>
                <w:sz w:val="20"/>
              </w:rPr>
              <w:t>Payments</w:t>
            </w:r>
          </w:p>
        </w:tc>
        <w:tc>
          <w:tcPr>
            <w:tcW w:type="dxa" w:w="7632"/>
          </w:tcPr>
          <w:p>
            <w:r/>
            <w:r>
              <w:rPr>
                <w:sz w:val="20"/>
              </w:rPr>
              <w:t>Track manually-verified payment status per booking; export records to CSV for offline records</w:t>
            </w:r>
          </w:p>
        </w:tc>
      </w:tr>
      <w:tr>
        <w:tc>
          <w:tcPr>
            <w:tcW w:type="dxa" w:w="2160"/>
          </w:tcPr>
          <w:p>
            <w:r/>
            <w:r>
              <w:rPr>
                <w:sz w:val="20"/>
              </w:rPr>
              <w:t>Settings</w:t>
            </w:r>
          </w:p>
        </w:tc>
        <w:tc>
          <w:tcPr>
            <w:tcW w:type="dxa" w:w="7632"/>
          </w:tcPr>
          <w:p>
            <w:r/>
            <w:r>
              <w:rPr>
                <w:sz w:val="20"/>
              </w:rPr>
              <w:t>Configure booking fee, UPI ID, payee name, WhatsApp contact number, and the reason-for-visit checklist</w:t>
            </w:r>
          </w:p>
        </w:tc>
      </w:tr>
    </w:tbl>
    <w:p>
      <w:pPr>
        <w:spacing w:after="80"/>
      </w:pPr>
    </w:p>
    <w:p>
      <w:pPr>
        <w:pStyle w:val="ListBullet"/>
      </w:pPr>
      <w:r>
        <w:rPr>
          <w:b/>
        </w:rPr>
        <w:t xml:space="preserve"> — plain email/password via Supabase Auth; staff accounts are created manually (no public self-signup), by design.</w:t>
      </w:r>
      <w:r>
        <w:t>Authentication</w:t>
      </w:r>
    </w:p>
    <w:p>
      <w:pPr>
        <w:pStyle w:val="ListBullet"/>
      </w:pPr>
      <w:r>
        <w:rPr>
          <w:b/>
        </w:rPr>
        <w:t xml:space="preserve"> — appointments are fetched once per session and shared across tabs for consistency and performance.</w:t>
      </w:r>
      <w:r>
        <w:t>Shared data loading</w:t>
      </w:r>
    </w:p>
    <w:p>
      <w:pPr>
        <w:pStyle w:val="Heading2"/>
      </w:pPr>
      <w:r>
        <w:t>8.4 Notifications</w:t>
      </w:r>
    </w:p>
    <w:p>
      <w:pPr>
        <w:pStyle w:val="ListBullet"/>
      </w:pPr>
      <w:r>
        <w:rPr>
          <w:b/>
        </w:rPr>
        <w:t xml:space="preserve"> — staff receive an email the moment a patient completes a booking (notify-new-booking Edge Function).</w:t>
      </w:r>
      <w:r>
        <w:t>New-booking alert</w:t>
      </w:r>
    </w:p>
    <w:p>
      <w:pPr>
        <w:pStyle w:val="ListBullet"/>
      </w:pPr>
      <w:r>
        <w:rPr>
          <w:b/>
        </w:rPr>
        <w:t xml:space="preserve"> — the patient receives a confirmation email once staff mark the booking's status and payment (send-confirmation Edge Function).</w:t>
      </w:r>
      <w:r>
        <w:t>Patient confirmation</w:t>
      </w:r>
    </w:p>
    <w:p>
      <w:pPr>
        <w:pStyle w:val="ListBullet"/>
      </w:pPr>
      <w:r>
        <w:rPr>
          <w:b/>
        </w:rPr>
        <w:t xml:space="preserve"> — a click-to-chat WhatsApp link is offered during payment for the patient to share a payment screenshot directly with the clinic.</w:t>
      </w:r>
      <w:r>
        <w:t>WhatsApp assist</w:t>
      </w:r>
    </w:p>
    <w:p>
      <w:pPr>
        <w:pStyle w:val="Heading2"/>
      </w:pPr>
      <w:r>
        <w:t>8.5 Multilingual Support (i18n)</w:t>
      </w:r>
    </w:p>
    <w:p>
      <w:pPr>
        <w:spacing w:after="160"/>
      </w:pPr>
      <w:r>
        <w:rPr>
          <w:b w:val="0"/>
          <w:sz w:val="22"/>
        </w:rPr>
        <w:t>Every user-facing string is centralized and keyed by section, with a lightweight custom translation context (not a third-party i18n library) exposing t() for single strings and tList() for lists (e.g. checklists). The site currently supports:</w:t>
      </w:r>
    </w:p>
    <w:tbl>
      <w:tblPr>
        <w:tblStyle w:val="LightGrid-Accent1"/>
        <w:tblW w:type="auto" w:w="0"/>
        <w:jc w:val="center"/>
        <w:tblLook w:firstColumn="1" w:firstRow="1" w:lastColumn="0" w:lastRow="0" w:noHBand="0" w:noVBand="1" w:val="04A0"/>
      </w:tblPr>
      <w:tblGrid>
        <w:gridCol w:w="4873"/>
        <w:gridCol w:w="4873"/>
      </w:tblGrid>
      <w:tr>
        <w:tc>
          <w:tcPr>
            <w:tcW w:type="dxa" w:w="4320"/>
            <w:shd w:fill="1B2A4A"/>
          </w:tcPr>
          <w:p>
            <w:r/>
            <w:r>
              <w:rPr>
                <w:b/>
                <w:color w:val="FFFFFF"/>
                <w:sz w:val="20"/>
              </w:rPr>
              <w:t>Language</w:t>
            </w:r>
          </w:p>
        </w:tc>
        <w:tc>
          <w:tcPr>
            <w:tcW w:type="dxa" w:w="5472"/>
            <w:shd w:fill="1B2A4A"/>
          </w:tcPr>
          <w:p>
            <w:r/>
            <w:r>
              <w:rPr>
                <w:b/>
                <w:color w:val="FFFFFF"/>
                <w:sz w:val="20"/>
              </w:rPr>
              <w:t>Code</w:t>
            </w:r>
          </w:p>
        </w:tc>
      </w:tr>
      <w:tr>
        <w:tc>
          <w:tcPr>
            <w:tcW w:type="dxa" w:w="4320"/>
          </w:tcPr>
          <w:p>
            <w:r/>
            <w:r>
              <w:rPr>
                <w:sz w:val="20"/>
              </w:rPr>
              <w:t>English</w:t>
            </w:r>
          </w:p>
        </w:tc>
        <w:tc>
          <w:tcPr>
            <w:tcW w:type="dxa" w:w="5472"/>
          </w:tcPr>
          <w:p>
            <w:r/>
            <w:r>
              <w:rPr>
                <w:sz w:val="20"/>
              </w:rPr>
              <w:t>en</w:t>
            </w:r>
          </w:p>
        </w:tc>
      </w:tr>
      <w:tr>
        <w:tc>
          <w:tcPr>
            <w:tcW w:type="dxa" w:w="4320"/>
          </w:tcPr>
          <w:p>
            <w:r/>
            <w:r>
              <w:rPr>
                <w:sz w:val="20"/>
              </w:rPr>
              <w:t>Hindi</w:t>
            </w:r>
          </w:p>
        </w:tc>
        <w:tc>
          <w:tcPr>
            <w:tcW w:type="dxa" w:w="5472"/>
          </w:tcPr>
          <w:p>
            <w:r/>
            <w:r>
              <w:rPr>
                <w:sz w:val="20"/>
              </w:rPr>
              <w:t>hi</w:t>
            </w:r>
          </w:p>
        </w:tc>
      </w:tr>
      <w:tr>
        <w:tc>
          <w:tcPr>
            <w:tcW w:type="dxa" w:w="4320"/>
          </w:tcPr>
          <w:p>
            <w:r/>
            <w:r>
              <w:rPr>
                <w:sz w:val="20"/>
              </w:rPr>
              <w:t>Telugu</w:t>
            </w:r>
          </w:p>
        </w:tc>
        <w:tc>
          <w:tcPr>
            <w:tcW w:type="dxa" w:w="5472"/>
          </w:tcPr>
          <w:p>
            <w:r/>
            <w:r>
              <w:rPr>
                <w:sz w:val="20"/>
              </w:rPr>
              <w:t>te</w:t>
            </w:r>
          </w:p>
        </w:tc>
      </w:tr>
      <w:tr>
        <w:tc>
          <w:tcPr>
            <w:tcW w:type="dxa" w:w="4320"/>
          </w:tcPr>
          <w:p>
            <w:r/>
            <w:r>
              <w:rPr>
                <w:sz w:val="20"/>
              </w:rPr>
              <w:t>Tamil</w:t>
            </w:r>
          </w:p>
        </w:tc>
        <w:tc>
          <w:tcPr>
            <w:tcW w:type="dxa" w:w="5472"/>
          </w:tcPr>
          <w:p>
            <w:r/>
            <w:r>
              <w:rPr>
                <w:sz w:val="20"/>
              </w:rPr>
              <w:t>ta</w:t>
            </w:r>
          </w:p>
        </w:tc>
      </w:tr>
      <w:tr>
        <w:tc>
          <w:tcPr>
            <w:tcW w:type="dxa" w:w="4320"/>
          </w:tcPr>
          <w:p>
            <w:r/>
            <w:r>
              <w:rPr>
                <w:sz w:val="20"/>
              </w:rPr>
              <w:t>Kannada</w:t>
            </w:r>
          </w:p>
        </w:tc>
        <w:tc>
          <w:tcPr>
            <w:tcW w:type="dxa" w:w="5472"/>
          </w:tcPr>
          <w:p>
            <w:r/>
            <w:r>
              <w:rPr>
                <w:sz w:val="20"/>
              </w:rPr>
              <w:t>kn</w:t>
            </w:r>
          </w:p>
        </w:tc>
      </w:tr>
    </w:tbl>
    <w:p>
      <w:pPr>
        <w:spacing w:after="80"/>
      </w:pPr>
    </w:p>
    <w:p>
      <w:r>
        <w:br w:type="page"/>
      </w:r>
    </w:p>
    <w:p>
      <w:pPr>
        <w:pStyle w:val="Heading1"/>
      </w:pPr>
      <w:r>
        <w:t>9. Non-Functional Requirements</w:t>
      </w:r>
    </w:p>
    <w:tbl>
      <w:tblPr>
        <w:tblStyle w:val="LightGrid-Accent1"/>
        <w:tblW w:type="auto" w:w="0"/>
        <w:jc w:val="center"/>
        <w:tblLook w:firstColumn="1" w:firstRow="1" w:lastColumn="0" w:lastRow="0" w:noHBand="0" w:noVBand="1" w:val="04A0"/>
      </w:tblPr>
      <w:tblGrid>
        <w:gridCol w:w="4873"/>
        <w:gridCol w:w="4873"/>
      </w:tblGrid>
      <w:tr>
        <w:tc>
          <w:tcPr>
            <w:tcW w:type="dxa" w:w="2304"/>
            <w:shd w:fill="1B2A4A"/>
          </w:tcPr>
          <w:p>
            <w:r/>
            <w:r>
              <w:rPr>
                <w:b/>
                <w:color w:val="FFFFFF"/>
                <w:sz w:val="20"/>
              </w:rPr>
              <w:t>Category</w:t>
            </w:r>
          </w:p>
        </w:tc>
        <w:tc>
          <w:tcPr>
            <w:tcW w:type="dxa" w:w="7488"/>
            <w:shd w:fill="1B2A4A"/>
          </w:tcPr>
          <w:p>
            <w:r/>
            <w:r>
              <w:rPr>
                <w:b/>
                <w:color w:val="FFFFFF"/>
                <w:sz w:val="20"/>
              </w:rPr>
              <w:t>Requirement</w:t>
            </w:r>
          </w:p>
        </w:tc>
      </w:tr>
      <w:tr>
        <w:tc>
          <w:tcPr>
            <w:tcW w:type="dxa" w:w="2304"/>
          </w:tcPr>
          <w:p>
            <w:r/>
            <w:r>
              <w:rPr>
                <w:sz w:val="20"/>
              </w:rPr>
              <w:t>Performance</w:t>
            </w:r>
          </w:p>
        </w:tc>
        <w:tc>
          <w:tcPr>
            <w:tcW w:type="dxa" w:w="7488"/>
          </w:tcPr>
          <w:p>
            <w:r/>
            <w:r>
              <w:rPr>
                <w:sz w:val="20"/>
              </w:rPr>
              <w:t>Optimized (webp/avif) and lazily-loaded imagery; Vite-bundled production build; content served from Netlify's global CDN</w:t>
            </w:r>
          </w:p>
        </w:tc>
      </w:tr>
      <w:tr>
        <w:tc>
          <w:tcPr>
            <w:tcW w:type="dxa" w:w="2304"/>
          </w:tcPr>
          <w:p>
            <w:r/>
            <w:r>
              <w:rPr>
                <w:sz w:val="20"/>
              </w:rPr>
              <w:t>Responsiveness</w:t>
            </w:r>
          </w:p>
        </w:tc>
        <w:tc>
          <w:tcPr>
            <w:tcW w:type="dxa" w:w="7488"/>
          </w:tcPr>
          <w:p>
            <w:r/>
            <w:r>
              <w:rPr>
                <w:sz w:val="20"/>
              </w:rPr>
              <w:t>Fully responsive layout across mobile, tablet, and desktop viewports (Tailwind CSS)</w:t>
            </w:r>
          </w:p>
        </w:tc>
      </w:tr>
      <w:tr>
        <w:tc>
          <w:tcPr>
            <w:tcW w:type="dxa" w:w="2304"/>
          </w:tcPr>
          <w:p>
            <w:r/>
            <w:r>
              <w:rPr>
                <w:sz w:val="20"/>
              </w:rPr>
              <w:t>Availability</w:t>
            </w:r>
          </w:p>
        </w:tc>
        <w:tc>
          <w:tcPr>
            <w:tcW w:type="dxa" w:w="7488"/>
          </w:tcPr>
          <w:p>
            <w:r/>
            <w:r>
              <w:rPr>
                <w:sz w:val="20"/>
              </w:rPr>
              <w:t>Static frontend on Netlify CDN plus managed Supabase infrastructure — no single application server to fail</w:t>
            </w:r>
          </w:p>
        </w:tc>
      </w:tr>
      <w:tr>
        <w:tc>
          <w:tcPr>
            <w:tcW w:type="dxa" w:w="2304"/>
          </w:tcPr>
          <w:p>
            <w:r/>
            <w:r>
              <w:rPr>
                <w:sz w:val="20"/>
              </w:rPr>
              <w:t>Security</w:t>
            </w:r>
          </w:p>
        </w:tc>
        <w:tc>
          <w:tcPr>
            <w:tcW w:type="dxa" w:w="7488"/>
          </w:tcPr>
          <w:p>
            <w:r/>
            <w:r>
              <w:rPr>
                <w:sz w:val="20"/>
              </w:rPr>
              <w:t>Row-Level Security on all Supabase tables; admin routes gated by authenticated sessions; no public self-signup for staff accounts</w:t>
            </w:r>
          </w:p>
        </w:tc>
      </w:tr>
      <w:tr>
        <w:tc>
          <w:tcPr>
            <w:tcW w:type="dxa" w:w="2304"/>
          </w:tcPr>
          <w:p>
            <w:r/>
            <w:r>
              <w:rPr>
                <w:sz w:val="20"/>
              </w:rPr>
              <w:t>Graceful degradation</w:t>
            </w:r>
          </w:p>
        </w:tc>
        <w:tc>
          <w:tcPr>
            <w:tcW w:type="dxa" w:w="7488"/>
          </w:tcPr>
          <w:p>
            <w:r/>
            <w:r>
              <w:rPr>
                <w:sz w:val="20"/>
              </w:rPr>
              <w:t>The marketing site renders fully even if the backend is unreachable or unconfigured; only booking/admin features are affected</w:t>
            </w:r>
          </w:p>
        </w:tc>
      </w:tr>
      <w:tr>
        <w:tc>
          <w:tcPr>
            <w:tcW w:type="dxa" w:w="2304"/>
          </w:tcPr>
          <w:p>
            <w:r/>
            <w:r>
              <w:rPr>
                <w:sz w:val="20"/>
              </w:rPr>
              <w:t>Usability</w:t>
            </w:r>
          </w:p>
        </w:tc>
        <w:tc>
          <w:tcPr>
            <w:tcW w:type="dxa" w:w="7488"/>
          </w:tcPr>
          <w:p>
            <w:r/>
            <w:r>
              <w:rPr>
                <w:sz w:val="20"/>
              </w:rPr>
              <w:t>Guided, step-by-step booking flow; multilingual UI; clear calls-to-action throughout</w:t>
            </w:r>
          </w:p>
        </w:tc>
      </w:tr>
      <w:tr>
        <w:tc>
          <w:tcPr>
            <w:tcW w:type="dxa" w:w="2304"/>
          </w:tcPr>
          <w:p>
            <w:r/>
            <w:r>
              <w:rPr>
                <w:sz w:val="20"/>
              </w:rPr>
              <w:t>Maintainability</w:t>
            </w:r>
          </w:p>
        </w:tc>
        <w:tc>
          <w:tcPr>
            <w:tcW w:type="dxa" w:w="7488"/>
          </w:tcPr>
          <w:p>
            <w:r/>
            <w:r>
              <w:rPr>
                <w:sz w:val="20"/>
              </w:rPr>
              <w:t>TypeScript throughout; centralized content/data files (doctors, services, translations, images); documented in a developer guide</w:t>
            </w:r>
          </w:p>
        </w:tc>
      </w:tr>
      <w:tr>
        <w:tc>
          <w:tcPr>
            <w:tcW w:type="dxa" w:w="2304"/>
          </w:tcPr>
          <w:p>
            <w:r/>
            <w:r>
              <w:rPr>
                <w:sz w:val="20"/>
              </w:rPr>
              <w:t>Scalability</w:t>
            </w:r>
          </w:p>
        </w:tc>
        <w:tc>
          <w:tcPr>
            <w:tcW w:type="dxa" w:w="7488"/>
          </w:tcPr>
          <w:p>
            <w:r/>
            <w:r>
              <w:rPr>
                <w:sz w:val="20"/>
              </w:rPr>
              <w:t>Serverless backend (Supabase + Edge Functions) scales independently of the static frontend</w:t>
            </w:r>
          </w:p>
        </w:tc>
      </w:tr>
    </w:tbl>
    <w:p>
      <w:pPr>
        <w:spacing w:after="80"/>
      </w:pPr>
    </w:p>
    <w:p>
      <w:r>
        <w:br w:type="page"/>
      </w:r>
    </w:p>
    <w:p>
      <w:pPr>
        <w:pStyle w:val="Heading1"/>
      </w:pPr>
      <w:r>
        <w:t>10. Database Design</w:t>
      </w:r>
    </w:p>
    <w:p>
      <w:pPr>
        <w:spacing w:after="160"/>
      </w:pPr>
      <w:r>
        <w:rPr>
          <w:b w:val="0"/>
          <w:sz w:val="22"/>
        </w:rPr>
        <w:t>The backend schema (PostgreSQL, managed by Supabase) consists of six core tables:</w:t>
      </w:r>
    </w:p>
    <w:tbl>
      <w:tblPr>
        <w:tblStyle w:val="LightGrid-Accent1"/>
        <w:tblW w:type="auto" w:w="0"/>
        <w:jc w:val="center"/>
        <w:tblLook w:firstColumn="1" w:firstRow="1" w:lastColumn="0" w:lastRow="0" w:noHBand="0" w:noVBand="1" w:val="04A0"/>
      </w:tblPr>
      <w:tblGrid>
        <w:gridCol w:w="3249"/>
        <w:gridCol w:w="3249"/>
        <w:gridCol w:w="3249"/>
      </w:tblGrid>
      <w:tr>
        <w:tc>
          <w:tcPr>
            <w:tcW w:type="dxa" w:w="2016"/>
            <w:shd w:fill="1B2A4A"/>
          </w:tcPr>
          <w:p>
            <w:r/>
            <w:r>
              <w:rPr>
                <w:b/>
                <w:color w:val="FFFFFF"/>
                <w:sz w:val="20"/>
              </w:rPr>
              <w:t>Table</w:t>
            </w:r>
          </w:p>
        </w:tc>
        <w:tc>
          <w:tcPr>
            <w:tcW w:type="dxa" w:w="3744"/>
            <w:shd w:fill="1B2A4A"/>
          </w:tcPr>
          <w:p>
            <w:r/>
            <w:r>
              <w:rPr>
                <w:b/>
                <w:color w:val="FFFFFF"/>
                <w:sz w:val="20"/>
              </w:rPr>
              <w:t>Purpose</w:t>
            </w:r>
          </w:p>
        </w:tc>
        <w:tc>
          <w:tcPr>
            <w:tcW w:type="dxa" w:w="3744"/>
            <w:shd w:fill="1B2A4A"/>
          </w:tcPr>
          <w:p>
            <w:r/>
            <w:r>
              <w:rPr>
                <w:b/>
                <w:color w:val="FFFFFF"/>
                <w:sz w:val="20"/>
              </w:rPr>
              <w:t>Key Fields</w:t>
            </w:r>
          </w:p>
        </w:tc>
      </w:tr>
      <w:tr>
        <w:tc>
          <w:tcPr>
            <w:tcW w:type="dxa" w:w="2016"/>
          </w:tcPr>
          <w:p>
            <w:r/>
            <w:r>
              <w:rPr>
                <w:sz w:val="20"/>
              </w:rPr>
              <w:t>doctors</w:t>
            </w:r>
          </w:p>
        </w:tc>
        <w:tc>
          <w:tcPr>
            <w:tcW w:type="dxa" w:w="3744"/>
          </w:tcPr>
          <w:p>
            <w:r/>
            <w:r>
              <w:rPr>
                <w:sz w:val="20"/>
              </w:rPr>
              <w:t>Registered practitioners</w:t>
            </w:r>
          </w:p>
        </w:tc>
        <w:tc>
          <w:tcPr>
            <w:tcW w:type="dxa" w:w="3744"/>
          </w:tcPr>
          <w:p>
            <w:r/>
            <w:r>
              <w:rPr>
                <w:sz w:val="20"/>
              </w:rPr>
              <w:t>id, name, title, is_active</w:t>
            </w:r>
          </w:p>
        </w:tc>
      </w:tr>
      <w:tr>
        <w:tc>
          <w:tcPr>
            <w:tcW w:type="dxa" w:w="2016"/>
          </w:tcPr>
          <w:p>
            <w:r/>
            <w:r>
              <w:rPr>
                <w:sz w:val="20"/>
              </w:rPr>
              <w:t>services</w:t>
            </w:r>
          </w:p>
        </w:tc>
        <w:tc>
          <w:tcPr>
            <w:tcW w:type="dxa" w:w="3744"/>
          </w:tcPr>
          <w:p>
            <w:r/>
            <w:r>
              <w:rPr>
                <w:sz w:val="20"/>
              </w:rPr>
              <w:t>Bookable consultation types</w:t>
            </w:r>
          </w:p>
        </w:tc>
        <w:tc>
          <w:tcPr>
            <w:tcW w:type="dxa" w:w="3744"/>
          </w:tcPr>
          <w:p>
            <w:r/>
            <w:r>
              <w:rPr>
                <w:sz w:val="20"/>
              </w:rPr>
              <w:t>id, name, duration_minutes, is_active</w:t>
            </w:r>
          </w:p>
        </w:tc>
      </w:tr>
      <w:tr>
        <w:tc>
          <w:tcPr>
            <w:tcW w:type="dxa" w:w="2016"/>
          </w:tcPr>
          <w:p>
            <w:r/>
            <w:r>
              <w:rPr>
                <w:sz w:val="20"/>
              </w:rPr>
              <w:t>appointments</w:t>
            </w:r>
          </w:p>
        </w:tc>
        <w:tc>
          <w:tcPr>
            <w:tcW w:type="dxa" w:w="3744"/>
          </w:tcPr>
          <w:p>
            <w:r/>
            <w:r>
              <w:rPr>
                <w:sz w:val="20"/>
              </w:rPr>
              <w:t>Every patient booking</w:t>
            </w:r>
          </w:p>
        </w:tc>
        <w:tc>
          <w:tcPr>
            <w:tcW w:type="dxa" w:w="3744"/>
          </w:tcPr>
          <w:p>
            <w:r/>
            <w:r>
              <w:rPr>
                <w:sz w:val="20"/>
              </w:rPr>
              <w:t>doctor_id, service_id, date, time, patient details, reason, status, payment info</w:t>
            </w:r>
          </w:p>
        </w:tc>
      </w:tr>
      <w:tr>
        <w:tc>
          <w:tcPr>
            <w:tcW w:type="dxa" w:w="2016"/>
          </w:tcPr>
          <w:p>
            <w:r/>
            <w:r>
              <w:rPr>
                <w:sz w:val="20"/>
              </w:rPr>
              <w:t>reason_options</w:t>
            </w:r>
          </w:p>
        </w:tc>
        <w:tc>
          <w:tcPr>
            <w:tcW w:type="dxa" w:w="3744"/>
          </w:tcPr>
          <w:p>
            <w:r/>
            <w:r>
              <w:rPr>
                <w:sz w:val="20"/>
              </w:rPr>
              <w:t>Configurable reason-for-visit checklist shown during booking</w:t>
            </w:r>
          </w:p>
        </w:tc>
        <w:tc>
          <w:tcPr>
            <w:tcW w:type="dxa" w:w="3744"/>
          </w:tcPr>
          <w:p>
            <w:r/>
            <w:r>
              <w:rPr>
                <w:sz w:val="20"/>
              </w:rPr>
              <w:t>label, is_active</w:t>
            </w:r>
          </w:p>
        </w:tc>
      </w:tr>
      <w:tr>
        <w:tc>
          <w:tcPr>
            <w:tcW w:type="dxa" w:w="2016"/>
          </w:tcPr>
          <w:p>
            <w:r/>
            <w:r>
              <w:rPr>
                <w:sz w:val="20"/>
              </w:rPr>
              <w:t>app_settings</w:t>
            </w:r>
          </w:p>
        </w:tc>
        <w:tc>
          <w:tcPr>
            <w:tcW w:type="dxa" w:w="3744"/>
          </w:tcPr>
          <w:p>
            <w:r/>
            <w:r>
              <w:rPr>
                <w:sz w:val="20"/>
              </w:rPr>
              <w:t>Clinic-configurable settings</w:t>
            </w:r>
          </w:p>
        </w:tc>
        <w:tc>
          <w:tcPr>
            <w:tcW w:type="dxa" w:w="3744"/>
          </w:tcPr>
          <w:p>
            <w:r/>
            <w:r>
              <w:rPr>
                <w:sz w:val="20"/>
              </w:rPr>
              <w:t>booking fee, UPI ID, payee name, WhatsApp number</w:t>
            </w:r>
          </w:p>
        </w:tc>
      </w:tr>
      <w:tr>
        <w:tc>
          <w:tcPr>
            <w:tcW w:type="dxa" w:w="2016"/>
          </w:tcPr>
          <w:p>
            <w:r/>
            <w:r>
              <w:rPr>
                <w:sz w:val="20"/>
              </w:rPr>
              <w:t>blocked_slots</w:t>
            </w:r>
          </w:p>
        </w:tc>
        <w:tc>
          <w:tcPr>
            <w:tcW w:type="dxa" w:w="3744"/>
          </w:tcPr>
          <w:p>
            <w:r/>
            <w:r>
              <w:rPr>
                <w:sz w:val="20"/>
              </w:rPr>
              <w:t>Staff-defined availability overrides</w:t>
            </w:r>
          </w:p>
        </w:tc>
        <w:tc>
          <w:tcPr>
            <w:tcW w:type="dxa" w:w="3744"/>
          </w:tcPr>
          <w:p>
            <w:r/>
            <w:r>
              <w:rPr>
                <w:sz w:val="20"/>
              </w:rPr>
              <w:t>doctor_id, blocked_date, blocked_time (null = full day blocked)</w:t>
            </w:r>
          </w:p>
        </w:tc>
      </w:tr>
    </w:tbl>
    <w:p>
      <w:pPr>
        <w:spacing w:after="80"/>
      </w:pPr>
    </w:p>
    <w:p>
      <w:pPr>
        <w:spacing w:after="160"/>
      </w:pPr>
      <w:r>
        <w:rPr>
          <w:b w:val="0"/>
          <w:sz w:val="22"/>
        </w:rPr>
        <w:t>appointments.status is constrained to pending, confirmed, cancelled, completed, or no-show. All tables are protected by Row-Level Security policies so that public (anonymous) access is limited to what the booking flow needs, while full read/write access is restricted to authenticated staff.</w:t>
      </w:r>
    </w:p>
    <w:p>
      <w:pPr>
        <w:pStyle w:val="Heading1"/>
      </w:pPr>
      <w:r>
        <w:t>11. User Roles &amp; Permissions</w:t>
      </w:r>
    </w:p>
    <w:tbl>
      <w:tblPr>
        <w:tblStyle w:val="LightGrid-Accent1"/>
        <w:tblW w:type="auto" w:w="0"/>
        <w:jc w:val="center"/>
        <w:tblLook w:firstColumn="1" w:firstRow="1" w:lastColumn="0" w:lastRow="0" w:noHBand="0" w:noVBand="1" w:val="04A0"/>
      </w:tblPr>
      <w:tblGrid>
        <w:gridCol w:w="4873"/>
        <w:gridCol w:w="4873"/>
      </w:tblGrid>
      <w:tr>
        <w:tc>
          <w:tcPr>
            <w:tcW w:type="dxa" w:w="2592"/>
            <w:shd w:fill="1B2A4A"/>
          </w:tcPr>
          <w:p>
            <w:r/>
            <w:r>
              <w:rPr>
                <w:b/>
                <w:color w:val="FFFFFF"/>
                <w:sz w:val="20"/>
              </w:rPr>
              <w:t>Role</w:t>
            </w:r>
          </w:p>
        </w:tc>
        <w:tc>
          <w:tcPr>
            <w:tcW w:type="dxa" w:w="7200"/>
            <w:shd w:fill="1B2A4A"/>
          </w:tcPr>
          <w:p>
            <w:r/>
            <w:r>
              <w:rPr>
                <w:b/>
                <w:color w:val="FFFFFF"/>
                <w:sz w:val="20"/>
              </w:rPr>
              <w:t>Access</w:t>
            </w:r>
          </w:p>
        </w:tc>
      </w:tr>
      <w:tr>
        <w:tc>
          <w:tcPr>
            <w:tcW w:type="dxa" w:w="2592"/>
          </w:tcPr>
          <w:p>
            <w:r/>
            <w:r>
              <w:rPr>
                <w:sz w:val="20"/>
              </w:rPr>
              <w:t>Visitor / Patient</w:t>
            </w:r>
          </w:p>
        </w:tc>
        <w:tc>
          <w:tcPr>
            <w:tcW w:type="dxa" w:w="7200"/>
          </w:tcPr>
          <w:p>
            <w:r/>
            <w:r>
              <w:rPr>
                <w:sz w:val="20"/>
              </w:rPr>
              <w:t>Browse the public marketing site; submit a new appointment booking; no login required</w:t>
            </w:r>
          </w:p>
        </w:tc>
      </w:tr>
      <w:tr>
        <w:tc>
          <w:tcPr>
            <w:tcW w:type="dxa" w:w="2592"/>
          </w:tcPr>
          <w:p>
            <w:r/>
            <w:r>
              <w:rPr>
                <w:sz w:val="20"/>
              </w:rPr>
              <w:t>Clinic Staff (Admin)</w:t>
            </w:r>
          </w:p>
        </w:tc>
        <w:tc>
          <w:tcPr>
            <w:tcW w:type="dxa" w:w="7200"/>
          </w:tcPr>
          <w:p>
            <w:r/>
            <w:r>
              <w:rPr>
                <w:sz w:val="20"/>
              </w:rPr>
              <w:t>Log in at /admin/login; full access to Overview, Appointments, Availability, Payments, and Settings tabs; accounts provisioned manually by the practice, not self-serve</w:t>
            </w:r>
          </w:p>
        </w:tc>
      </w:tr>
    </w:tbl>
    <w:p>
      <w:pPr>
        <w:spacing w:after="80"/>
      </w:pPr>
    </w:p>
    <w:p>
      <w:r>
        <w:br w:type="page"/>
      </w:r>
    </w:p>
    <w:p>
      <w:pPr>
        <w:pStyle w:val="Heading1"/>
      </w:pPr>
      <w:r>
        <w:t>12. Third-Party Integrations</w:t>
      </w:r>
    </w:p>
    <w:tbl>
      <w:tblPr>
        <w:tblStyle w:val="LightGrid-Accent1"/>
        <w:tblW w:type="auto" w:w="0"/>
        <w:jc w:val="center"/>
        <w:tblLook w:firstColumn="1" w:firstRow="1" w:lastColumn="0" w:lastRow="0" w:noHBand="0" w:noVBand="1" w:val="04A0"/>
      </w:tblPr>
      <w:tblGrid>
        <w:gridCol w:w="4873"/>
        <w:gridCol w:w="4873"/>
      </w:tblGrid>
      <w:tr>
        <w:tc>
          <w:tcPr>
            <w:tcW w:type="dxa" w:w="3168"/>
            <w:shd w:fill="1B2A4A"/>
          </w:tcPr>
          <w:p>
            <w:r/>
            <w:r>
              <w:rPr>
                <w:b/>
                <w:color w:val="FFFFFF"/>
                <w:sz w:val="20"/>
              </w:rPr>
              <w:t>Service</w:t>
            </w:r>
          </w:p>
        </w:tc>
        <w:tc>
          <w:tcPr>
            <w:tcW w:type="dxa" w:w="6624"/>
            <w:shd w:fill="1B2A4A"/>
          </w:tcPr>
          <w:p>
            <w:r/>
            <w:r>
              <w:rPr>
                <w:b/>
                <w:color w:val="FFFFFF"/>
                <w:sz w:val="20"/>
              </w:rPr>
              <w:t>Integration Purpose</w:t>
            </w:r>
          </w:p>
        </w:tc>
      </w:tr>
      <w:tr>
        <w:tc>
          <w:tcPr>
            <w:tcW w:type="dxa" w:w="3168"/>
          </w:tcPr>
          <w:p>
            <w:r/>
            <w:r>
              <w:rPr>
                <w:sz w:val="20"/>
              </w:rPr>
              <w:t>Supabase</w:t>
            </w:r>
          </w:p>
        </w:tc>
        <w:tc>
          <w:tcPr>
            <w:tcW w:type="dxa" w:w="6624"/>
          </w:tcPr>
          <w:p>
            <w:r/>
            <w:r>
              <w:rPr>
                <w:sz w:val="20"/>
              </w:rPr>
              <w:t>Database, authentication, and serverless email functions</w:t>
            </w:r>
          </w:p>
        </w:tc>
      </w:tr>
      <w:tr>
        <w:tc>
          <w:tcPr>
            <w:tcW w:type="dxa" w:w="3168"/>
          </w:tcPr>
          <w:p>
            <w:r/>
            <w:r>
              <w:rPr>
                <w:sz w:val="20"/>
              </w:rPr>
              <w:t>Netlify</w:t>
            </w:r>
          </w:p>
        </w:tc>
        <w:tc>
          <w:tcPr>
            <w:tcW w:type="dxa" w:w="6624"/>
          </w:tcPr>
          <w:p>
            <w:r/>
            <w:r>
              <w:rPr>
                <w:sz w:val="20"/>
              </w:rPr>
              <w:t>Hosting, CDN, and continuous deployment from Git</w:t>
            </w:r>
          </w:p>
        </w:tc>
      </w:tr>
      <w:tr>
        <w:tc>
          <w:tcPr>
            <w:tcW w:type="dxa" w:w="3168"/>
          </w:tcPr>
          <w:p>
            <w:r/>
            <w:r>
              <w:rPr>
                <w:sz w:val="20"/>
              </w:rPr>
              <w:t>Unsplash</w:t>
            </w:r>
          </w:p>
        </w:tc>
        <w:tc>
          <w:tcPr>
            <w:tcW w:type="dxa" w:w="6624"/>
          </w:tcPr>
          <w:p>
            <w:r/>
            <w:r>
              <w:rPr>
                <w:sz w:val="20"/>
              </w:rPr>
              <w:t>Supplemental stock photography for sections not using the clinic's own photos</w:t>
            </w:r>
          </w:p>
        </w:tc>
      </w:tr>
      <w:tr>
        <w:tc>
          <w:tcPr>
            <w:tcW w:type="dxa" w:w="3168"/>
          </w:tcPr>
          <w:p>
            <w:r/>
            <w:r>
              <w:rPr>
                <w:sz w:val="20"/>
              </w:rPr>
              <w:t>WhatsApp (wa.me)</w:t>
            </w:r>
          </w:p>
        </w:tc>
        <w:tc>
          <w:tcPr>
            <w:tcW w:type="dxa" w:w="6624"/>
          </w:tcPr>
          <w:p>
            <w:r/>
            <w:r>
              <w:rPr>
                <w:sz w:val="20"/>
              </w:rPr>
              <w:t>Click-to-chat link for patients to send payment confirmation screenshots</w:t>
            </w:r>
          </w:p>
        </w:tc>
      </w:tr>
      <w:tr>
        <w:tc>
          <w:tcPr>
            <w:tcW w:type="dxa" w:w="3168"/>
          </w:tcPr>
          <w:p>
            <w:r/>
            <w:r>
              <w:rPr>
                <w:sz w:val="20"/>
              </w:rPr>
              <w:t>UPI (Unified Payments Interface)</w:t>
            </w:r>
          </w:p>
        </w:tc>
        <w:tc>
          <w:tcPr>
            <w:tcW w:type="dxa" w:w="6624"/>
          </w:tcPr>
          <w:p>
            <w:r/>
            <w:r>
              <w:rPr>
                <w:sz w:val="20"/>
              </w:rPr>
              <w:t>QR-code-based manual payment collection at booking time</w:t>
            </w:r>
          </w:p>
        </w:tc>
      </w:tr>
    </w:tbl>
    <w:p>
      <w:pPr>
        <w:spacing w:after="80"/>
      </w:pPr>
    </w:p>
    <w:p>
      <w:pPr>
        <w:pStyle w:val="Heading1"/>
      </w:pPr>
      <w:r>
        <w:t>13. Deployment &amp; Hosting</w:t>
      </w:r>
    </w:p>
    <w:p>
      <w:pPr>
        <w:pStyle w:val="ListBullet"/>
      </w:pPr>
      <w:r>
        <w:rPr>
          <w:b/>
        </w:rPr>
        <w:t xml:space="preserve"> — Netlify, configured via netlify.toml (build command, publish directory, and a catch-all redirect so client-side routes like /admin work on refresh).</w:t>
      </w:r>
      <w:r>
        <w:t>Hosting</w:t>
      </w:r>
    </w:p>
    <w:p>
      <w:pPr>
        <w:pStyle w:val="ListBullet"/>
      </w:pPr>
      <w:r>
        <w:rPr>
          <w:b/>
        </w:rPr>
        <w:t xml:space="preserve"> — every push to the connected Git branch triggers an automatic build and deploy.</w:t>
      </w:r>
      <w:r>
        <w:t>CI/CD</w:t>
      </w:r>
    </w:p>
    <w:p>
      <w:pPr>
        <w:pStyle w:val="ListBullet"/>
      </w:pPr>
      <w:r>
        <w:rPr>
          <w:b/>
        </w:rPr>
        <w:t xml:space="preserve"> — Supabase URL and anon key are supplied as Netlify environment variables at build time.</w:t>
      </w:r>
      <w:r>
        <w:t>Environment configuration</w:t>
      </w:r>
    </w:p>
    <w:p>
      <w:pPr>
        <w:pStyle w:val="ListBullet"/>
      </w:pPr>
      <w:r>
        <w:rPr>
          <w:b/>
        </w:rPr>
        <w:t xml:space="preserve"> — the Netlify CLI can deploy a local production build directly for one-off releases.</w:t>
      </w:r>
      <w:r>
        <w:t>Manual deploy option</w:t>
      </w:r>
    </w:p>
    <w:p>
      <w:r>
        <w:br w:type="page"/>
      </w:r>
    </w:p>
    <w:p>
      <w:pPr>
        <w:pStyle w:val="Heading1"/>
      </w:pPr>
      <w:r>
        <w:t>14. Assumptions &amp; Constraints</w:t>
      </w:r>
    </w:p>
    <w:p>
      <w:pPr>
        <w:pStyle w:val="Heading2"/>
      </w:pPr>
      <w:r>
        <w:t>Assumptions</w:t>
      </w:r>
    </w:p>
    <w:p>
      <w:pPr>
        <w:pStyle w:val="ListBullet"/>
      </w:pPr>
      <w:r>
        <w:t>A single doctor (Dr. Haritha Mandava) is the practitioner represented and scheduled at this time.</w:t>
      </w:r>
    </w:p>
    <w:p>
      <w:pPr>
        <w:pStyle w:val="ListBullet"/>
      </w:pPr>
      <w:r>
        <w:t>Staff will verify UPI payments manually against the transaction ID and/or WhatsApp screenshot before marking a booking as Paid.</w:t>
      </w:r>
    </w:p>
    <w:p>
      <w:pPr>
        <w:pStyle w:val="ListBullet"/>
      </w:pPr>
      <w:r>
        <w:t>The clinic has a working email address for the Supabase project to send transactional emails from.</w:t>
      </w:r>
    </w:p>
    <w:p>
      <w:pPr>
        <w:pStyle w:val="Heading2"/>
      </w:pPr>
      <w:r>
        <w:t>Constraints</w:t>
      </w:r>
    </w:p>
    <w:p>
      <w:pPr>
        <w:pStyle w:val="ListBullet"/>
      </w:pPr>
      <w:r>
        <w:t>No integrated payment gateway — all payment confirmation is manual/human-verified.</w:t>
      </w:r>
    </w:p>
    <w:p>
      <w:pPr>
        <w:pStyle w:val="ListBullet"/>
      </w:pPr>
      <w:r>
        <w:t>The current data model scopes availability blocking to a single doctor; adding a second doctor requires extending the doctor picker and related booking/availability logic first.</w:t>
      </w:r>
    </w:p>
    <w:p>
      <w:pPr>
        <w:pStyle w:val="ListBullet"/>
      </w:pPr>
      <w:r>
        <w:t>There is no automated test suite in place yet.</w:t>
      </w:r>
    </w:p>
    <w:p>
      <w:pPr>
        <w:pStyle w:val="Heading1"/>
      </w:pPr>
      <w:r>
        <w:t>15. Risks &amp; Mitigations</w:t>
      </w:r>
    </w:p>
    <w:tbl>
      <w:tblPr>
        <w:tblStyle w:val="LightGrid-Accent1"/>
        <w:tblW w:type="auto" w:w="0"/>
        <w:jc w:val="center"/>
        <w:tblLook w:firstColumn="1" w:firstRow="1" w:lastColumn="0" w:lastRow="0" w:noHBand="0" w:noVBand="1" w:val="04A0"/>
      </w:tblPr>
      <w:tblGrid>
        <w:gridCol w:w="4873"/>
        <w:gridCol w:w="4873"/>
      </w:tblGrid>
      <w:tr>
        <w:tc>
          <w:tcPr>
            <w:tcW w:type="dxa" w:w="4320"/>
            <w:shd w:fill="1B2A4A"/>
          </w:tcPr>
          <w:p>
            <w:r/>
            <w:r>
              <w:rPr>
                <w:b/>
                <w:color w:val="FFFFFF"/>
                <w:sz w:val="20"/>
              </w:rPr>
              <w:t>Risk</w:t>
            </w:r>
          </w:p>
        </w:tc>
        <w:tc>
          <w:tcPr>
            <w:tcW w:type="dxa" w:w="5472"/>
            <w:shd w:fill="1B2A4A"/>
          </w:tcPr>
          <w:p>
            <w:r/>
            <w:r>
              <w:rPr>
                <w:b/>
                <w:color w:val="FFFFFF"/>
                <w:sz w:val="20"/>
              </w:rPr>
              <w:t>Mitigation</w:t>
            </w:r>
          </w:p>
        </w:tc>
      </w:tr>
      <w:tr>
        <w:tc>
          <w:tcPr>
            <w:tcW w:type="dxa" w:w="4320"/>
          </w:tcPr>
          <w:p>
            <w:r/>
            <w:r>
              <w:rPr>
                <w:sz w:val="20"/>
              </w:rPr>
              <w:t>Manual payment verification is missed or delayed</w:t>
            </w:r>
          </w:p>
        </w:tc>
        <w:tc>
          <w:tcPr>
            <w:tcW w:type="dxa" w:w="5472"/>
          </w:tcPr>
          <w:p>
            <w:r/>
            <w:r>
              <w:rPr>
                <w:sz w:val="20"/>
              </w:rPr>
              <w:t>Transaction ID is captured at booking and surfaced directly in the Appointments/Payments tabs for quick staff cross-checking</w:t>
            </w:r>
          </w:p>
        </w:tc>
      </w:tr>
      <w:tr>
        <w:tc>
          <w:tcPr>
            <w:tcW w:type="dxa" w:w="4320"/>
          </w:tcPr>
          <w:p>
            <w:r/>
            <w:r>
              <w:rPr>
                <w:sz w:val="20"/>
              </w:rPr>
              <w:t>Backend misconfiguration breaks the whole site</w:t>
            </w:r>
          </w:p>
        </w:tc>
        <w:tc>
          <w:tcPr>
            <w:tcW w:type="dxa" w:w="5472"/>
          </w:tcPr>
          <w:p>
            <w:r/>
            <w:r>
              <w:rPr>
                <w:sz w:val="20"/>
              </w:rPr>
              <w:t>isSupabaseConfigured flag ensures the marketing site still renders fully even if the backend is unavailable</w:t>
            </w:r>
          </w:p>
        </w:tc>
      </w:tr>
      <w:tr>
        <w:tc>
          <w:tcPr>
            <w:tcW w:type="dxa" w:w="4320"/>
          </w:tcPr>
          <w:p>
            <w:r/>
            <w:r>
              <w:rPr>
                <w:sz w:val="20"/>
              </w:rPr>
              <w:t>Double-booking of a time slot</w:t>
            </w:r>
          </w:p>
        </w:tc>
        <w:tc>
          <w:tcPr>
            <w:tcW w:type="dxa" w:w="5472"/>
          </w:tcPr>
          <w:p>
            <w:r/>
            <w:r>
              <w:rPr>
                <w:sz w:val="20"/>
              </w:rPr>
              <w:t>Booked, individually-blocked, and fully-blocked-day slots are all checked before a slot is offered</w:t>
            </w:r>
          </w:p>
        </w:tc>
      </w:tr>
      <w:tr>
        <w:tc>
          <w:tcPr>
            <w:tcW w:type="dxa" w:w="4320"/>
          </w:tcPr>
          <w:p>
            <w:r/>
            <w:r>
              <w:rPr>
                <w:sz w:val="20"/>
              </w:rPr>
              <w:t>Admin account compromise</w:t>
            </w:r>
          </w:p>
        </w:tc>
        <w:tc>
          <w:tcPr>
            <w:tcW w:type="dxa" w:w="5472"/>
          </w:tcPr>
          <w:p>
            <w:r/>
            <w:r>
              <w:rPr>
                <w:sz w:val="20"/>
              </w:rPr>
              <w:t>No public self-signup; accounts are provisioned manually by the practice in the Supabase dashboard</w:t>
            </w:r>
          </w:p>
        </w:tc>
      </w:tr>
    </w:tbl>
    <w:p>
      <w:pPr>
        <w:spacing w:after="80"/>
      </w:pPr>
    </w:p>
    <w:p>
      <w:r>
        <w:br w:type="page"/>
      </w:r>
    </w:p>
    <w:p>
      <w:pPr>
        <w:pStyle w:val="Heading1"/>
      </w:pPr>
      <w:r>
        <w:t>16. Future Enhancements</w:t>
      </w:r>
    </w:p>
    <w:p>
      <w:pPr>
        <w:pStyle w:val="ListBullet"/>
      </w:pPr>
      <w:r>
        <w:t>Integrated online payment gateway for automatic payment capture and reconciliation.</w:t>
      </w:r>
    </w:p>
    <w:p>
      <w:pPr>
        <w:pStyle w:val="ListBullet"/>
      </w:pPr>
      <w:r>
        <w:t>Support for multiple doctors and multi-branch scheduling.</w:t>
      </w:r>
    </w:p>
    <w:p>
      <w:pPr>
        <w:pStyle w:val="ListBullet"/>
      </w:pPr>
      <w:r>
        <w:t>Automated SMS/WhatsApp appointment reminders ahead of the consultation.</w:t>
      </w:r>
    </w:p>
    <w:p>
      <w:pPr>
        <w:pStyle w:val="ListBullet"/>
      </w:pPr>
      <w:r>
        <w:t>Patient-facing appointment history / self-reschedule and cancel.</w:t>
      </w:r>
    </w:p>
    <w:p>
      <w:pPr>
        <w:pStyle w:val="ListBullet"/>
      </w:pPr>
      <w:r>
        <w:t>Automated test coverage (unit and end-to-end) using the already-installed Playwright toolchain.</w:t>
      </w:r>
    </w:p>
    <w:p>
      <w:pPr>
        <w:pStyle w:val="ListBullet"/>
      </w:pPr>
      <w:r>
        <w:t>Analytics dashboard for booking trends and conversion tracking.</w:t>
      </w:r>
    </w:p>
    <w:p>
      <w:pPr>
        <w:jc w:val="center"/>
      </w:pPr>
      <w:r>
        <w:drawing>
          <wp:inline xmlns:a="http://schemas.openxmlformats.org/drawingml/2006/main" xmlns:pic="http://schemas.openxmlformats.org/drawingml/2006/picture">
            <wp:extent cx="2743200" cy="1904238"/>
            <wp:docPr id="6" name="Picture 6"/>
            <wp:cNvGraphicFramePr>
              <a:graphicFrameLocks noChangeAspect="1"/>
            </wp:cNvGraphicFramePr>
            <a:graphic>
              <a:graphicData uri="http://schemas.openxmlformats.org/drawingml/2006/picture">
                <pic:pic>
                  <pic:nvPicPr>
                    <pic:cNvPr id="0" name="baby_giggling.jpg"/>
                    <pic:cNvPicPr/>
                  </pic:nvPicPr>
                  <pic:blipFill>
                    <a:blip r:embed="rId15"/>
                    <a:stretch>
                      <a:fillRect/>
                    </a:stretch>
                  </pic:blipFill>
                  <pic:spPr>
                    <a:xfrm>
                      <a:off x="0" y="0"/>
                      <a:ext cx="2743200" cy="1904238"/>
                    </a:xfrm>
                    <a:prstGeom prst="rect"/>
                  </pic:spPr>
                </pic:pic>
              </a:graphicData>
            </a:graphic>
          </wp:inline>
        </w:drawing>
      </w:r>
    </w:p>
    <w:p>
      <w:pPr>
        <w:jc w:val="center"/>
      </w:pPr>
      <w:r>
        <w:rPr>
          <w:i/>
          <w:color w:val="555555"/>
          <w:sz w:val="18"/>
        </w:rPr>
        <w:t>The warm, human moments the platform is built to represent for every family it serves.</w:t>
      </w:r>
    </w:p>
    <w:p>
      <w:r>
        <w:br w:type="page"/>
      </w:r>
    </w:p>
    <w:p>
      <w:pPr>
        <w:pStyle w:val="Heading1"/>
      </w:pPr>
      <w:r>
        <w:t>17. Approval &amp; Sign-off</w:t>
      </w:r>
    </w:p>
    <w:p>
      <w:pPr>
        <w:spacing w:after="160"/>
      </w:pPr>
      <w:r>
        <w:rPr>
          <w:b w:val="0"/>
          <w:sz w:val="22"/>
        </w:rPr>
        <w:t>By signing below, the stakeholders confirm that this Business Requirements Document accurately reflects the agreed scope, functionality, and technical approach for the BRD Hospital platform.</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592"/>
            <w:shd w:fill="1B2A4A"/>
          </w:tcPr>
          <w:p>
            <w:r/>
            <w:r>
              <w:rPr>
                <w:b/>
                <w:color w:val="FFFFFF"/>
                <w:sz w:val="20"/>
              </w:rPr>
              <w:t>Name</w:t>
            </w:r>
          </w:p>
        </w:tc>
        <w:tc>
          <w:tcPr>
            <w:tcW w:type="dxa" w:w="3456"/>
            <w:shd w:fill="1B2A4A"/>
          </w:tcPr>
          <w:p>
            <w:r/>
            <w:r>
              <w:rPr>
                <w:b/>
                <w:color w:val="FFFFFF"/>
                <w:sz w:val="20"/>
              </w:rPr>
              <w:t>Role</w:t>
            </w:r>
          </w:p>
        </w:tc>
        <w:tc>
          <w:tcPr>
            <w:tcW w:type="dxa" w:w="1584"/>
            <w:shd w:fill="1B2A4A"/>
          </w:tcPr>
          <w:p>
            <w:r/>
            <w:r>
              <w:rPr>
                <w:b/>
                <w:color w:val="FFFFFF"/>
                <w:sz w:val="20"/>
              </w:rPr>
              <w:t>Signature</w:t>
            </w:r>
          </w:p>
        </w:tc>
        <w:tc>
          <w:tcPr>
            <w:tcW w:type="dxa" w:w="1296"/>
            <w:shd w:fill="1B2A4A"/>
          </w:tcPr>
          <w:p>
            <w:r/>
            <w:r>
              <w:rPr>
                <w:b/>
                <w:color w:val="FFFFFF"/>
                <w:sz w:val="20"/>
              </w:rPr>
              <w:t>Date</w:t>
            </w:r>
          </w:p>
        </w:tc>
      </w:tr>
      <w:tr>
        <w:tc>
          <w:tcPr>
            <w:tcW w:type="dxa" w:w="2592"/>
          </w:tcPr>
          <w:p>
            <w:r/>
            <w:r>
              <w:rPr>
                <w:sz w:val="20"/>
              </w:rPr>
              <w:t>Dr. Haritha Mandava</w:t>
            </w:r>
          </w:p>
        </w:tc>
        <w:tc>
          <w:tcPr>
            <w:tcW w:type="dxa" w:w="3456"/>
          </w:tcPr>
          <w:p>
            <w:r/>
            <w:r>
              <w:rPr>
                <w:sz w:val="20"/>
              </w:rPr>
              <w:t>Project Sponsor / Client</w:t>
            </w:r>
          </w:p>
        </w:tc>
        <w:tc>
          <w:tcPr>
            <w:tcW w:type="dxa" w:w="1584"/>
          </w:tcPr>
          <w:p>
            <w:r/>
            <w:r>
              <w:rPr>
                <w:sz w:val="20"/>
              </w:rPr>
            </w:r>
          </w:p>
        </w:tc>
        <w:tc>
          <w:tcPr>
            <w:tcW w:type="dxa" w:w="1296"/>
          </w:tcPr>
          <w:p>
            <w:r/>
            <w:r>
              <w:rPr>
                <w:sz w:val="20"/>
              </w:rPr>
            </w:r>
          </w:p>
        </w:tc>
      </w:tr>
      <w:tr>
        <w:tc>
          <w:tcPr>
            <w:tcW w:type="dxa" w:w="2592"/>
          </w:tcPr>
          <w:p>
            <w:r/>
            <w:r>
              <w:rPr>
                <w:sz w:val="20"/>
              </w:rPr>
            </w:r>
          </w:p>
        </w:tc>
        <w:tc>
          <w:tcPr>
            <w:tcW w:type="dxa" w:w="3456"/>
          </w:tcPr>
          <w:p>
            <w:r/>
            <w:r>
              <w:rPr>
                <w:sz w:val="20"/>
              </w:rPr>
              <w:t>Craftlanee — Development Partner</w:t>
            </w:r>
          </w:p>
        </w:tc>
        <w:tc>
          <w:tcPr>
            <w:tcW w:type="dxa" w:w="1584"/>
          </w:tcPr>
          <w:p>
            <w:r/>
            <w:r>
              <w:rPr>
                <w:sz w:val="20"/>
              </w:rPr>
            </w:r>
          </w:p>
        </w:tc>
        <w:tc>
          <w:tcPr>
            <w:tcW w:type="dxa" w:w="1296"/>
          </w:tcPr>
          <w:p>
            <w:r/>
            <w:r>
              <w:rPr>
                <w:sz w:val="20"/>
              </w:rPr>
            </w:r>
          </w:p>
        </w:tc>
      </w:tr>
    </w:tbl>
    <w:p>
      <w:pPr>
        <w:spacing w:after="80"/>
      </w:pP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BRD Hospital — Business Requirements Document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