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0" w:before="360" w:line="276" w:lineRule="auto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Integration Runtime 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is the Compute infrastructure used by Data Factory.</w:t>
      </w:r>
    </w:p>
    <w:p w:rsidR="00000000" w:rsidDel="00000000" w:rsidP="00000000" w:rsidRDefault="00000000" w:rsidRPr="00000000" w14:paraId="00000001">
      <w:pPr>
        <w:shd w:fill="ffffff" w:val="clear"/>
        <w:spacing w:after="0" w:before="360" w:line="276" w:lineRule="auto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There are three types of integration runtimes.</w:t>
      </w:r>
    </w:p>
    <w:p w:rsidR="00000000" w:rsidDel="00000000" w:rsidP="00000000" w:rsidRDefault="00000000" w:rsidRPr="00000000" w14:paraId="00000002">
      <w:pPr>
        <w:shd w:fill="ffffff" w:val="clear"/>
        <w:spacing w:after="0" w:before="360" w:line="240" w:lineRule="auto"/>
        <w:ind w:firstLine="72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Azure integration runtime,</w:t>
      </w:r>
    </w:p>
    <w:p w:rsidR="00000000" w:rsidDel="00000000" w:rsidP="00000000" w:rsidRDefault="00000000" w:rsidRPr="00000000" w14:paraId="00000003">
      <w:pPr>
        <w:shd w:fill="ffffff" w:val="clear"/>
        <w:spacing w:after="0" w:before="360" w:line="240" w:lineRule="auto"/>
        <w:ind w:firstLine="72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Self-hosted integration runtime and,</w:t>
      </w:r>
    </w:p>
    <w:p w:rsidR="00000000" w:rsidDel="00000000" w:rsidP="00000000" w:rsidRDefault="00000000" w:rsidRPr="00000000" w14:paraId="00000004">
      <w:pPr>
        <w:shd w:fill="ffffff" w:val="clear"/>
        <w:spacing w:after="0" w:before="360" w:line="240" w:lineRule="auto"/>
        <w:ind w:firstLine="72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Azure SSIS integration runtime</w:t>
      </w:r>
    </w:p>
    <w:p w:rsidR="00000000" w:rsidDel="00000000" w:rsidP="00000000" w:rsidRDefault="00000000" w:rsidRPr="00000000" w14:paraId="00000005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First, let's talk about Azure and the Self-hosted integration runtime.</w:t>
      </w:r>
    </w:p>
    <w:p w:rsidR="00000000" w:rsidDel="00000000" w:rsidP="00000000" w:rsidRDefault="00000000" w:rsidRPr="00000000" w14:paraId="00000006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Azure integration runtime can copy data between cloud data stores, and it can dispatch the activity to a variety of Compute services such as Azure HDInsight or SQL Server where the transformation takes place.</w:t>
      </w:r>
    </w:p>
    <w:p w:rsidR="00000000" w:rsidDel="00000000" w:rsidP="00000000" w:rsidRDefault="00000000" w:rsidRPr="00000000" w14:paraId="00000007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The Self-hosted Integration Runtime is a software with essentially the same code as the Azure IR, but you install it on an on-premises machine or a virtual machine (VM) in a virtual network. A self-hosted IR can run copy activities between a public cloud data store and a data store in a private network, and it can dispatch transform activities against compute resources in a private network.</w:t>
      </w:r>
    </w:p>
    <w:p w:rsidR="00000000" w:rsidDel="00000000" w:rsidP="00000000" w:rsidRDefault="00000000" w:rsidRPr="00000000" w14:paraId="00000008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But you might ask why Self-Hosted IR? Why can’t I run all activities on an Azure IR? The most popular answer is that Data Factory will not be able to directly access on-premises data sources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 they sit behind a firewall. It’s sometimes possible to establish a direct connection between Azure and on-premises data sources by configuring your firewall in a specific way—&amp; if you do, you don’t need to use the Self-hosted IR—but this is something that admins aren’t always happy to do.</w:t>
      </w:r>
    </w:p>
    <w:p w:rsidR="00000000" w:rsidDel="00000000" w:rsidP="00000000" w:rsidRDefault="00000000" w:rsidRPr="00000000" w14:paraId="00000009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Let's take a scenario to understand how integration runtime works with data factory to orchestrate data movement.</w:t>
      </w:r>
    </w:p>
    <w:p w:rsidR="00000000" w:rsidDel="00000000" w:rsidP="00000000" w:rsidRDefault="00000000" w:rsidRPr="00000000" w14:paraId="0000000A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So I have a Data Factory pipeline, with two activities. The first is a Copy activity to move the data from SQL server to Azure data Lake Store.</w:t>
      </w:r>
    </w:p>
    <w:p w:rsidR="00000000" w:rsidDel="00000000" w:rsidP="00000000" w:rsidRDefault="00000000" w:rsidRPr="00000000" w14:paraId="0000000B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And the second activity processes the data with Data Lake analytics and stores it in the Data Lake Store.</w:t>
      </w:r>
    </w:p>
    <w:p w:rsidR="00000000" w:rsidDel="00000000" w:rsidP="00000000" w:rsidRDefault="00000000" w:rsidRPr="00000000" w14:paraId="0000000C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So you have the on-prem environment with SQL Server, sitting behind a Firewall</w:t>
      </w:r>
    </w:p>
    <w:p w:rsidR="00000000" w:rsidDel="00000000" w:rsidP="00000000" w:rsidRDefault="00000000" w:rsidRPr="00000000" w14:paraId="0000000D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And the Data Lake Store within the Azure cloud.</w:t>
      </w:r>
    </w:p>
    <w:p w:rsidR="00000000" w:rsidDel="00000000" w:rsidP="00000000" w:rsidRDefault="00000000" w:rsidRPr="00000000" w14:paraId="0000000E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When the first activity begins, the Data Factory directs the Self-hosted IR to copy the data from SQL server to data Lake Store.</w:t>
      </w:r>
    </w:p>
    <w:p w:rsidR="00000000" w:rsidDel="00000000" w:rsidP="00000000" w:rsidRDefault="00000000" w:rsidRPr="00000000" w14:paraId="0000000F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If you are wondering where this Self-hosted IR is defined, it is defined in the Linked service that connects to the SQL server. So in this case, the self-hosted integration runtime performs the copy activity.</w:t>
      </w:r>
    </w:p>
    <w:p w:rsidR="00000000" w:rsidDel="00000000" w:rsidP="00000000" w:rsidRDefault="00000000" w:rsidRPr="00000000" w14:paraId="00000010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Once the data is copied, the second Activity begins and Data Factory sends a command to the Azure integration runtime, which then dispatches the activity to Data Lake Analytics to transform the data and store in data lake store.</w:t>
      </w:r>
    </w:p>
    <w:p w:rsidR="00000000" w:rsidDel="00000000" w:rsidP="00000000" w:rsidRDefault="00000000" w:rsidRPr="00000000" w14:paraId="00000011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Note that your Data Factory instance and the Integration Runtime can be in different regions. The integration runtime is generally closer to the data source.</w:t>
      </w:r>
    </w:p>
    <w:p w:rsidR="00000000" w:rsidDel="00000000" w:rsidP="00000000" w:rsidRDefault="00000000" w:rsidRPr="00000000" w14:paraId="00000012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With Azure SSIS IR, you can natively execute SSIS packages in a managed environment. So, When we lift and shift the SSIS packages to Data Factory, we use Azure SSIS IR.</w:t>
      </w:r>
    </w:p>
    <w:p w:rsidR="00000000" w:rsidDel="00000000" w:rsidP="00000000" w:rsidRDefault="00000000" w:rsidRPr="00000000" w14:paraId="00000013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highlight w:val="white"/>
          <w:rtl w:val="0"/>
        </w:rPr>
        <w:t xml:space="preserve">So, first, you create Azure SSIS IR which creates Integration Services Catalog in Azure SQL DB for your SSIS Packages to live. When the Pipeline activity begins, Data Factory sends a command to the Azure SSIS IR, which then executes the SSIS Packages</w:t>
      </w:r>
    </w:p>
    <w:p w:rsidR="00000000" w:rsidDel="00000000" w:rsidP="00000000" w:rsidRDefault="00000000" w:rsidRPr="00000000" w14:paraId="00000014">
      <w:pPr>
        <w:shd w:fill="ffffff" w:val="clear"/>
        <w:spacing w:after="0" w:before="360" w:line="240" w:lineRule="auto"/>
        <w:ind w:left="0" w:firstLine="0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