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FB73" w14:textId="6E9E2668" w:rsidR="00FF1993" w:rsidRDefault="008635BA" w:rsidP="008635BA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8635BA">
        <w:rPr>
          <w:rFonts w:asciiTheme="majorBidi" w:hAnsiTheme="majorBidi" w:cstheme="majorBidi"/>
          <w:b/>
          <w:bCs/>
          <w:u w:val="single"/>
        </w:rPr>
        <w:t>Step 5- Pathway Analysis</w:t>
      </w:r>
    </w:p>
    <w:p w14:paraId="29038B43" w14:textId="7582A23A" w:rsidR="008635BA" w:rsidRDefault="008635BA" w:rsidP="008635B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 this task:</w:t>
      </w:r>
    </w:p>
    <w:p w14:paraId="31EFDF1B" w14:textId="101FBFE9" w:rsidR="008635BA" w:rsidRDefault="008635BA" w:rsidP="008635B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 will visualize the metabolic pathway for ascorbic acid (vitamin c) biosynthesis, highlighting the missing GULO enzyme in humans, and explain biological consequences.</w:t>
      </w:r>
    </w:p>
    <w:p w14:paraId="2790CAA0" w14:textId="0FF3C9AB" w:rsidR="008635BA" w:rsidRPr="008635BA" w:rsidRDefault="008635BA" w:rsidP="008635BA">
      <w:pPr>
        <w:jc w:val="both"/>
        <w:rPr>
          <w:rFonts w:asciiTheme="majorBidi" w:hAnsiTheme="majorBidi" w:cstheme="majorBidi"/>
          <w:b/>
          <w:bCs/>
          <w:u w:val="single"/>
        </w:rPr>
      </w:pPr>
      <w:r w:rsidRPr="008635BA">
        <w:rPr>
          <w:rFonts w:asciiTheme="majorBidi" w:hAnsiTheme="majorBidi" w:cstheme="majorBidi"/>
          <w:b/>
          <w:bCs/>
          <w:highlight w:val="yellow"/>
          <w:u w:val="single"/>
        </w:rPr>
        <w:t>Step 1 – Access KEGG and Reactome pathways</w:t>
      </w:r>
    </w:p>
    <w:p w14:paraId="1F6C6B8F" w14:textId="43A746A0" w:rsidR="008635BA" w:rsidRDefault="008635BA" w:rsidP="008635B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KEGG:</w:t>
      </w:r>
    </w:p>
    <w:p w14:paraId="47A8DE3A" w14:textId="52FA76A3" w:rsidR="008635BA" w:rsidRDefault="008635BA" w:rsidP="008635BA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Go to </w:t>
      </w:r>
      <w:hyperlink r:id="rId7" w:history="1">
        <w:r w:rsidRPr="00B52C64">
          <w:rPr>
            <w:rStyle w:val="Hyperlink"/>
            <w:rFonts w:asciiTheme="majorBidi" w:hAnsiTheme="majorBidi" w:cstheme="majorBidi"/>
          </w:rPr>
          <w:t>https://www.genome.jp/kegg/pathway.html</w:t>
        </w:r>
      </w:hyperlink>
    </w:p>
    <w:p w14:paraId="694E30E3" w14:textId="47C93035" w:rsidR="008635BA" w:rsidRDefault="008635BA" w:rsidP="008635BA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8635BA">
        <w:rPr>
          <w:rFonts w:asciiTheme="majorBidi" w:hAnsiTheme="majorBidi" w:cstheme="majorBidi"/>
        </w:rPr>
        <w:t>Search for “ascorbate and aldarate metabolism” or map00053.</w:t>
      </w:r>
    </w:p>
    <w:p w14:paraId="06D1B6F4" w14:textId="2E4D4235" w:rsidR="008635BA" w:rsidRDefault="008635BA" w:rsidP="008635BA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8635BA">
        <w:rPr>
          <w:rFonts w:asciiTheme="majorBidi" w:hAnsiTheme="majorBidi" w:cstheme="majorBidi"/>
        </w:rPr>
        <w:t>Open the pathway map, which shows all enzymatic reactions from glucose → ascorbate.</w:t>
      </w:r>
    </w:p>
    <w:p w14:paraId="56EEF6AA" w14:textId="7F4EA754" w:rsidR="00CB26DA" w:rsidRDefault="00CB26DA" w:rsidP="00CB26D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Results:</w:t>
      </w:r>
      <w:r w:rsidR="005C0AC3" w:rsidRPr="005C0AC3">
        <w:rPr>
          <w:rFonts w:asciiTheme="majorBidi" w:hAnsiTheme="majorBidi" w:cstheme="majorBidi"/>
          <w:noProof/>
        </w:rPr>
        <w:t xml:space="preserve"> </w:t>
      </w:r>
      <w:r w:rsidR="005C0AC3">
        <w:rPr>
          <w:rFonts w:asciiTheme="majorBidi" w:hAnsiTheme="majorBidi" w:cstheme="majorBidi"/>
          <w:noProof/>
        </w:rPr>
        <w:drawing>
          <wp:inline distT="0" distB="0" distL="0" distR="0" wp14:anchorId="6D446D43" wp14:editId="21329F73">
            <wp:extent cx="5943600" cy="3902075"/>
            <wp:effectExtent l="0" t="0" r="0" b="3175"/>
            <wp:docPr id="638119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19358" name="Picture 6381193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0283" w14:textId="49C4EF5F" w:rsidR="00CB26DA" w:rsidRDefault="005C0AC3" w:rsidP="00CB26DA">
      <w:pPr>
        <w:jc w:val="both"/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3FF3139" wp14:editId="723CD2DA">
            <wp:simplePos x="0" y="0"/>
            <wp:positionH relativeFrom="column">
              <wp:posOffset>0</wp:posOffset>
            </wp:positionH>
            <wp:positionV relativeFrom="paragraph">
              <wp:posOffset>4073991</wp:posOffset>
            </wp:positionV>
            <wp:extent cx="5943600" cy="3902075"/>
            <wp:effectExtent l="0" t="0" r="0" b="3175"/>
            <wp:wrapSquare wrapText="bothSides"/>
            <wp:docPr id="150338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87747" name="Picture 15033877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6DA">
        <w:rPr>
          <w:rFonts w:asciiTheme="majorBidi" w:hAnsiTheme="majorBidi" w:cstheme="majorBidi"/>
          <w:noProof/>
        </w:rPr>
        <w:drawing>
          <wp:inline distT="0" distB="0" distL="0" distR="0" wp14:anchorId="5BEEF089" wp14:editId="35BCDEA7">
            <wp:extent cx="5943600" cy="3902075"/>
            <wp:effectExtent l="0" t="0" r="0" b="3175"/>
            <wp:docPr id="1955747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47848" name="Picture 19557478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8215" w14:textId="77777777" w:rsidR="00166099" w:rsidRDefault="00166099" w:rsidP="00166099">
      <w:pPr>
        <w:rPr>
          <w:rFonts w:asciiTheme="majorBidi" w:hAnsiTheme="majorBidi" w:cstheme="majorBidi"/>
        </w:rPr>
      </w:pPr>
    </w:p>
    <w:p w14:paraId="0B904090" w14:textId="2085128E" w:rsidR="00166099" w:rsidRDefault="00166099" w:rsidP="00166099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It can be observed the GULO step is absent on the pathway map for homo sapiens, whereas it is present in that of rattus norvegicus.</w:t>
      </w:r>
    </w:p>
    <w:p w14:paraId="0F836321" w14:textId="6D3A6289" w:rsidR="00166099" w:rsidRPr="00166099" w:rsidRDefault="00166099" w:rsidP="00166099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166099">
        <w:rPr>
          <w:rFonts w:asciiTheme="majorBidi" w:hAnsiTheme="majorBidi" w:cstheme="majorBidi"/>
        </w:rPr>
        <w:t>Humans lack a functional GULO enzyme, preventing conversion of L-gulono-1,4-lactone to vitamin C. This explains dietary dependence on vitamin C and impacts collagen synthesis, iron absorption, and antioxidant metabolism.</w:t>
      </w:r>
    </w:p>
    <w:p w14:paraId="26943D43" w14:textId="265E2A44" w:rsidR="00166099" w:rsidRPr="003A6A7D" w:rsidRDefault="003A6A7D" w:rsidP="00166099">
      <w:pPr>
        <w:rPr>
          <w:rFonts w:asciiTheme="majorBidi" w:hAnsiTheme="majorBidi" w:cstheme="majorBidi"/>
          <w:b/>
          <w:bCs/>
          <w:u w:val="single"/>
        </w:rPr>
      </w:pPr>
      <w:r w:rsidRPr="003A6A7D">
        <w:rPr>
          <w:rFonts w:asciiTheme="majorBidi" w:hAnsiTheme="majorBidi" w:cstheme="majorBidi"/>
          <w:b/>
          <w:bCs/>
          <w:highlight w:val="yellow"/>
          <w:u w:val="single"/>
        </w:rPr>
        <w:t>Step 2 – Downstream Consequences of GULO Absence</w:t>
      </w:r>
    </w:p>
    <w:p w14:paraId="14BB05A1" w14:textId="31639946" w:rsidR="00166099" w:rsidRDefault="00C41C19" w:rsidP="00C41C1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GULO is the final enzyme in the vitamin C biosynthesis pathway. </w:t>
      </w:r>
      <w:r w:rsidRPr="00C41C19">
        <w:rPr>
          <w:rFonts w:asciiTheme="majorBidi" w:hAnsiTheme="majorBidi" w:cstheme="majorBidi"/>
        </w:rPr>
        <w:t>Vitamin C (ascorbic acid) is an essential cofactor in several biochemical reactions, so its absence must be supplied dietarily.</w:t>
      </w:r>
    </w:p>
    <w:p w14:paraId="5BA5B382" w14:textId="7BF59660" w:rsidR="00C41C19" w:rsidRDefault="00C41C19" w:rsidP="007C2302">
      <w:pPr>
        <w:pStyle w:val="ListParagraph"/>
        <w:numPr>
          <w:ilvl w:val="0"/>
          <w:numId w:val="3"/>
        </w:numPr>
        <w:spacing w:after="0"/>
        <w:jc w:val="both"/>
        <w:rPr>
          <w:rFonts w:asciiTheme="majorBidi" w:hAnsiTheme="majorBidi" w:cstheme="majorBidi"/>
        </w:rPr>
      </w:pPr>
      <w:r w:rsidRPr="00C41C19">
        <w:rPr>
          <w:rFonts w:asciiTheme="majorBidi" w:hAnsiTheme="majorBidi" w:cstheme="majorBidi"/>
        </w:rPr>
        <w:t>Collagen Hydroxylation and Connective Tissue Integrity</w:t>
      </w:r>
      <w:r>
        <w:rPr>
          <w:rFonts w:asciiTheme="majorBidi" w:hAnsiTheme="majorBidi" w:cstheme="majorBidi"/>
        </w:rPr>
        <w:t>:</w:t>
      </w:r>
    </w:p>
    <w:p w14:paraId="48F6E386" w14:textId="2DEE7AB7" w:rsidR="00C41C19" w:rsidRPr="00C41C19" w:rsidRDefault="00C41C19" w:rsidP="007C2302">
      <w:pPr>
        <w:pStyle w:val="ListParagraph"/>
        <w:numPr>
          <w:ilvl w:val="0"/>
          <w:numId w:val="5"/>
        </w:numPr>
        <w:spacing w:after="0"/>
        <w:jc w:val="both"/>
        <w:rPr>
          <w:rFonts w:asciiTheme="majorBidi" w:hAnsiTheme="majorBidi" w:cstheme="majorBidi"/>
        </w:rPr>
      </w:pPr>
      <w:r w:rsidRPr="00C41C19">
        <w:rPr>
          <w:rFonts w:asciiTheme="majorBidi" w:hAnsiTheme="majorBidi" w:cstheme="majorBidi"/>
        </w:rPr>
        <w:t xml:space="preserve">Collagen, a major structural protein in skin, blood vessels, bones, and tendons, requires hydroxylation of proline and lysine residues for triple helix stabilization. </w:t>
      </w:r>
    </w:p>
    <w:p w14:paraId="121A6FE1" w14:textId="3B2641F6" w:rsidR="00C41C19" w:rsidRDefault="00C41C19" w:rsidP="007C2302">
      <w:pPr>
        <w:pStyle w:val="ListParagraph"/>
        <w:numPr>
          <w:ilvl w:val="0"/>
          <w:numId w:val="5"/>
        </w:numPr>
        <w:spacing w:after="0"/>
        <w:jc w:val="both"/>
        <w:rPr>
          <w:rFonts w:asciiTheme="majorBidi" w:hAnsiTheme="majorBidi" w:cstheme="majorBidi"/>
        </w:rPr>
      </w:pPr>
      <w:r w:rsidRPr="00C41C19">
        <w:rPr>
          <w:rFonts w:asciiTheme="majorBidi" w:hAnsiTheme="majorBidi" w:cstheme="majorBidi"/>
        </w:rPr>
        <w:t>This hydroxylation is performed by enzymes prolyl hydroxylase and lysyl hydroxylase, which require vitamin C as a cofactor.</w:t>
      </w:r>
    </w:p>
    <w:p w14:paraId="079AC8B2" w14:textId="12833978" w:rsidR="00C41C19" w:rsidRDefault="00C41C19" w:rsidP="007C2302">
      <w:pPr>
        <w:spacing w:after="0"/>
        <w:ind w:left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Without GULO:</w:t>
      </w:r>
    </w:p>
    <w:p w14:paraId="7156124F" w14:textId="2E9F6810" w:rsidR="00C41C19" w:rsidRPr="00C41C19" w:rsidRDefault="00C41C19" w:rsidP="007C2302">
      <w:pPr>
        <w:pStyle w:val="ListParagraph"/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</w:rPr>
      </w:pPr>
      <w:r w:rsidRPr="00C41C19">
        <w:rPr>
          <w:rFonts w:asciiTheme="majorBidi" w:hAnsiTheme="majorBidi" w:cstheme="majorBidi"/>
        </w:rPr>
        <w:t xml:space="preserve">Without endogenous vitamin C, humans rely on dietary sources. </w:t>
      </w:r>
    </w:p>
    <w:p w14:paraId="0E09433C" w14:textId="0518A486" w:rsidR="00C41C19" w:rsidRPr="00C41C19" w:rsidRDefault="00C41C19" w:rsidP="007C2302">
      <w:pPr>
        <w:pStyle w:val="ListParagraph"/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</w:rPr>
      </w:pPr>
      <w:r w:rsidRPr="00C41C19">
        <w:rPr>
          <w:rFonts w:asciiTheme="majorBidi" w:hAnsiTheme="majorBidi" w:cstheme="majorBidi"/>
        </w:rPr>
        <w:t xml:space="preserve">Vitamin C deficiency leads to improper collagen formation, weakening connective tissue. </w:t>
      </w:r>
    </w:p>
    <w:p w14:paraId="762622DF" w14:textId="1F81D7E3" w:rsidR="00C41C19" w:rsidRDefault="00C41C19" w:rsidP="007C2302">
      <w:pPr>
        <w:pStyle w:val="ListParagraph"/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</w:rPr>
      </w:pPr>
      <w:r w:rsidRPr="00C41C19">
        <w:rPr>
          <w:rFonts w:asciiTheme="majorBidi" w:hAnsiTheme="majorBidi" w:cstheme="majorBidi"/>
        </w:rPr>
        <w:t>Clinical consequence: scurvy, with symptoms like bleeding gums, fragile skin, delayed wound healing, and joint pain.</w:t>
      </w:r>
    </w:p>
    <w:p w14:paraId="351B91C8" w14:textId="77777777" w:rsidR="007C2302" w:rsidRDefault="007C2302" w:rsidP="007C2302">
      <w:pPr>
        <w:pStyle w:val="ListParagraph"/>
        <w:spacing w:after="0"/>
        <w:ind w:left="1080"/>
        <w:jc w:val="both"/>
        <w:rPr>
          <w:rFonts w:asciiTheme="majorBidi" w:hAnsiTheme="majorBidi" w:cstheme="majorBidi"/>
        </w:rPr>
      </w:pPr>
    </w:p>
    <w:p w14:paraId="2D49B312" w14:textId="419875B7" w:rsidR="007C2302" w:rsidRPr="007C2302" w:rsidRDefault="007C2302" w:rsidP="007C2302">
      <w:pPr>
        <w:pStyle w:val="ListParagraph"/>
        <w:numPr>
          <w:ilvl w:val="0"/>
          <w:numId w:val="3"/>
        </w:numPr>
        <w:spacing w:after="0"/>
        <w:jc w:val="both"/>
        <w:rPr>
          <w:rFonts w:asciiTheme="majorBidi" w:hAnsiTheme="majorBidi" w:cstheme="majorBidi"/>
        </w:rPr>
      </w:pPr>
      <w:r w:rsidRPr="007C2302">
        <w:rPr>
          <w:rFonts w:asciiTheme="majorBidi" w:hAnsiTheme="majorBidi" w:cstheme="majorBidi"/>
        </w:rPr>
        <w:t>Iron Absorption</w:t>
      </w:r>
    </w:p>
    <w:p w14:paraId="41ECF4AA" w14:textId="77777777" w:rsidR="007C2302" w:rsidRPr="007C2302" w:rsidRDefault="007C2302" w:rsidP="007C2302">
      <w:pPr>
        <w:numPr>
          <w:ilvl w:val="0"/>
          <w:numId w:val="7"/>
        </w:numPr>
        <w:tabs>
          <w:tab w:val="num" w:pos="720"/>
        </w:tabs>
        <w:spacing w:after="0"/>
        <w:jc w:val="both"/>
        <w:rPr>
          <w:rFonts w:asciiTheme="majorBidi" w:hAnsiTheme="majorBidi" w:cstheme="majorBidi"/>
        </w:rPr>
      </w:pPr>
      <w:r w:rsidRPr="007C2302">
        <w:rPr>
          <w:rFonts w:asciiTheme="majorBidi" w:hAnsiTheme="majorBidi" w:cstheme="majorBidi"/>
        </w:rPr>
        <w:t xml:space="preserve">Non-heme iron (from plants) is in the ferric form, Fe³⁺, which is poorly absorbed. </w:t>
      </w:r>
    </w:p>
    <w:p w14:paraId="3A72E6F7" w14:textId="77777777" w:rsidR="007C2302" w:rsidRPr="007C2302" w:rsidRDefault="007C2302" w:rsidP="007C2302">
      <w:pPr>
        <w:numPr>
          <w:ilvl w:val="0"/>
          <w:numId w:val="7"/>
        </w:numPr>
        <w:tabs>
          <w:tab w:val="num" w:pos="720"/>
        </w:tabs>
        <w:spacing w:after="0"/>
        <w:jc w:val="both"/>
        <w:rPr>
          <w:rFonts w:asciiTheme="majorBidi" w:hAnsiTheme="majorBidi" w:cstheme="majorBidi"/>
        </w:rPr>
      </w:pPr>
      <w:r w:rsidRPr="007C2302">
        <w:rPr>
          <w:rFonts w:asciiTheme="majorBidi" w:hAnsiTheme="majorBidi" w:cstheme="majorBidi"/>
        </w:rPr>
        <w:t xml:space="preserve">Vitamin C reduces Fe³⁺ → Fe²⁺ (ferrous), which is more readily absorbed in the intestine. </w:t>
      </w:r>
    </w:p>
    <w:p w14:paraId="651356F6" w14:textId="77777777" w:rsidR="007C2302" w:rsidRPr="007C2302" w:rsidRDefault="007C2302" w:rsidP="007C2302">
      <w:pPr>
        <w:spacing w:after="0"/>
        <w:ind w:firstLine="720"/>
        <w:jc w:val="both"/>
        <w:rPr>
          <w:rFonts w:asciiTheme="majorBidi" w:hAnsiTheme="majorBidi" w:cstheme="majorBidi"/>
        </w:rPr>
      </w:pPr>
      <w:r w:rsidRPr="007C2302">
        <w:rPr>
          <w:rFonts w:asciiTheme="majorBidi" w:hAnsiTheme="majorBidi" w:cstheme="majorBidi"/>
        </w:rPr>
        <w:t>Impact of GULO loss:</w:t>
      </w:r>
    </w:p>
    <w:p w14:paraId="31FC1547" w14:textId="77777777" w:rsidR="007C2302" w:rsidRPr="007C2302" w:rsidRDefault="007C2302" w:rsidP="007C2302">
      <w:pPr>
        <w:numPr>
          <w:ilvl w:val="0"/>
          <w:numId w:val="8"/>
        </w:numPr>
        <w:tabs>
          <w:tab w:val="num" w:pos="720"/>
        </w:tabs>
        <w:spacing w:after="0"/>
        <w:jc w:val="both"/>
        <w:rPr>
          <w:rFonts w:asciiTheme="majorBidi" w:hAnsiTheme="majorBidi" w:cstheme="majorBidi"/>
        </w:rPr>
      </w:pPr>
      <w:r w:rsidRPr="007C2302">
        <w:rPr>
          <w:rFonts w:asciiTheme="majorBidi" w:hAnsiTheme="majorBidi" w:cstheme="majorBidi"/>
        </w:rPr>
        <w:t xml:space="preserve">Humans must obtain vitamin C from diet to maintain iron absorption efficiency. </w:t>
      </w:r>
    </w:p>
    <w:p w14:paraId="2EC90C93" w14:textId="3C223E2D" w:rsidR="007C2302" w:rsidRDefault="007C2302" w:rsidP="007C2302">
      <w:pPr>
        <w:numPr>
          <w:ilvl w:val="0"/>
          <w:numId w:val="8"/>
        </w:numPr>
        <w:tabs>
          <w:tab w:val="num" w:pos="720"/>
        </w:tabs>
        <w:spacing w:after="0"/>
        <w:jc w:val="both"/>
        <w:rPr>
          <w:rFonts w:asciiTheme="majorBidi" w:hAnsiTheme="majorBidi" w:cstheme="majorBidi"/>
        </w:rPr>
      </w:pPr>
      <w:r w:rsidRPr="007C2302">
        <w:rPr>
          <w:rFonts w:asciiTheme="majorBidi" w:hAnsiTheme="majorBidi" w:cstheme="majorBidi"/>
        </w:rPr>
        <w:t>Deficiency can lead to iron-deficiency anemia, fatigue, and decreased oxygen transport.</w:t>
      </w:r>
    </w:p>
    <w:p w14:paraId="25F2B8F4" w14:textId="77777777" w:rsidR="006D63AA" w:rsidRDefault="006D63AA" w:rsidP="006D63AA">
      <w:pPr>
        <w:tabs>
          <w:tab w:val="num" w:pos="720"/>
        </w:tabs>
        <w:spacing w:after="0"/>
        <w:ind w:left="1080"/>
        <w:jc w:val="both"/>
        <w:rPr>
          <w:rFonts w:asciiTheme="majorBidi" w:hAnsiTheme="majorBidi" w:cstheme="majorBidi"/>
        </w:rPr>
      </w:pPr>
    </w:p>
    <w:p w14:paraId="64282325" w14:textId="524C9A5E" w:rsidR="006D63AA" w:rsidRPr="006D63AA" w:rsidRDefault="006D63AA" w:rsidP="006D63AA">
      <w:pPr>
        <w:pStyle w:val="ListParagraph"/>
        <w:numPr>
          <w:ilvl w:val="0"/>
          <w:numId w:val="3"/>
        </w:numPr>
        <w:spacing w:after="0"/>
        <w:jc w:val="both"/>
        <w:rPr>
          <w:rFonts w:asciiTheme="majorBidi" w:hAnsiTheme="majorBidi" w:cstheme="majorBidi"/>
        </w:rPr>
      </w:pPr>
      <w:r w:rsidRPr="006D63AA">
        <w:rPr>
          <w:rFonts w:asciiTheme="majorBidi" w:hAnsiTheme="majorBidi" w:cstheme="majorBidi"/>
        </w:rPr>
        <w:t>Antioxidant Recycling and Oxidative Stress</w:t>
      </w:r>
    </w:p>
    <w:p w14:paraId="1293F47D" w14:textId="77777777" w:rsidR="006D63AA" w:rsidRPr="006D63AA" w:rsidRDefault="006D63AA" w:rsidP="006D63AA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Theme="majorBidi" w:hAnsiTheme="majorBidi" w:cstheme="majorBidi"/>
        </w:rPr>
      </w:pPr>
      <w:r w:rsidRPr="006D63AA">
        <w:rPr>
          <w:rFonts w:asciiTheme="majorBidi" w:hAnsiTheme="majorBidi" w:cstheme="majorBidi"/>
        </w:rPr>
        <w:t xml:space="preserve">Vitamin C is a potent water-soluble antioxidant. </w:t>
      </w:r>
    </w:p>
    <w:p w14:paraId="51172013" w14:textId="77777777" w:rsidR="006D63AA" w:rsidRPr="006D63AA" w:rsidRDefault="006D63AA" w:rsidP="006D63AA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rFonts w:asciiTheme="majorBidi" w:hAnsiTheme="majorBidi" w:cstheme="majorBidi"/>
        </w:rPr>
      </w:pPr>
      <w:r w:rsidRPr="006D63AA">
        <w:rPr>
          <w:rFonts w:asciiTheme="majorBidi" w:hAnsiTheme="majorBidi" w:cstheme="majorBidi"/>
        </w:rPr>
        <w:t xml:space="preserve">It neutralizes reactive oxygen species (ROS) and regenerates oxidized forms of other antioxidants like vitamin E. </w:t>
      </w:r>
    </w:p>
    <w:p w14:paraId="7F36495F" w14:textId="77777777" w:rsidR="006D63AA" w:rsidRPr="006D63AA" w:rsidRDefault="006D63AA" w:rsidP="006D63AA">
      <w:pPr>
        <w:spacing w:after="0"/>
        <w:ind w:firstLine="720"/>
        <w:jc w:val="both"/>
        <w:rPr>
          <w:rFonts w:asciiTheme="majorBidi" w:hAnsiTheme="majorBidi" w:cstheme="majorBidi"/>
        </w:rPr>
      </w:pPr>
      <w:r w:rsidRPr="006D63AA">
        <w:rPr>
          <w:rFonts w:asciiTheme="majorBidi" w:hAnsiTheme="majorBidi" w:cstheme="majorBidi"/>
        </w:rPr>
        <w:t>Impact of GULO loss:</w:t>
      </w:r>
    </w:p>
    <w:p w14:paraId="60A9C4DC" w14:textId="77777777" w:rsidR="006D63AA" w:rsidRPr="006D63AA" w:rsidRDefault="006D63AA" w:rsidP="006D63AA">
      <w:pPr>
        <w:numPr>
          <w:ilvl w:val="0"/>
          <w:numId w:val="11"/>
        </w:numPr>
        <w:tabs>
          <w:tab w:val="num" w:pos="720"/>
        </w:tabs>
        <w:spacing w:after="0"/>
        <w:jc w:val="both"/>
        <w:rPr>
          <w:rFonts w:asciiTheme="majorBidi" w:hAnsiTheme="majorBidi" w:cstheme="majorBidi"/>
        </w:rPr>
      </w:pPr>
      <w:r w:rsidRPr="006D63AA">
        <w:rPr>
          <w:rFonts w:asciiTheme="majorBidi" w:hAnsiTheme="majorBidi" w:cstheme="majorBidi"/>
        </w:rPr>
        <w:t xml:space="preserve">Without GULO, humans rely on dietary vitamin C for antioxidant protection. </w:t>
      </w:r>
    </w:p>
    <w:p w14:paraId="6BF215CB" w14:textId="77777777" w:rsidR="006D63AA" w:rsidRPr="006D63AA" w:rsidRDefault="006D63AA" w:rsidP="006D63AA">
      <w:pPr>
        <w:numPr>
          <w:ilvl w:val="0"/>
          <w:numId w:val="11"/>
        </w:numPr>
        <w:tabs>
          <w:tab w:val="num" w:pos="720"/>
        </w:tabs>
        <w:spacing w:after="0"/>
        <w:jc w:val="both"/>
        <w:rPr>
          <w:rFonts w:asciiTheme="majorBidi" w:hAnsiTheme="majorBidi" w:cstheme="majorBidi"/>
        </w:rPr>
      </w:pPr>
      <w:r w:rsidRPr="006D63AA">
        <w:rPr>
          <w:rFonts w:asciiTheme="majorBidi" w:hAnsiTheme="majorBidi" w:cstheme="majorBidi"/>
        </w:rPr>
        <w:t>Low vitamin C levels increase susceptibility to oxidative stress, potentially affecting DNA, lipids, and proteins.</w:t>
      </w:r>
    </w:p>
    <w:p w14:paraId="1BDDB86E" w14:textId="77777777" w:rsidR="006D63AA" w:rsidRPr="007C2302" w:rsidRDefault="006D63AA" w:rsidP="006D63AA">
      <w:pPr>
        <w:spacing w:after="0"/>
        <w:jc w:val="both"/>
        <w:rPr>
          <w:rFonts w:asciiTheme="majorBidi" w:hAnsiTheme="majorBidi" w:cstheme="majorBidi"/>
        </w:rPr>
      </w:pPr>
    </w:p>
    <w:p w14:paraId="0EBF3914" w14:textId="77777777" w:rsidR="00166099" w:rsidRPr="00166099" w:rsidRDefault="00166099" w:rsidP="00166099">
      <w:pPr>
        <w:rPr>
          <w:rFonts w:asciiTheme="majorBidi" w:hAnsiTheme="majorBidi" w:cstheme="majorBidi"/>
        </w:rPr>
      </w:pPr>
    </w:p>
    <w:sectPr w:rsidR="00166099" w:rsidRPr="00166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0386C" w14:textId="77777777" w:rsidR="007B119D" w:rsidRDefault="007B119D" w:rsidP="00166099">
      <w:pPr>
        <w:spacing w:after="0" w:line="240" w:lineRule="auto"/>
      </w:pPr>
      <w:r>
        <w:separator/>
      </w:r>
    </w:p>
  </w:endnote>
  <w:endnote w:type="continuationSeparator" w:id="0">
    <w:p w14:paraId="558AEEDF" w14:textId="77777777" w:rsidR="007B119D" w:rsidRDefault="007B119D" w:rsidP="00166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AC419" w14:textId="77777777" w:rsidR="007B119D" w:rsidRDefault="007B119D" w:rsidP="00166099">
      <w:pPr>
        <w:spacing w:after="0" w:line="240" w:lineRule="auto"/>
      </w:pPr>
      <w:r>
        <w:separator/>
      </w:r>
    </w:p>
  </w:footnote>
  <w:footnote w:type="continuationSeparator" w:id="0">
    <w:p w14:paraId="127E56FA" w14:textId="77777777" w:rsidR="007B119D" w:rsidRDefault="007B119D" w:rsidP="001660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3724"/>
    <w:multiLevelType w:val="multilevel"/>
    <w:tmpl w:val="4CA4C0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11FBD"/>
    <w:multiLevelType w:val="multilevel"/>
    <w:tmpl w:val="B5143C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80A0B"/>
    <w:multiLevelType w:val="multilevel"/>
    <w:tmpl w:val="189461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03B86"/>
    <w:multiLevelType w:val="hybridMultilevel"/>
    <w:tmpl w:val="62721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F7794"/>
    <w:multiLevelType w:val="hybridMultilevel"/>
    <w:tmpl w:val="2938A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44642C"/>
    <w:multiLevelType w:val="hybridMultilevel"/>
    <w:tmpl w:val="E6364B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B4253B"/>
    <w:multiLevelType w:val="hybridMultilevel"/>
    <w:tmpl w:val="167C0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5DA1BFD"/>
    <w:multiLevelType w:val="multilevel"/>
    <w:tmpl w:val="D0F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77334"/>
    <w:multiLevelType w:val="hybridMultilevel"/>
    <w:tmpl w:val="DD7A343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40231B9"/>
    <w:multiLevelType w:val="hybridMultilevel"/>
    <w:tmpl w:val="AB289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633C04"/>
    <w:multiLevelType w:val="multilevel"/>
    <w:tmpl w:val="332440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62215872">
    <w:abstractNumId w:val="4"/>
  </w:num>
  <w:num w:numId="2" w16cid:durableId="1233347836">
    <w:abstractNumId w:val="9"/>
  </w:num>
  <w:num w:numId="3" w16cid:durableId="691228978">
    <w:abstractNumId w:val="3"/>
  </w:num>
  <w:num w:numId="4" w16cid:durableId="1419909237">
    <w:abstractNumId w:val="8"/>
  </w:num>
  <w:num w:numId="5" w16cid:durableId="967903124">
    <w:abstractNumId w:val="5"/>
  </w:num>
  <w:num w:numId="6" w16cid:durableId="1125926692">
    <w:abstractNumId w:val="6"/>
  </w:num>
  <w:num w:numId="7" w16cid:durableId="344327274">
    <w:abstractNumId w:val="0"/>
  </w:num>
  <w:num w:numId="8" w16cid:durableId="1984581476">
    <w:abstractNumId w:val="10"/>
  </w:num>
  <w:num w:numId="9" w16cid:durableId="1928801554">
    <w:abstractNumId w:val="7"/>
  </w:num>
  <w:num w:numId="10" w16cid:durableId="830486441">
    <w:abstractNumId w:val="1"/>
  </w:num>
  <w:num w:numId="11" w16cid:durableId="1506165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BA"/>
    <w:rsid w:val="00166099"/>
    <w:rsid w:val="002B5492"/>
    <w:rsid w:val="003A6A7D"/>
    <w:rsid w:val="005C0AC3"/>
    <w:rsid w:val="005D51B7"/>
    <w:rsid w:val="006D63AA"/>
    <w:rsid w:val="007B119D"/>
    <w:rsid w:val="007C12BD"/>
    <w:rsid w:val="007C2302"/>
    <w:rsid w:val="008635BA"/>
    <w:rsid w:val="00AF00C1"/>
    <w:rsid w:val="00C41C19"/>
    <w:rsid w:val="00CB26DA"/>
    <w:rsid w:val="00CB3B7B"/>
    <w:rsid w:val="00D81F89"/>
    <w:rsid w:val="00E3524E"/>
    <w:rsid w:val="00FF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49B92"/>
  <w15:chartTrackingRefBased/>
  <w15:docId w15:val="{9ADC3480-5456-4318-9725-8A08AB0C2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5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35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5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660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099"/>
  </w:style>
  <w:style w:type="paragraph" w:styleId="Footer">
    <w:name w:val="footer"/>
    <w:basedOn w:val="Normal"/>
    <w:link w:val="FooterChar"/>
    <w:uiPriority w:val="99"/>
    <w:unhideWhenUsed/>
    <w:rsid w:val="001660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genome.jp/kegg/pathway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Cleopatre Tannous (Student)</dc:creator>
  <cp:keywords/>
  <dc:description/>
  <cp:lastModifiedBy>Cleopatre Tannous (Student)</cp:lastModifiedBy>
  <cp:revision>5</cp:revision>
  <dcterms:created xsi:type="dcterms:W3CDTF">2026-04-08T19:24:00Z</dcterms:created>
  <dcterms:modified xsi:type="dcterms:W3CDTF">2026-04-08T20:53:00Z</dcterms:modified>
</cp:coreProperties>
</file>