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D7A97" w14:textId="77777777" w:rsidR="009A6B6C" w:rsidRPr="009A6B6C" w:rsidRDefault="009A6B6C" w:rsidP="009A6B6C">
      <w:pPr>
        <w:rPr>
          <w:rFonts w:asciiTheme="majorBidi" w:hAnsiTheme="majorBidi" w:cstheme="majorBidi"/>
        </w:rPr>
      </w:pPr>
    </w:p>
    <w:p w14:paraId="29A285D7" w14:textId="77777777" w:rsidR="009A6B6C" w:rsidRPr="009A6B6C" w:rsidRDefault="009A6B6C" w:rsidP="009A6B6C">
      <w:pPr>
        <w:rPr>
          <w:rFonts w:asciiTheme="majorBidi" w:hAnsiTheme="majorBidi" w:cstheme="majorBidi"/>
          <w:b/>
          <w:bCs/>
        </w:rPr>
      </w:pPr>
      <w:r w:rsidRPr="009A6B6C">
        <w:rPr>
          <w:rFonts w:asciiTheme="majorBidi" w:hAnsiTheme="majorBidi" w:cstheme="majorBidi"/>
          <w:b/>
          <w:bCs/>
        </w:rPr>
        <w:t>Methods</w:t>
      </w:r>
    </w:p>
    <w:p w14:paraId="4EEE8C4F" w14:textId="0E4164DF" w:rsidR="009A6B6C" w:rsidRDefault="009A6B6C" w:rsidP="009A6B6C">
      <w:pPr>
        <w:rPr>
          <w:rFonts w:asciiTheme="majorBidi" w:hAnsiTheme="majorBidi" w:cstheme="majorBidi"/>
        </w:rPr>
      </w:pPr>
      <w:r w:rsidRPr="009A6B6C">
        <w:rPr>
          <w:rFonts w:asciiTheme="majorBidi" w:hAnsiTheme="majorBidi" w:cstheme="majorBidi"/>
        </w:rPr>
        <w:t xml:space="preserve">A phylogenetic tree was constructed from the </w:t>
      </w:r>
      <w:proofErr w:type="spellStart"/>
      <w:r w:rsidRPr="009A6B6C">
        <w:rPr>
          <w:rFonts w:asciiTheme="majorBidi" w:hAnsiTheme="majorBidi" w:cstheme="majorBidi"/>
        </w:rPr>
        <w:t>Clustal</w:t>
      </w:r>
      <w:proofErr w:type="spellEnd"/>
      <w:r w:rsidRPr="009A6B6C">
        <w:rPr>
          <w:rFonts w:asciiTheme="majorBidi" w:hAnsiTheme="majorBidi" w:cstheme="majorBidi"/>
        </w:rPr>
        <w:t xml:space="preserve"> Omega multiple sequence alignment using the neighbor-joining method with branch lengths representing substitutions per site, as computed by </w:t>
      </w:r>
      <w:proofErr w:type="spellStart"/>
      <w:r w:rsidRPr="009A6B6C">
        <w:rPr>
          <w:rFonts w:asciiTheme="majorBidi" w:hAnsiTheme="majorBidi" w:cstheme="majorBidi"/>
        </w:rPr>
        <w:t>Clustal</w:t>
      </w:r>
      <w:proofErr w:type="spellEnd"/>
      <w:r w:rsidRPr="009A6B6C">
        <w:rPr>
          <w:rFonts w:asciiTheme="majorBidi" w:hAnsiTheme="majorBidi" w:cstheme="majorBidi"/>
        </w:rPr>
        <w:t xml:space="preserve"> Omega (version 1.2.4). The resulting </w:t>
      </w:r>
      <w:proofErr w:type="spellStart"/>
      <w:r w:rsidRPr="009A6B6C">
        <w:rPr>
          <w:rFonts w:asciiTheme="majorBidi" w:hAnsiTheme="majorBidi" w:cstheme="majorBidi"/>
        </w:rPr>
        <w:t>Newick</w:t>
      </w:r>
      <w:proofErr w:type="spellEnd"/>
      <w:r w:rsidRPr="009A6B6C">
        <w:rPr>
          <w:rFonts w:asciiTheme="majorBidi" w:hAnsiTheme="majorBidi" w:cstheme="majorBidi"/>
        </w:rPr>
        <w:t>-format tree was visualized using MEGA (version 11). Due to the limited dataset of four species, Maximum Likelihood inference and bootstrap resampling — as originally proposed — were not pursued, as these methods require larger datasets to produce reliable support values. Branch lengths were interpreted as a proxy for evolutionary rate, with longer branches indicating accelerated sequence divergence. The absence of guinea pig (</w:t>
      </w:r>
      <w:r w:rsidRPr="009A6B6C">
        <w:rPr>
          <w:rFonts w:asciiTheme="majorBidi" w:hAnsiTheme="majorBidi" w:cstheme="majorBidi"/>
          <w:i/>
          <w:iCs/>
        </w:rPr>
        <w:t>Cavia porcellus</w:t>
      </w:r>
      <w:r w:rsidRPr="009A6B6C">
        <w:rPr>
          <w:rFonts w:asciiTheme="majorBidi" w:hAnsiTheme="majorBidi" w:cstheme="majorBidi"/>
        </w:rPr>
        <w:t>) from the dataset, due to sequence unavailability, precluded the planned comparison of convergent pseudogenization events.</w:t>
      </w:r>
    </w:p>
    <w:p w14:paraId="4970D5F3" w14:textId="77777777" w:rsidR="009A6B6C" w:rsidRDefault="009A6B6C" w:rsidP="009A6B6C">
      <w:pPr>
        <w:rPr>
          <w:rFonts w:asciiTheme="majorBidi" w:hAnsiTheme="majorBidi" w:cstheme="majorBidi"/>
        </w:rPr>
      </w:pPr>
    </w:p>
    <w:p w14:paraId="2E79DAFA" w14:textId="0B19DF88" w:rsidR="009A6B6C" w:rsidRPr="009A6B6C" w:rsidRDefault="009A6B6C" w:rsidP="009A6B6C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drawing>
          <wp:inline distT="0" distB="0" distL="0" distR="0" wp14:anchorId="7AA11601" wp14:editId="037D5212">
            <wp:extent cx="3827721" cy="3285668"/>
            <wp:effectExtent l="0" t="0" r="1905" b="0"/>
            <wp:docPr id="21390612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061231" name="Picture 213906123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8301" cy="3311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4D0C6" w14:textId="58806F36" w:rsidR="009A6B6C" w:rsidRPr="009A6B6C" w:rsidRDefault="009A6B6C" w:rsidP="009A6B6C">
      <w:pPr>
        <w:rPr>
          <w:rFonts w:asciiTheme="majorBidi" w:hAnsiTheme="majorBidi" w:cstheme="majorBidi"/>
          <w:i/>
          <w:iCs/>
          <w:sz w:val="18"/>
          <w:szCs w:val="18"/>
        </w:rPr>
      </w:pPr>
      <w:r w:rsidRPr="009A6B6C">
        <w:rPr>
          <w:rFonts w:asciiTheme="majorBidi" w:hAnsiTheme="majorBidi" w:cstheme="majorBidi"/>
          <w:i/>
          <w:iCs/>
          <w:sz w:val="18"/>
          <w:szCs w:val="18"/>
        </w:rPr>
        <w:t xml:space="preserve">Phylogenetic tree of GULO nucleotide sequences across four mammalian species, constructed using the neighbor-joining method in </w:t>
      </w:r>
      <w:proofErr w:type="spellStart"/>
      <w:r w:rsidRPr="009A6B6C">
        <w:rPr>
          <w:rFonts w:asciiTheme="majorBidi" w:hAnsiTheme="majorBidi" w:cstheme="majorBidi"/>
          <w:i/>
          <w:iCs/>
          <w:sz w:val="18"/>
          <w:szCs w:val="18"/>
        </w:rPr>
        <w:t>Clustal</w:t>
      </w:r>
      <w:proofErr w:type="spellEnd"/>
      <w:r w:rsidRPr="009A6B6C">
        <w:rPr>
          <w:rFonts w:asciiTheme="majorBidi" w:hAnsiTheme="majorBidi" w:cstheme="majorBidi"/>
          <w:i/>
          <w:iCs/>
          <w:sz w:val="18"/>
          <w:szCs w:val="18"/>
        </w:rPr>
        <w:t xml:space="preserve"> Omega and visualized in MEGA 11. Branch lengths represent substitutions per site. The human GULO pseudogene (branch length = 0.21) shows markedly accelerated sequence divergence compared to functional orthologs (rat, mouse, dog; branch lengths = 0.06), consistent with relaxation of purifying selection following gene inactivation.</w:t>
      </w:r>
    </w:p>
    <w:p w14:paraId="366A0084" w14:textId="77777777" w:rsidR="009A6B6C" w:rsidRDefault="009A6B6C" w:rsidP="009A6B6C">
      <w:pPr>
        <w:rPr>
          <w:rFonts w:asciiTheme="majorBidi" w:hAnsiTheme="majorBidi" w:cstheme="majorBidi"/>
          <w:b/>
          <w:bCs/>
        </w:rPr>
      </w:pPr>
    </w:p>
    <w:p w14:paraId="30898C77" w14:textId="0AFA10FA" w:rsidR="009A6B6C" w:rsidRDefault="009A6B6C" w:rsidP="009A6B6C">
      <w:pPr>
        <w:rPr>
          <w:rFonts w:asciiTheme="majorBidi" w:hAnsiTheme="majorBidi" w:cstheme="majorBidi"/>
          <w:b/>
          <w:bCs/>
        </w:rPr>
      </w:pPr>
      <w:r w:rsidRPr="009A6B6C">
        <w:rPr>
          <w:rFonts w:asciiTheme="majorBidi" w:hAnsiTheme="majorBidi" w:cstheme="majorBidi"/>
          <w:b/>
          <w:bCs/>
        </w:rPr>
        <w:t>Results</w:t>
      </w:r>
    </w:p>
    <w:p w14:paraId="174E25DC" w14:textId="37447937" w:rsidR="009A6B6C" w:rsidRPr="009A6B6C" w:rsidRDefault="009A6B6C" w:rsidP="009A6B6C">
      <w:pPr>
        <w:rPr>
          <w:rFonts w:asciiTheme="majorBidi" w:hAnsiTheme="majorBidi" w:cstheme="majorBidi"/>
        </w:rPr>
      </w:pPr>
      <w:r w:rsidRPr="009A6B6C">
        <w:rPr>
          <w:rFonts w:asciiTheme="majorBidi" w:hAnsiTheme="majorBidi" w:cstheme="majorBidi"/>
        </w:rPr>
        <w:t>The phylogenetic tree (</w:t>
      </w:r>
      <w:r w:rsidRPr="009A6B6C">
        <w:rPr>
          <w:rFonts w:asciiTheme="majorBidi" w:hAnsiTheme="majorBidi" w:cstheme="majorBidi"/>
        </w:rPr>
        <w:t>tree.pdf</w:t>
      </w:r>
      <w:r>
        <w:rPr>
          <w:rFonts w:asciiTheme="majorBidi" w:hAnsiTheme="majorBidi" w:cstheme="majorBidi"/>
        </w:rPr>
        <w:t>, also above</w:t>
      </w:r>
      <w:r w:rsidRPr="009A6B6C">
        <w:rPr>
          <w:rFonts w:asciiTheme="majorBidi" w:hAnsiTheme="majorBidi" w:cstheme="majorBidi"/>
        </w:rPr>
        <w:t xml:space="preserve">) revealed a topology consistent with established mammalian evolutionary relationships. Rat and mouse grouped as sister taxa connected by a short internal branch (0.01 substitutions per site), reflecting their shared rodent ancestry, while </w:t>
      </w:r>
      <w:r w:rsidRPr="009A6B6C">
        <w:rPr>
          <w:rFonts w:asciiTheme="majorBidi" w:hAnsiTheme="majorBidi" w:cstheme="majorBidi"/>
        </w:rPr>
        <w:lastRenderedPageBreak/>
        <w:t xml:space="preserve">dog branched separately as expected for a carnivore. </w:t>
      </w:r>
      <w:r>
        <w:rPr>
          <w:rFonts w:asciiTheme="majorBidi" w:hAnsiTheme="majorBidi" w:cstheme="majorBidi"/>
        </w:rPr>
        <w:t>T</w:t>
      </w:r>
      <w:r w:rsidRPr="009A6B6C">
        <w:rPr>
          <w:rFonts w:asciiTheme="majorBidi" w:hAnsiTheme="majorBidi" w:cstheme="majorBidi"/>
        </w:rPr>
        <w:t>he human GULO pseudogene exhibited a branch length of 0.21 substitutions per site</w:t>
      </w:r>
      <w:r>
        <w:rPr>
          <w:rFonts w:asciiTheme="majorBidi" w:hAnsiTheme="majorBidi" w:cstheme="majorBidi"/>
        </w:rPr>
        <w:t xml:space="preserve">, </w:t>
      </w:r>
      <w:r w:rsidRPr="009A6B6C">
        <w:rPr>
          <w:rFonts w:asciiTheme="majorBidi" w:hAnsiTheme="majorBidi" w:cstheme="majorBidi"/>
        </w:rPr>
        <w:t>approximately 3.5 times longer than any functional ortholog (rat: 0.06, mouse: 0.06, dog: 0.06). This pronounced elongation of the human branch is consistent with relaxation of purifying selection following gene inactivation: once the GULO gene lost its function, deleterious mutations were no longer selectively removed, allowing neutral mutations to accumulate at a higher rate. This finding at the nucleotide level corroborates the protein-level analysis performed in the companion alignment (Step 2, protein MSA), which identified complete disruption of the FAD-binding domain in the human pseudogene. Together, both analyses converge on the same conclusion: the human GULO locus has undergone extensive post-inactivation decay, retaining only remnant sequence similarity to functional orthologs.</w:t>
      </w:r>
    </w:p>
    <w:p w14:paraId="2C0F2192" w14:textId="76A7EF3E" w:rsidR="009A6B6C" w:rsidRPr="009A6B6C" w:rsidRDefault="009A6B6C" w:rsidP="009A6B6C">
      <w:pPr>
        <w:rPr>
          <w:rFonts w:asciiTheme="majorBidi" w:hAnsiTheme="majorBidi" w:cstheme="majorBidi"/>
          <w:b/>
          <w:bCs/>
        </w:rPr>
      </w:pPr>
      <w:r w:rsidRPr="009A6B6C">
        <w:rPr>
          <w:rFonts w:asciiTheme="majorBidi" w:hAnsiTheme="majorBidi" w:cstheme="majorBidi"/>
          <w:b/>
          <w:bCs/>
        </w:rPr>
        <w:t>Limitations</w:t>
      </w:r>
    </w:p>
    <w:p w14:paraId="5B879DCD" w14:textId="77777777" w:rsidR="009A6B6C" w:rsidRPr="009A6B6C" w:rsidRDefault="009A6B6C" w:rsidP="009A6B6C">
      <w:pPr>
        <w:rPr>
          <w:rFonts w:asciiTheme="majorBidi" w:hAnsiTheme="majorBidi" w:cstheme="majorBidi"/>
        </w:rPr>
      </w:pPr>
      <w:r w:rsidRPr="009A6B6C">
        <w:rPr>
          <w:rFonts w:asciiTheme="majorBidi" w:hAnsiTheme="majorBidi" w:cstheme="majorBidi"/>
        </w:rPr>
        <w:t>Several limitations should be noted. First, the phylogenetic tree was derived from a neighbor-joining algorithm rather than the Maximum Likelihood method originally proposed, as the small dataset of four sequences does not provide sufficient power for robust likelihood-based inference. Second, bootstrap support values were not calculated, meaning branch topology confidence cannot be formally assessed. Third, the absence of guinea pig (</w:t>
      </w:r>
      <w:r w:rsidRPr="009A6B6C">
        <w:rPr>
          <w:rFonts w:asciiTheme="majorBidi" w:hAnsiTheme="majorBidi" w:cstheme="majorBidi"/>
          <w:i/>
          <w:iCs/>
        </w:rPr>
        <w:t>Cavia porcellus</w:t>
      </w:r>
      <w:r w:rsidRPr="009A6B6C">
        <w:rPr>
          <w:rFonts w:asciiTheme="majorBidi" w:hAnsiTheme="majorBidi" w:cstheme="majorBidi"/>
        </w:rPr>
        <w:t>) from the dataset prevented the planned comparison of convergent independent GULO losses, which would have strengthened the evolutionary conclusions. Future analyses incorporating additional pseudogene-bearing species would provide a more complete picture of convergent GULO inactivation across mammals.</w:t>
      </w:r>
    </w:p>
    <w:p w14:paraId="1C209B36" w14:textId="77777777" w:rsidR="00F17446" w:rsidRPr="009A6B6C" w:rsidRDefault="00F17446">
      <w:pPr>
        <w:rPr>
          <w:rFonts w:asciiTheme="majorBidi" w:hAnsiTheme="majorBidi" w:cstheme="majorBidi"/>
        </w:rPr>
      </w:pPr>
    </w:p>
    <w:sectPr w:rsidR="00F17446" w:rsidRPr="009A6B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96E"/>
    <w:rsid w:val="000B0FAC"/>
    <w:rsid w:val="00187193"/>
    <w:rsid w:val="00244BB0"/>
    <w:rsid w:val="005F4A7E"/>
    <w:rsid w:val="0061603A"/>
    <w:rsid w:val="006F05D5"/>
    <w:rsid w:val="00852743"/>
    <w:rsid w:val="009A6B6C"/>
    <w:rsid w:val="00EE596E"/>
    <w:rsid w:val="00F17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AC7D0"/>
  <w15:chartTrackingRefBased/>
  <w15:docId w15:val="{465CA3A7-CF07-49BE-AE76-3C629F164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59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59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59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59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59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59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59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59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59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59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59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59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59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59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59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59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59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59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59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59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59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59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59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59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59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59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59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59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59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491</Words>
  <Characters>2804</Characters>
  <Application>Microsoft Office Word</Application>
  <DocSecurity>0</DocSecurity>
  <Lines>23</Lines>
  <Paragraphs>6</Paragraphs>
  <ScaleCrop>false</ScaleCrop>
  <Company/>
  <LinksUpToDate>false</LinksUpToDate>
  <CharactersWithSpaces>3289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Nour Sakr (Student)</dc:creator>
  <cp:keywords/>
  <dc:description/>
  <cp:lastModifiedBy>Nour Sakr (Student)</cp:lastModifiedBy>
  <cp:revision>2</cp:revision>
  <dcterms:created xsi:type="dcterms:W3CDTF">2026-04-11T08:01:00Z</dcterms:created>
  <dcterms:modified xsi:type="dcterms:W3CDTF">2026-04-11T08:06:00Z</dcterms:modified>
</cp:coreProperties>
</file>