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9FFE86A" w14:textId="77777777" w:rsidR="00C673D9" w:rsidRPr="00C673D9" w:rsidRDefault="00C673D9" w:rsidP="00C673D9">
      <w:pPr>
        <w:rPr>
          <w:rFonts w:asciiTheme="majorBidi" w:hAnsiTheme="majorBidi" w:cstheme="majorBidi"/>
        </w:rPr>
      </w:pPr>
      <w:hyperlink r:id="rId4" w:history="1">
        <w:r w:rsidRPr="00C673D9">
          <w:rPr>
            <w:rStyle w:val="Hyperlink"/>
            <w:rFonts w:asciiTheme="majorBidi" w:hAnsiTheme="majorBidi" w:cstheme="majorBidi"/>
          </w:rPr>
          <w:t>https://davidbioinformatics.nih.gov/chartReport.html?annot=55%2C88%2C10%2C85%2C86%2C91%2C92%2C78%2C27%2</w:t>
        </w:r>
        <w:r w:rsidRPr="00C673D9">
          <w:rPr>
            <w:rStyle w:val="Hyperlink"/>
            <w:rFonts w:asciiTheme="majorBidi" w:hAnsiTheme="majorBidi" w:cstheme="majorBidi"/>
          </w:rPr>
          <w:t>C</w:t>
        </w:r>
        <w:r w:rsidRPr="00C673D9">
          <w:rPr>
            <w:rStyle w:val="Hyperlink"/>
            <w:rFonts w:asciiTheme="majorBidi" w:hAnsiTheme="majorBidi" w:cstheme="majorBidi"/>
          </w:rPr>
          <w:t>35</w:t>
        </w:r>
        <w:r w:rsidRPr="00C673D9">
          <w:rPr>
            <w:rStyle w:val="Hyperlink"/>
            <w:rFonts w:asciiTheme="majorBidi" w:hAnsiTheme="majorBidi" w:cstheme="majorBidi"/>
          </w:rPr>
          <w:t>%</w:t>
        </w:r>
        <w:r w:rsidRPr="00C673D9">
          <w:rPr>
            <w:rStyle w:val="Hyperlink"/>
            <w:rFonts w:asciiTheme="majorBidi" w:hAnsiTheme="majorBidi" w:cstheme="majorBidi"/>
          </w:rPr>
          <w:t>2C43%2C90%2C52%2C50%2C65%2C73%2C89</w:t>
        </w:r>
      </w:hyperlink>
    </w:p>
    <w:p w14:paraId="68723179" w14:textId="3965306F" w:rsidR="00C673D9" w:rsidRPr="00C673D9" w:rsidRDefault="00C673D9" w:rsidP="00C673D9">
      <w:pPr>
        <w:rPr>
          <w:rFonts w:asciiTheme="majorBidi" w:hAnsiTheme="majorBidi" w:cstheme="majorBidi"/>
        </w:rPr>
      </w:pPr>
      <w:r w:rsidRPr="00C673D9">
        <w:rPr>
          <w:rFonts w:asciiTheme="majorBidi" w:hAnsiTheme="majorBidi" w:cstheme="majorBidi"/>
          <w:b/>
          <w:bCs/>
        </w:rPr>
        <w:t>Methods</w:t>
      </w:r>
    </w:p>
    <w:p w14:paraId="70136E4B" w14:textId="3D539153" w:rsidR="00C673D9" w:rsidRPr="00C673D9" w:rsidRDefault="00C673D9" w:rsidP="00C673D9">
      <w:pPr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t>g:Profiler e</w:t>
      </w:r>
      <w:r w:rsidRPr="00C673D9">
        <w:rPr>
          <w:rFonts w:asciiTheme="majorBidi" w:hAnsiTheme="majorBidi" w:cstheme="majorBidi"/>
        </w:rPr>
        <w:t>nrichment results were validated using DAVID Bioinformatics Resources (davidbioinformatics.nih.gov), with the same gene list submitted using OFFICIAL_GENE_SYMBOL identifiers against the Homo sapiens background, and functional annotation charts generated across GO Biological Process, GO Molecular Function, and KEGG pathway categories.</w:t>
      </w:r>
    </w:p>
    <w:p w14:paraId="347B2045" w14:textId="1E165FCF" w:rsidR="00C673D9" w:rsidRPr="00C673D9" w:rsidRDefault="00C673D9" w:rsidP="00C673D9">
      <w:pPr>
        <w:rPr>
          <w:rFonts w:asciiTheme="majorBidi" w:hAnsiTheme="majorBidi" w:cstheme="majorBidi"/>
          <w:b/>
          <w:bCs/>
        </w:rPr>
      </w:pPr>
      <w:r>
        <w:rPr>
          <w:rFonts w:asciiTheme="majorBidi" w:hAnsiTheme="majorBidi" w:cstheme="majorBidi"/>
          <w:b/>
          <w:bCs/>
        </w:rPr>
        <w:t xml:space="preserve">g:Profiler </w:t>
      </w:r>
      <w:r w:rsidRPr="00C673D9">
        <w:rPr>
          <w:rFonts w:asciiTheme="majorBidi" w:hAnsiTheme="majorBidi" w:cstheme="majorBidi"/>
          <w:b/>
          <w:bCs/>
        </w:rPr>
        <w:t>Results Validation</w:t>
      </w:r>
    </w:p>
    <w:p w14:paraId="7291B5A1" w14:textId="6615E6D9" w:rsidR="00C673D9" w:rsidRPr="00C673D9" w:rsidRDefault="00C673D9" w:rsidP="00C673D9">
      <w:pPr>
        <w:rPr>
          <w:rFonts w:asciiTheme="majorBidi" w:hAnsiTheme="majorBidi" w:cstheme="majorBidi"/>
        </w:rPr>
      </w:pPr>
      <w:r w:rsidRPr="00C673D9">
        <w:rPr>
          <w:rFonts w:asciiTheme="majorBidi" w:hAnsiTheme="majorBidi" w:cstheme="majorBidi"/>
        </w:rPr>
        <w:t xml:space="preserve">DAVID enrichment analysis corroborated all major findings from g:Profiler. The top enriched biological process was again response to oxidative stress (p = 1.33×10⁻²⁴, 14 of 19 genes), followed by cell redox homeostasis (p = 5.60×10⁻¹⁵, fold enrichment = 186.72) and glutathione metabolic process (p = 8.33×10⁻¹⁰, fold enrichment = 120.82). At the molecular function level, oxidoreductase activity (p = 1.90×10⁻¹⁴, 13 genes) and antioxidant activity were highly enriched. KEGG analysis confirmed glutathione metabolism (p = 3.23×10⁻⁸) and ferroptosis (p = 5.79×10⁻⁷) as the top pathways. Notably, L-ascorbic acid metabolic process (p = 4.40×10⁻⁵), L-ascorbate sodium symporter activity (p = 1.87×10⁻³), and L-ascorbic acid transmembrane transport (p = 2.77×10⁻³) were all significantly enriched, directly confirming the role of dietary Vitamin C uptake machinery as a compensatory adaptation. FAD binding was enriched in both tools, and DAVID additionally flagged flavin adenine dinucleotide binding (p = 3.16×10⁻⁵) driven by TXNRD1, TXNRD2, GSR, and XDH — all oxidoreductases that functionally overlap with the lost GULO enzyme. The consistent agreement between g:Profiler and DAVID across all major themes </w:t>
      </w:r>
      <w:r>
        <w:rPr>
          <w:rFonts w:asciiTheme="majorBidi" w:hAnsiTheme="majorBidi" w:cstheme="majorBidi"/>
        </w:rPr>
        <w:t>(a</w:t>
      </w:r>
      <w:r w:rsidRPr="00C673D9">
        <w:rPr>
          <w:rFonts w:asciiTheme="majorBidi" w:hAnsiTheme="majorBidi" w:cstheme="majorBidi"/>
        </w:rPr>
        <w:t>ntioxidant defense, glutathione metabolism, and Vitamin C transport</w:t>
      </w:r>
      <w:r>
        <w:rPr>
          <w:rFonts w:asciiTheme="majorBidi" w:hAnsiTheme="majorBidi" w:cstheme="majorBidi"/>
        </w:rPr>
        <w:t xml:space="preserve">) </w:t>
      </w:r>
      <w:r w:rsidRPr="00C673D9">
        <w:rPr>
          <w:rFonts w:asciiTheme="majorBidi" w:hAnsiTheme="majorBidi" w:cstheme="majorBidi"/>
        </w:rPr>
        <w:t>strengthens confidence in the biological interpretation.</w:t>
      </w:r>
    </w:p>
    <w:p w14:paraId="0A864AFB" w14:textId="346A4986" w:rsidR="00C673D9" w:rsidRPr="00C673D9" w:rsidRDefault="00C673D9" w:rsidP="00C673D9">
      <w:pPr>
        <w:rPr>
          <w:rFonts w:asciiTheme="majorBidi" w:hAnsiTheme="majorBidi" w:cstheme="majorBidi"/>
        </w:rPr>
      </w:pPr>
      <w:r w:rsidRPr="00C673D9">
        <w:rPr>
          <w:rFonts w:asciiTheme="majorBidi" w:hAnsiTheme="majorBidi" w:cstheme="majorBidi"/>
          <w:b/>
          <w:bCs/>
        </w:rPr>
        <w:t>Extra Finding</w:t>
      </w:r>
    </w:p>
    <w:p w14:paraId="1547CD93" w14:textId="22F86A4F" w:rsidR="00C673D9" w:rsidRPr="00C673D9" w:rsidRDefault="00C673D9" w:rsidP="00C673D9">
      <w:pPr>
        <w:rPr>
          <w:rFonts w:asciiTheme="majorBidi" w:hAnsiTheme="majorBidi" w:cstheme="majorBidi"/>
        </w:rPr>
      </w:pPr>
      <w:r w:rsidRPr="00C673D9">
        <w:rPr>
          <w:rFonts w:asciiTheme="majorBidi" w:hAnsiTheme="majorBidi" w:cstheme="majorBidi"/>
        </w:rPr>
        <w:t>DAVID additionally identified hereditary hemolytic anemia as a significantly enriched disease term, driven by glutathione pathway genes GCLC, GSS, and GSR</w:t>
      </w:r>
      <w:r>
        <w:rPr>
          <w:rFonts w:asciiTheme="majorBidi" w:hAnsiTheme="majorBidi" w:cstheme="majorBidi"/>
        </w:rPr>
        <w:t xml:space="preserve">, </w:t>
      </w:r>
      <w:r w:rsidRPr="00C673D9">
        <w:rPr>
          <w:rFonts w:asciiTheme="majorBidi" w:hAnsiTheme="majorBidi" w:cstheme="majorBidi"/>
        </w:rPr>
        <w:t>highlighting that deficiencies in the compensatory antioxidant network have direct clinical consequences, consistent with the known pathological effects of severe Vitamin C deficiency on red blood cell integrity.</w:t>
      </w:r>
    </w:p>
    <w:p w14:paraId="649E6AA3" w14:textId="77777777" w:rsidR="00C673D9" w:rsidRDefault="00C673D9"/>
    <w:p w14:paraId="2D6196FE" w14:textId="77777777" w:rsidR="00C673D9" w:rsidRDefault="00C673D9"/>
    <w:sectPr w:rsidR="00C673D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F4E14"/>
    <w:rsid w:val="000B0FAC"/>
    <w:rsid w:val="00187193"/>
    <w:rsid w:val="00244BB0"/>
    <w:rsid w:val="005F4E14"/>
    <w:rsid w:val="0061603A"/>
    <w:rsid w:val="006F05D5"/>
    <w:rsid w:val="00852743"/>
    <w:rsid w:val="00C306BE"/>
    <w:rsid w:val="00C673D9"/>
    <w:rsid w:val="00F1744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1986FCE"/>
  <w15:chartTrackingRefBased/>
  <w15:docId w15:val="{FFFFB674-580D-4CFC-BEF4-258AC1BFBC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F4E1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F4E1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F4E1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F4E1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F4E1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F4E1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F4E1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F4E1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F4E1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F4E1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F4E1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F4E1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F4E1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F4E1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F4E1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F4E1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F4E1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F4E1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F4E1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F4E1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F4E1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F4E1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F4E1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F4E1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F4E1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F4E1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F4E1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F4E1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F4E14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C673D9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C673D9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C673D9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https://davidbioinformatics.nih.gov/chartReport.html?annot=55%2C88%2C10%2C85%2C86%2C91%2C92%2C78%2C27%2C35%2C43%2C90%2C52%2C50%2C65%2C73%2C89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1</Pages>
  <Words>358</Words>
  <Characters>2046</Characters>
  <Application>Microsoft Office Word</Application>
  <DocSecurity>0</DocSecurity>
  <Lines>17</Lines>
  <Paragraphs>4</Paragraphs>
  <ScaleCrop>false</ScaleCrop>
  <Company/>
  <LinksUpToDate>false</LinksUpToDate>
  <CharactersWithSpaces>2400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Nour Sakr (Student)</dc:creator>
  <cp:keywords/>
  <dc:description/>
  <cp:lastModifiedBy>Nour Sakr (Student)</cp:lastModifiedBy>
  <cp:revision>2</cp:revision>
  <dcterms:created xsi:type="dcterms:W3CDTF">2026-04-11T08:43:00Z</dcterms:created>
  <dcterms:modified xsi:type="dcterms:W3CDTF">2026-04-11T08:50:00Z</dcterms:modified>
</cp:coreProperties>
</file>