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8811B" w14:textId="3B0E07B4" w:rsidR="00A05248" w:rsidRPr="00A05248" w:rsidRDefault="00A05248" w:rsidP="00A0524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124F0152" wp14:editId="2CDD262B">
            <wp:extent cx="5943600" cy="3185160"/>
            <wp:effectExtent l="0" t="0" r="0" b="0"/>
            <wp:docPr id="189004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47565" name="Picture 18900475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7DCD" w14:textId="7CD54986" w:rsidR="00A05248" w:rsidRDefault="00A05248" w:rsidP="00006539">
      <w:pPr>
        <w:rPr>
          <w:rFonts w:asciiTheme="majorBidi" w:hAnsiTheme="majorBidi" w:cstheme="majorBidi"/>
          <w:i/>
          <w:iCs/>
          <w:sz w:val="18"/>
          <w:szCs w:val="18"/>
        </w:rPr>
      </w:pPr>
      <w:r w:rsidRPr="00A05248">
        <w:rPr>
          <w:rFonts w:asciiTheme="majorBidi" w:hAnsiTheme="majorBidi" w:cstheme="majorBidi"/>
          <w:i/>
          <w:iCs/>
          <w:sz w:val="18"/>
          <w:szCs w:val="18"/>
        </w:rPr>
        <w:t>Protein interaction network of rat GULO (L-</w:t>
      </w:r>
      <w:proofErr w:type="spellStart"/>
      <w:r w:rsidRPr="00A05248">
        <w:rPr>
          <w:rFonts w:asciiTheme="majorBidi" w:hAnsiTheme="majorBidi" w:cstheme="majorBidi"/>
          <w:i/>
          <w:iCs/>
          <w:sz w:val="18"/>
          <w:szCs w:val="18"/>
        </w:rPr>
        <w:t>gulonolactone</w:t>
      </w:r>
      <w:proofErr w:type="spellEnd"/>
      <w:r w:rsidRPr="00A05248">
        <w:rPr>
          <w:rFonts w:asciiTheme="majorBidi" w:hAnsiTheme="majorBidi" w:cstheme="majorBidi"/>
          <w:i/>
          <w:iCs/>
          <w:sz w:val="18"/>
          <w:szCs w:val="18"/>
        </w:rPr>
        <w:t xml:space="preserve"> oxidase) retrieved from STRING (v12.0, Rattus norvegicus). The central node (GULO) represents the functional enzyme present in rat but absent as a functional protein in humans. </w:t>
      </w:r>
      <w:r w:rsidR="00006539" w:rsidRPr="00006539">
        <w:rPr>
          <w:rFonts w:asciiTheme="majorBidi" w:hAnsiTheme="majorBidi" w:cstheme="majorBidi"/>
          <w:i/>
          <w:iCs/>
          <w:sz w:val="18"/>
          <w:szCs w:val="18"/>
        </w:rPr>
        <w:t xml:space="preserve">All surrounding colored nodes represent first-shell interactors. Filled nodes indicate proteins with known or predicted 3D structure. Edges represent predicted functional associations supported by multiple evidence types including curated databases, experimental data, gene co-occurrence, co-expression, and </w:t>
      </w:r>
      <w:proofErr w:type="spellStart"/>
      <w:r w:rsidR="00006539" w:rsidRPr="00006539">
        <w:rPr>
          <w:rFonts w:asciiTheme="majorBidi" w:hAnsiTheme="majorBidi" w:cstheme="majorBidi"/>
          <w:i/>
          <w:iCs/>
          <w:sz w:val="18"/>
          <w:szCs w:val="18"/>
        </w:rPr>
        <w:t>textmining</w:t>
      </w:r>
      <w:proofErr w:type="spellEnd"/>
      <w:r w:rsidR="00A57A22">
        <w:rPr>
          <w:rFonts w:asciiTheme="majorBidi" w:hAnsiTheme="majorBidi" w:cstheme="majorBidi"/>
          <w:i/>
          <w:iCs/>
          <w:sz w:val="18"/>
          <w:szCs w:val="18"/>
        </w:rPr>
        <w:t>. E</w:t>
      </w:r>
      <w:r w:rsidR="00006539" w:rsidRPr="00006539">
        <w:rPr>
          <w:rFonts w:asciiTheme="majorBidi" w:hAnsiTheme="majorBidi" w:cstheme="majorBidi"/>
          <w:i/>
          <w:iCs/>
          <w:sz w:val="18"/>
          <w:szCs w:val="18"/>
        </w:rPr>
        <w:t>ach edge color corresponds to a different evidence type as shown in the STRING interface legend.</w:t>
      </w:r>
      <w:r w:rsidR="00006539">
        <w:rPr>
          <w:rFonts w:asciiTheme="majorBidi" w:hAnsiTheme="majorBidi" w:cstheme="majorBidi"/>
          <w:i/>
          <w:iCs/>
          <w:sz w:val="18"/>
          <w:szCs w:val="18"/>
        </w:rPr>
        <w:t xml:space="preserve"> </w:t>
      </w:r>
      <w:r w:rsidRPr="00A05248">
        <w:rPr>
          <w:rFonts w:asciiTheme="majorBidi" w:hAnsiTheme="majorBidi" w:cstheme="majorBidi"/>
          <w:i/>
          <w:iCs/>
          <w:sz w:val="18"/>
          <w:szCs w:val="18"/>
        </w:rPr>
        <w:t>Node size reflects confidence of interaction. In humans, the GULO node is non-functional, disrupting all depicted interactions. The 10 predicted functional partners are ranked by interaction confidence score</w:t>
      </w:r>
      <w:r w:rsidR="00006539">
        <w:rPr>
          <w:rFonts w:asciiTheme="majorBidi" w:hAnsiTheme="majorBidi" w:cstheme="majorBidi"/>
          <w:i/>
          <w:iCs/>
          <w:sz w:val="18"/>
          <w:szCs w:val="18"/>
        </w:rPr>
        <w:t xml:space="preserve"> </w:t>
      </w:r>
      <w:r w:rsidR="00006539" w:rsidRPr="00006539">
        <w:rPr>
          <w:rFonts w:asciiTheme="majorBidi" w:hAnsiTheme="majorBidi" w:cstheme="majorBidi"/>
          <w:i/>
          <w:iCs/>
          <w:sz w:val="18"/>
          <w:szCs w:val="18"/>
        </w:rPr>
        <w:t>(range: 0.609</w:t>
      </w:r>
      <w:r w:rsidR="00A57A22">
        <w:rPr>
          <w:rFonts w:asciiTheme="majorBidi" w:hAnsiTheme="majorBidi" w:cstheme="majorBidi"/>
          <w:i/>
          <w:iCs/>
          <w:sz w:val="18"/>
          <w:szCs w:val="18"/>
        </w:rPr>
        <w:t>-</w:t>
      </w:r>
      <w:r w:rsidR="00006539" w:rsidRPr="00006539">
        <w:rPr>
          <w:rFonts w:asciiTheme="majorBidi" w:hAnsiTheme="majorBidi" w:cstheme="majorBidi"/>
          <w:i/>
          <w:iCs/>
          <w:sz w:val="18"/>
          <w:szCs w:val="18"/>
        </w:rPr>
        <w:t>0.974).</w:t>
      </w:r>
    </w:p>
    <w:p w14:paraId="6F2516CE" w14:textId="30C16121" w:rsidR="00A05248" w:rsidRDefault="00006539" w:rsidP="00A05248">
      <w:pPr>
        <w:rPr>
          <w:rFonts w:asciiTheme="majorBidi" w:hAnsiTheme="majorBidi" w:cstheme="majorBidi"/>
          <w:i/>
          <w:iCs/>
          <w:sz w:val="18"/>
          <w:szCs w:val="18"/>
        </w:rPr>
      </w:pPr>
      <w:r>
        <w:rPr>
          <w:rFonts w:asciiTheme="majorBidi" w:hAnsiTheme="majorBidi" w:cstheme="majorBidi"/>
          <w:i/>
          <w:iCs/>
          <w:sz w:val="18"/>
          <w:szCs w:val="18"/>
        </w:rPr>
        <w:t xml:space="preserve">Link to detailed image legend on STRING: </w:t>
      </w:r>
      <w:hyperlink r:id="rId5" w:history="1">
        <w:r w:rsidRPr="00793304">
          <w:rPr>
            <w:rStyle w:val="Hyperlink"/>
            <w:rFonts w:asciiTheme="majorBidi" w:hAnsiTheme="majorBidi" w:cstheme="majorBidi"/>
            <w:i/>
            <w:iCs/>
            <w:sz w:val="18"/>
            <w:szCs w:val="18"/>
          </w:rPr>
          <w:t>https://string-db.org</w:t>
        </w:r>
        <w:r w:rsidRPr="00793304">
          <w:rPr>
            <w:rStyle w:val="Hyperlink"/>
            <w:rFonts w:asciiTheme="majorBidi" w:hAnsiTheme="majorBidi" w:cstheme="majorBidi"/>
            <w:i/>
            <w:iCs/>
            <w:sz w:val="18"/>
            <w:szCs w:val="18"/>
          </w:rPr>
          <w:t>/</w:t>
        </w:r>
        <w:r w:rsidRPr="00793304">
          <w:rPr>
            <w:rStyle w:val="Hyperlink"/>
            <w:rFonts w:asciiTheme="majorBidi" w:hAnsiTheme="majorBidi" w:cstheme="majorBidi"/>
            <w:i/>
            <w:iCs/>
            <w:sz w:val="18"/>
            <w:szCs w:val="18"/>
          </w:rPr>
          <w:t>cgi/network?taskId=bG93Vv1jpvZE&amp;sessionId=bz7Re3mlnxtX</w:t>
        </w:r>
      </w:hyperlink>
    </w:p>
    <w:p w14:paraId="3CF485D2" w14:textId="77777777" w:rsidR="00A05248" w:rsidRPr="00A05248" w:rsidRDefault="00A05248" w:rsidP="00A05248">
      <w:pPr>
        <w:rPr>
          <w:rFonts w:asciiTheme="majorBidi" w:hAnsiTheme="majorBidi" w:cstheme="majorBidi"/>
          <w:i/>
          <w:iCs/>
          <w:sz w:val="18"/>
          <w:szCs w:val="18"/>
        </w:rPr>
      </w:pPr>
    </w:p>
    <w:p w14:paraId="40DFEF32" w14:textId="37042534" w:rsidR="00A05248" w:rsidRPr="00A05248" w:rsidRDefault="00A05248" w:rsidP="00A05248">
      <w:pPr>
        <w:rPr>
          <w:rFonts w:asciiTheme="majorBidi" w:hAnsiTheme="majorBidi" w:cstheme="majorBidi"/>
          <w:b/>
          <w:bCs/>
        </w:rPr>
      </w:pPr>
      <w:r w:rsidRPr="00A05248">
        <w:rPr>
          <w:rFonts w:asciiTheme="majorBidi" w:hAnsiTheme="majorBidi" w:cstheme="majorBidi"/>
          <w:b/>
          <w:bCs/>
        </w:rPr>
        <w:t>Methods</w:t>
      </w:r>
    </w:p>
    <w:p w14:paraId="15CF36BB" w14:textId="77777777" w:rsidR="00006539" w:rsidRDefault="00006539" w:rsidP="00006539">
      <w:pPr>
        <w:rPr>
          <w:rFonts w:asciiTheme="majorBidi" w:hAnsiTheme="majorBidi" w:cstheme="majorBidi"/>
        </w:rPr>
      </w:pPr>
      <w:r w:rsidRPr="00006539">
        <w:rPr>
          <w:rFonts w:asciiTheme="majorBidi" w:hAnsiTheme="majorBidi" w:cstheme="majorBidi"/>
        </w:rPr>
        <w:t xml:space="preserve">The protein interaction network of functional GULO was retrieved from STRING database (v12.0; string-db.org) using </w:t>
      </w:r>
      <w:r w:rsidRPr="00006539">
        <w:rPr>
          <w:rFonts w:asciiTheme="majorBidi" w:hAnsiTheme="majorBidi" w:cstheme="majorBidi"/>
          <w:i/>
          <w:iCs/>
        </w:rPr>
        <w:t>Rattus norvegicus</w:t>
      </w:r>
      <w:r w:rsidRPr="00006539">
        <w:rPr>
          <w:rFonts w:asciiTheme="majorBidi" w:hAnsiTheme="majorBidi" w:cstheme="majorBidi"/>
        </w:rPr>
        <w:t xml:space="preserve"> as the query organism, as the human GULO locus produces no functional protein. The query protein "Gulo" (L-</w:t>
      </w:r>
      <w:proofErr w:type="spellStart"/>
      <w:r w:rsidRPr="00006539">
        <w:rPr>
          <w:rFonts w:asciiTheme="majorBidi" w:hAnsiTheme="majorBidi" w:cstheme="majorBidi"/>
        </w:rPr>
        <w:t>gulonolactone</w:t>
      </w:r>
      <w:proofErr w:type="spellEnd"/>
      <w:r w:rsidRPr="00006539">
        <w:rPr>
          <w:rFonts w:asciiTheme="majorBidi" w:hAnsiTheme="majorBidi" w:cstheme="majorBidi"/>
        </w:rPr>
        <w:t xml:space="preserve"> oxidase, 440 aa) was searched and the resulting network of predicted functional partners was retrieved using default confidence settings. Network nodes represent proteins, with colored nodes indicating query proteins and first-shell interactors, and filled nodes indicating proteins with known or predicted 3D structure. Edges represent predicted functional associations — not necessarily physical binding — supported by evidence from curated databases, experimental data, gene neighborhood, gene co-occurrence, co-expression, </w:t>
      </w:r>
      <w:proofErr w:type="spellStart"/>
      <w:r w:rsidRPr="00006539">
        <w:rPr>
          <w:rFonts w:asciiTheme="majorBidi" w:hAnsiTheme="majorBidi" w:cstheme="majorBidi"/>
        </w:rPr>
        <w:t>textmining</w:t>
      </w:r>
      <w:proofErr w:type="spellEnd"/>
      <w:r w:rsidRPr="00006539">
        <w:rPr>
          <w:rFonts w:asciiTheme="majorBidi" w:hAnsiTheme="majorBidi" w:cstheme="majorBidi"/>
        </w:rPr>
        <w:t xml:space="preserve">, and protein homology. The network was visualized directly from the STRING interface. Import into </w:t>
      </w:r>
      <w:proofErr w:type="spellStart"/>
      <w:r w:rsidRPr="00006539">
        <w:rPr>
          <w:rFonts w:asciiTheme="majorBidi" w:hAnsiTheme="majorBidi" w:cstheme="majorBidi"/>
        </w:rPr>
        <w:t>Cytoscape</w:t>
      </w:r>
      <w:proofErr w:type="spellEnd"/>
      <w:r w:rsidRPr="00006539">
        <w:rPr>
          <w:rFonts w:asciiTheme="majorBidi" w:hAnsiTheme="majorBidi" w:cstheme="majorBidi"/>
        </w:rPr>
        <w:t xml:space="preserve"> was attempted but could not be completed due to software compatibility issues; the STRING network image was retained as the primary figure. The human context was interpreted by treating the </w:t>
      </w:r>
      <w:r w:rsidRPr="00006539">
        <w:rPr>
          <w:rFonts w:asciiTheme="majorBidi" w:hAnsiTheme="majorBidi" w:cstheme="majorBidi"/>
        </w:rPr>
        <w:lastRenderedPageBreak/>
        <w:t>central GULO node as non-functional and identifying which interaction partners are consequently disrupted.</w:t>
      </w:r>
    </w:p>
    <w:p w14:paraId="11D31833" w14:textId="639CEA23" w:rsidR="00A05248" w:rsidRPr="00A05248" w:rsidRDefault="00A05248" w:rsidP="00006539">
      <w:pPr>
        <w:rPr>
          <w:rFonts w:asciiTheme="majorBidi" w:hAnsiTheme="majorBidi" w:cstheme="majorBidi"/>
          <w:b/>
          <w:bCs/>
        </w:rPr>
      </w:pPr>
      <w:r w:rsidRPr="00A05248">
        <w:rPr>
          <w:rFonts w:asciiTheme="majorBidi" w:hAnsiTheme="majorBidi" w:cstheme="majorBidi"/>
          <w:b/>
          <w:bCs/>
        </w:rPr>
        <w:t>Results</w:t>
      </w:r>
    </w:p>
    <w:p w14:paraId="36D13E35" w14:textId="031933EF" w:rsidR="00A05248" w:rsidRPr="00A05248" w:rsidRDefault="00A05248" w:rsidP="00E97D15">
      <w:pPr>
        <w:rPr>
          <w:rFonts w:asciiTheme="majorBidi" w:hAnsiTheme="majorBidi" w:cstheme="majorBidi"/>
        </w:rPr>
      </w:pPr>
      <w:r w:rsidRPr="00A05248">
        <w:rPr>
          <w:rFonts w:asciiTheme="majorBidi" w:hAnsiTheme="majorBidi" w:cstheme="majorBidi"/>
        </w:rPr>
        <w:t xml:space="preserve">The STRING interaction network of rat GULO identified 10 predicted functional partners with confidence scores ranging from 0.609 to 0.974. Interactors clustered into four biologically meaningful groups. First, the highest-confidence interactor was </w:t>
      </w:r>
      <w:proofErr w:type="spellStart"/>
      <w:r w:rsidRPr="00A05248">
        <w:rPr>
          <w:rFonts w:asciiTheme="majorBidi" w:hAnsiTheme="majorBidi" w:cstheme="majorBidi"/>
        </w:rPr>
        <w:t>Rgn</w:t>
      </w:r>
      <w:proofErr w:type="spellEnd"/>
      <w:r w:rsidRPr="00A05248">
        <w:rPr>
          <w:rFonts w:asciiTheme="majorBidi" w:hAnsiTheme="majorBidi" w:cstheme="majorBidi"/>
        </w:rPr>
        <w:t xml:space="preserve"> (</w:t>
      </w:r>
      <w:proofErr w:type="spellStart"/>
      <w:r w:rsidRPr="00A05248">
        <w:rPr>
          <w:rFonts w:asciiTheme="majorBidi" w:hAnsiTheme="majorBidi" w:cstheme="majorBidi"/>
        </w:rPr>
        <w:t>regucalcin</w:t>
      </w:r>
      <w:proofErr w:type="spellEnd"/>
      <w:r w:rsidRPr="00A05248">
        <w:rPr>
          <w:rFonts w:asciiTheme="majorBidi" w:hAnsiTheme="majorBidi" w:cstheme="majorBidi"/>
        </w:rPr>
        <w:t xml:space="preserve">, score = 0.974), a </w:t>
      </w:r>
      <w:proofErr w:type="spellStart"/>
      <w:r w:rsidRPr="00A05248">
        <w:rPr>
          <w:rFonts w:asciiTheme="majorBidi" w:hAnsiTheme="majorBidi" w:cstheme="majorBidi"/>
        </w:rPr>
        <w:t>gluconolactonase</w:t>
      </w:r>
      <w:proofErr w:type="spellEnd"/>
      <w:r w:rsidRPr="00A05248">
        <w:rPr>
          <w:rFonts w:asciiTheme="majorBidi" w:hAnsiTheme="majorBidi" w:cstheme="majorBidi"/>
        </w:rPr>
        <w:t xml:space="preserve"> that catalyzes a step directly upstream of GULO in the ascorbic acid biosynthesis pathway</w:t>
      </w:r>
      <w:r w:rsidR="00A57A22">
        <w:rPr>
          <w:rFonts w:asciiTheme="majorBidi" w:hAnsiTheme="majorBidi" w:cstheme="majorBidi"/>
        </w:rPr>
        <w:t>. I</w:t>
      </w:r>
      <w:r w:rsidRPr="00A05248">
        <w:rPr>
          <w:rFonts w:asciiTheme="majorBidi" w:hAnsiTheme="majorBidi" w:cstheme="majorBidi"/>
        </w:rPr>
        <w:t>ts functional connection to GULO is entirely disrupted in humans, representing the most immediate network consequence of pseudogenization. Second, the glutathione and glyoxalase system was represented by Glo1 (</w:t>
      </w:r>
      <w:proofErr w:type="spellStart"/>
      <w:r w:rsidRPr="00A05248">
        <w:rPr>
          <w:rFonts w:asciiTheme="majorBidi" w:hAnsiTheme="majorBidi" w:cstheme="majorBidi"/>
        </w:rPr>
        <w:t>lactoylglutathione</w:t>
      </w:r>
      <w:proofErr w:type="spellEnd"/>
      <w:r w:rsidRPr="00A05248">
        <w:rPr>
          <w:rFonts w:asciiTheme="majorBidi" w:hAnsiTheme="majorBidi" w:cstheme="majorBidi"/>
        </w:rPr>
        <w:t xml:space="preserve"> lyase, 0.830) and Hagh (</w:t>
      </w:r>
      <w:proofErr w:type="spellStart"/>
      <w:r w:rsidRPr="00A05248">
        <w:rPr>
          <w:rFonts w:asciiTheme="majorBidi" w:hAnsiTheme="majorBidi" w:cstheme="majorBidi"/>
        </w:rPr>
        <w:t>hydroxyacylglutathione</w:t>
      </w:r>
      <w:proofErr w:type="spellEnd"/>
      <w:r w:rsidRPr="00A05248">
        <w:rPr>
          <w:rFonts w:asciiTheme="majorBidi" w:hAnsiTheme="majorBidi" w:cstheme="majorBidi"/>
        </w:rPr>
        <w:t xml:space="preserve"> hydrolase, 0.750), linking vitamin C metabolism to glutathione-dependent </w:t>
      </w:r>
      <w:proofErr w:type="spellStart"/>
      <w:r w:rsidRPr="00A05248">
        <w:rPr>
          <w:rFonts w:asciiTheme="majorBidi" w:hAnsiTheme="majorBidi" w:cstheme="majorBidi"/>
        </w:rPr>
        <w:t>detoxification</w:t>
      </w:r>
      <w:r w:rsidR="00A57A22">
        <w:rPr>
          <w:rFonts w:asciiTheme="majorBidi" w:hAnsiTheme="majorBidi" w:cstheme="majorBidi"/>
        </w:rPr>
        <w:t>.</w:t>
      </w:r>
      <w:r w:rsidRPr="00A05248">
        <w:rPr>
          <w:rFonts w:asciiTheme="majorBidi" w:hAnsiTheme="majorBidi" w:cstheme="majorBidi"/>
        </w:rPr>
        <w:t>Third</w:t>
      </w:r>
      <w:proofErr w:type="spellEnd"/>
      <w:r w:rsidRPr="00A05248">
        <w:rPr>
          <w:rFonts w:asciiTheme="majorBidi" w:hAnsiTheme="majorBidi" w:cstheme="majorBidi"/>
        </w:rPr>
        <w:t>, oxidative metabolism interactors included Hao1 (</w:t>
      </w:r>
      <w:proofErr w:type="spellStart"/>
      <w:r w:rsidRPr="00A05248">
        <w:rPr>
          <w:rFonts w:asciiTheme="majorBidi" w:hAnsiTheme="majorBidi" w:cstheme="majorBidi"/>
        </w:rPr>
        <w:t>hydroxyacid</w:t>
      </w:r>
      <w:proofErr w:type="spellEnd"/>
      <w:r w:rsidRPr="00A05248">
        <w:rPr>
          <w:rFonts w:asciiTheme="majorBidi" w:hAnsiTheme="majorBidi" w:cstheme="majorBidi"/>
        </w:rPr>
        <w:t xml:space="preserve"> oxidase, 0.673) and </w:t>
      </w:r>
      <w:proofErr w:type="spellStart"/>
      <w:r w:rsidRPr="00A05248">
        <w:rPr>
          <w:rFonts w:asciiTheme="majorBidi" w:hAnsiTheme="majorBidi" w:cstheme="majorBidi"/>
        </w:rPr>
        <w:t>Uox</w:t>
      </w:r>
      <w:proofErr w:type="spellEnd"/>
      <w:r w:rsidRPr="00A05248">
        <w:rPr>
          <w:rFonts w:asciiTheme="majorBidi" w:hAnsiTheme="majorBidi" w:cstheme="majorBidi"/>
        </w:rPr>
        <w:t xml:space="preserve"> (uricase, 0.646); notably </w:t>
      </w:r>
      <w:proofErr w:type="spellStart"/>
      <w:r w:rsidRPr="00A05248">
        <w:rPr>
          <w:rFonts w:asciiTheme="majorBidi" w:hAnsiTheme="majorBidi" w:cstheme="majorBidi"/>
        </w:rPr>
        <w:t>Uox</w:t>
      </w:r>
      <w:proofErr w:type="spellEnd"/>
      <w:r w:rsidRPr="00A05248">
        <w:rPr>
          <w:rFonts w:asciiTheme="majorBidi" w:hAnsiTheme="majorBidi" w:cstheme="majorBidi"/>
        </w:rPr>
        <w:t xml:space="preserve"> catalyzes uric acid metabolism, and uric acid serves as a major compensatory antioxidant in humans following vitamin C loss</w:t>
      </w:r>
      <w:r w:rsidR="00A57A22">
        <w:rPr>
          <w:rFonts w:asciiTheme="majorBidi" w:hAnsiTheme="majorBidi" w:cstheme="majorBidi"/>
        </w:rPr>
        <w:t>. I</w:t>
      </w:r>
      <w:r w:rsidRPr="00A05248">
        <w:rPr>
          <w:rFonts w:asciiTheme="majorBidi" w:hAnsiTheme="majorBidi" w:cstheme="majorBidi"/>
        </w:rPr>
        <w:t xml:space="preserve">ts network connection to GULO suggests an evolutionary link between these two antioxidant systems. Fourth, mitochondrial electron transfer flavoproteins </w:t>
      </w:r>
      <w:proofErr w:type="spellStart"/>
      <w:r w:rsidRPr="00A05248">
        <w:rPr>
          <w:rFonts w:asciiTheme="majorBidi" w:hAnsiTheme="majorBidi" w:cstheme="majorBidi"/>
        </w:rPr>
        <w:t>Etfa</w:t>
      </w:r>
      <w:proofErr w:type="spellEnd"/>
      <w:r w:rsidRPr="00A05248">
        <w:rPr>
          <w:rFonts w:asciiTheme="majorBidi" w:hAnsiTheme="majorBidi" w:cstheme="majorBidi"/>
        </w:rPr>
        <w:t xml:space="preserve"> (0.624) and </w:t>
      </w:r>
      <w:proofErr w:type="spellStart"/>
      <w:r w:rsidRPr="00A05248">
        <w:rPr>
          <w:rFonts w:asciiTheme="majorBidi" w:hAnsiTheme="majorBidi" w:cstheme="majorBidi"/>
        </w:rPr>
        <w:t>Etfb</w:t>
      </w:r>
      <w:proofErr w:type="spellEnd"/>
      <w:r w:rsidRPr="00A05248">
        <w:rPr>
          <w:rFonts w:asciiTheme="majorBidi" w:hAnsiTheme="majorBidi" w:cstheme="majorBidi"/>
        </w:rPr>
        <w:t xml:space="preserve"> (0.609) </w:t>
      </w:r>
      <w:r w:rsidR="00E97D15" w:rsidRPr="00E97D15">
        <w:rPr>
          <w:rFonts w:asciiTheme="majorBidi" w:hAnsiTheme="majorBidi" w:cstheme="majorBidi"/>
        </w:rPr>
        <w:t>were connected to GULO through shared flavoprotein biochemistry</w:t>
      </w:r>
      <w:r w:rsidR="00E97D15">
        <w:rPr>
          <w:rFonts w:asciiTheme="majorBidi" w:hAnsiTheme="majorBidi" w:cstheme="majorBidi"/>
        </w:rPr>
        <w:t>. B</w:t>
      </w:r>
      <w:r w:rsidR="00E97D15" w:rsidRPr="00E97D15">
        <w:rPr>
          <w:rFonts w:asciiTheme="majorBidi" w:hAnsiTheme="majorBidi" w:cstheme="majorBidi"/>
        </w:rPr>
        <w:t>oth accept electrons from mitochondrial dehydrogenases and, like GULO, belong to the broader family of FAD-dependent oxidoreductases.</w:t>
      </w:r>
    </w:p>
    <w:p w14:paraId="144C4A5A" w14:textId="52262D2F" w:rsidR="00A05248" w:rsidRPr="00A05248" w:rsidRDefault="00A05248" w:rsidP="00A05248">
      <w:pPr>
        <w:rPr>
          <w:rFonts w:asciiTheme="majorBidi" w:hAnsiTheme="majorBidi" w:cstheme="majorBidi"/>
          <w:b/>
          <w:bCs/>
        </w:rPr>
      </w:pPr>
      <w:r w:rsidRPr="00A05248">
        <w:rPr>
          <w:rFonts w:asciiTheme="majorBidi" w:hAnsiTheme="majorBidi" w:cstheme="majorBidi"/>
          <w:b/>
          <w:bCs/>
        </w:rPr>
        <w:t>Interpretation</w:t>
      </w:r>
    </w:p>
    <w:p w14:paraId="51C5B68F" w14:textId="456F5215" w:rsidR="00A05248" w:rsidRPr="00A05248" w:rsidRDefault="00A57A22" w:rsidP="00A0524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Since</w:t>
      </w:r>
      <w:r w:rsidR="00A05248" w:rsidRPr="00A05248">
        <w:rPr>
          <w:rFonts w:asciiTheme="majorBidi" w:hAnsiTheme="majorBidi" w:cstheme="majorBidi"/>
        </w:rPr>
        <w:t xml:space="preserve"> the human GULO locus produces no functional protein, all 10 depicted interactions are effectively absent in humans. The most functionally significant disruption is the loss of the GULO-</w:t>
      </w:r>
      <w:proofErr w:type="spellStart"/>
      <w:r w:rsidR="00A05248" w:rsidRPr="00A05248">
        <w:rPr>
          <w:rFonts w:asciiTheme="majorBidi" w:hAnsiTheme="majorBidi" w:cstheme="majorBidi"/>
        </w:rPr>
        <w:t>Rgn</w:t>
      </w:r>
      <w:proofErr w:type="spellEnd"/>
      <w:r w:rsidR="00A05248" w:rsidRPr="00A05248">
        <w:rPr>
          <w:rFonts w:asciiTheme="majorBidi" w:hAnsiTheme="majorBidi" w:cstheme="majorBidi"/>
        </w:rPr>
        <w:t xml:space="preserve"> interaction, which severs the final two enzymatic steps of the ascorbic acid biosynthesis pathway simultaneously. The presence of </w:t>
      </w:r>
      <w:proofErr w:type="spellStart"/>
      <w:r w:rsidR="00A05248" w:rsidRPr="00A05248">
        <w:rPr>
          <w:rFonts w:asciiTheme="majorBidi" w:hAnsiTheme="majorBidi" w:cstheme="majorBidi"/>
        </w:rPr>
        <w:t>Uox</w:t>
      </w:r>
      <w:proofErr w:type="spellEnd"/>
      <w:r w:rsidR="00A05248" w:rsidRPr="00A05248">
        <w:rPr>
          <w:rFonts w:asciiTheme="majorBidi" w:hAnsiTheme="majorBidi" w:cstheme="majorBidi"/>
        </w:rPr>
        <w:t xml:space="preserve"> in the GULO interaction network is particularly noteworthy: in most mammals </w:t>
      </w:r>
      <w:proofErr w:type="spellStart"/>
      <w:r w:rsidR="00A05248" w:rsidRPr="00A05248">
        <w:rPr>
          <w:rFonts w:asciiTheme="majorBidi" w:hAnsiTheme="majorBidi" w:cstheme="majorBidi"/>
        </w:rPr>
        <w:t>Uox</w:t>
      </w:r>
      <w:proofErr w:type="spellEnd"/>
      <w:r w:rsidR="00A05248" w:rsidRPr="00A05248">
        <w:rPr>
          <w:rFonts w:asciiTheme="majorBidi" w:hAnsiTheme="majorBidi" w:cstheme="majorBidi"/>
        </w:rPr>
        <w:t xml:space="preserve"> degrades uric acid, keeping levels low, but in humans </w:t>
      </w:r>
      <w:proofErr w:type="spellStart"/>
      <w:r w:rsidR="00A05248" w:rsidRPr="00A05248">
        <w:rPr>
          <w:rFonts w:asciiTheme="majorBidi" w:hAnsiTheme="majorBidi" w:cstheme="majorBidi"/>
        </w:rPr>
        <w:t>Uox</w:t>
      </w:r>
      <w:proofErr w:type="spellEnd"/>
      <w:r w:rsidR="00A05248" w:rsidRPr="00A05248">
        <w:rPr>
          <w:rFonts w:asciiTheme="majorBidi" w:hAnsiTheme="majorBidi" w:cstheme="majorBidi"/>
        </w:rPr>
        <w:t xml:space="preserve"> is also non-functional</w:t>
      </w:r>
      <w:r>
        <w:rPr>
          <w:rFonts w:asciiTheme="majorBidi" w:hAnsiTheme="majorBidi" w:cstheme="majorBidi"/>
        </w:rPr>
        <w:t xml:space="preserve">, so </w:t>
      </w:r>
      <w:r w:rsidR="00A05248" w:rsidRPr="00A05248">
        <w:rPr>
          <w:rFonts w:asciiTheme="majorBidi" w:hAnsiTheme="majorBidi" w:cstheme="majorBidi"/>
        </w:rPr>
        <w:t xml:space="preserve">humans independently lost both GULO and </w:t>
      </w:r>
      <w:proofErr w:type="spellStart"/>
      <w:r w:rsidR="00A05248" w:rsidRPr="00A05248">
        <w:rPr>
          <w:rFonts w:asciiTheme="majorBidi" w:hAnsiTheme="majorBidi" w:cstheme="majorBidi"/>
        </w:rPr>
        <w:t>Uox</w:t>
      </w:r>
      <w:proofErr w:type="spellEnd"/>
      <w:r w:rsidR="00A05248" w:rsidRPr="00A05248">
        <w:rPr>
          <w:rFonts w:asciiTheme="majorBidi" w:hAnsiTheme="majorBidi" w:cstheme="majorBidi"/>
        </w:rPr>
        <w:t>. The resulting elevation of uric acid in humans is now understood as a compensatory adaptation, with uric acid serving as a major circulating antioxidant substituting for the lost vitamin C. The network therefore not only illustrates what was lost, but points toward the compensatory reorganization that followed</w:t>
      </w:r>
      <w:r>
        <w:rPr>
          <w:rFonts w:asciiTheme="majorBidi" w:hAnsiTheme="majorBidi" w:cstheme="majorBidi"/>
        </w:rPr>
        <w:t>.</w:t>
      </w:r>
    </w:p>
    <w:p w14:paraId="28F95ED2" w14:textId="77777777" w:rsidR="00A05248" w:rsidRPr="00A05248" w:rsidRDefault="00A05248" w:rsidP="00A05248">
      <w:pPr>
        <w:rPr>
          <w:rFonts w:asciiTheme="majorBidi" w:hAnsiTheme="majorBidi" w:cstheme="majorBidi"/>
          <w:b/>
          <w:bCs/>
        </w:rPr>
      </w:pPr>
      <w:r w:rsidRPr="00A05248">
        <w:rPr>
          <w:rFonts w:asciiTheme="majorBidi" w:hAnsiTheme="majorBidi" w:cstheme="majorBidi"/>
          <w:b/>
          <w:bCs/>
        </w:rPr>
        <w:t>Limitation Note</w:t>
      </w:r>
    </w:p>
    <w:p w14:paraId="75ED22A4" w14:textId="77777777" w:rsidR="00A05248" w:rsidRPr="00A05248" w:rsidRDefault="00A05248" w:rsidP="00A05248">
      <w:pPr>
        <w:rPr>
          <w:rFonts w:asciiTheme="majorBidi" w:hAnsiTheme="majorBidi" w:cstheme="majorBidi"/>
        </w:rPr>
      </w:pPr>
      <w:r w:rsidRPr="00A05248">
        <w:rPr>
          <w:rFonts w:asciiTheme="majorBidi" w:hAnsiTheme="majorBidi" w:cstheme="majorBidi"/>
        </w:rPr>
        <w:t xml:space="preserve">Network visualization in </w:t>
      </w:r>
      <w:proofErr w:type="spellStart"/>
      <w:r w:rsidRPr="00A05248">
        <w:rPr>
          <w:rFonts w:asciiTheme="majorBidi" w:hAnsiTheme="majorBidi" w:cstheme="majorBidi"/>
        </w:rPr>
        <w:t>Cytoscape</w:t>
      </w:r>
      <w:proofErr w:type="spellEnd"/>
      <w:r w:rsidRPr="00A05248">
        <w:rPr>
          <w:rFonts w:asciiTheme="majorBidi" w:hAnsiTheme="majorBidi" w:cstheme="majorBidi"/>
        </w:rPr>
        <w:t xml:space="preserve"> could not be completed due to software compatibility issues. The STRING network image serves as the primary figure for Step 7. Future analysis would benefit from </w:t>
      </w:r>
      <w:proofErr w:type="spellStart"/>
      <w:r w:rsidRPr="00A05248">
        <w:rPr>
          <w:rFonts w:asciiTheme="majorBidi" w:hAnsiTheme="majorBidi" w:cstheme="majorBidi"/>
        </w:rPr>
        <w:t>Cytoscape</w:t>
      </w:r>
      <w:proofErr w:type="spellEnd"/>
      <w:r w:rsidRPr="00A05248">
        <w:rPr>
          <w:rFonts w:asciiTheme="majorBidi" w:hAnsiTheme="majorBidi" w:cstheme="majorBidi"/>
        </w:rPr>
        <w:t>-based visualization with the GULO node explicitly annotated as non-functional and interaction edges weighted by confidence score.</w:t>
      </w:r>
    </w:p>
    <w:p w14:paraId="77235722" w14:textId="77777777" w:rsidR="00F17446" w:rsidRPr="00A05248" w:rsidRDefault="00F17446">
      <w:pPr>
        <w:rPr>
          <w:rFonts w:asciiTheme="majorBidi" w:hAnsiTheme="majorBidi" w:cstheme="majorBidi"/>
        </w:rPr>
      </w:pPr>
    </w:p>
    <w:sectPr w:rsidR="00F17446" w:rsidRPr="00A05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0E"/>
    <w:rsid w:val="00006539"/>
    <w:rsid w:val="000B0FAC"/>
    <w:rsid w:val="00187193"/>
    <w:rsid w:val="00244BB0"/>
    <w:rsid w:val="0061603A"/>
    <w:rsid w:val="006F05D5"/>
    <w:rsid w:val="007F3C1F"/>
    <w:rsid w:val="00852743"/>
    <w:rsid w:val="00A05248"/>
    <w:rsid w:val="00A57A22"/>
    <w:rsid w:val="00D22A0E"/>
    <w:rsid w:val="00E97D15"/>
    <w:rsid w:val="00F1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34D8D"/>
  <w15:chartTrackingRefBased/>
  <w15:docId w15:val="{154BAD20-11CB-457F-93CC-FA6A4C8A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52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2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52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ring-db.org/cgi/network?taskId=bG93Vv1jpvZE&amp;sessionId=bz7Re3mlnxtX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Sakr (Student)</dc:creator>
  <cp:keywords/>
  <dc:description/>
  <cp:lastModifiedBy>Nour Sakr (Student)</cp:lastModifiedBy>
  <cp:revision>3</cp:revision>
  <dcterms:created xsi:type="dcterms:W3CDTF">2026-04-18T19:17:00Z</dcterms:created>
  <dcterms:modified xsi:type="dcterms:W3CDTF">2026-04-18T19:46:00Z</dcterms:modified>
</cp:coreProperties>
</file>