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had_HSA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age_at_final_date_GB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&gt;7-&lt;9y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&gt;5-&lt;7y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&gt;5-&lt;8y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1108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12.47-&lt;20.83kg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&gt;=20.83-&lt;23.23kg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&gt;=23.23-26.98kg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&gt;=26.98-37.01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avg_weight_5y_prior_endpoint_kg_biological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1209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49.80-&lt;56.30cm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&gt;=56.30-&lt;58.29cm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&gt;=58.29-&lt;60.32cm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≥50 - &lt;61.33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≥61.33 - 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≥68.9 -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between_30_60_min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between_60_90_min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between_90_120_min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less_than_30min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1357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1973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mast_cell_tumor_present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2025-05-15T14:45:58Z</dcterms:modified>
  <cp:category/>
</cp:coreProperties>
</file>