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124" w:rsidRDefault="00443C0B" w:rsidP="00443C0B">
      <w:r>
        <w:rPr>
          <w:noProof/>
        </w:rPr>
        <w:drawing>
          <wp:inline distT="0" distB="0" distL="0" distR="0" wp14:anchorId="45639642" wp14:editId="5ED7CEA1">
            <wp:extent cx="5943600" cy="1151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1D" w:rsidRDefault="00734B1D" w:rsidP="00443C0B">
      <w:r>
        <w:t>Credits are the source and Debits are the destination.</w:t>
      </w:r>
    </w:p>
    <w:p w:rsidR="003C4586" w:rsidRDefault="003C4586" w:rsidP="003C4586">
      <w:r>
        <w:t>Assets = Liabilities + Equity    Note: Equity can be stock holders or owner’s equity.</w:t>
      </w:r>
    </w:p>
    <w:p w:rsidR="003C4586" w:rsidRDefault="003C4586" w:rsidP="003C4586">
      <w:r>
        <w:t>Every account lives inside the Accounting Equation.</w:t>
      </w:r>
    </w:p>
    <w:p w:rsidR="00443C0B" w:rsidRDefault="001E72AE" w:rsidP="00443C0B">
      <w:r>
        <w:t>Double entry accounting keeps the Accounting Equation balanced.</w:t>
      </w:r>
    </w:p>
    <w:p w:rsidR="009F6DE4" w:rsidRDefault="009F6DE4" w:rsidP="00443C0B"/>
    <w:p w:rsidR="009F6DE4" w:rsidRDefault="009F6DE4" w:rsidP="00443C0B">
      <w:r>
        <w:rPr>
          <w:noProof/>
        </w:rPr>
        <w:drawing>
          <wp:inline distT="0" distB="0" distL="0" distR="0" wp14:anchorId="1060C1E0" wp14:editId="3AFD7282">
            <wp:extent cx="5943600" cy="2767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586" w:rsidRDefault="003C4586" w:rsidP="00443C0B"/>
    <w:p w:rsidR="00593409" w:rsidRDefault="006A030F" w:rsidP="00443C0B">
      <w:r>
        <w:t>Debits and Credits increase or decrease an account balance. Whether we credit or debit an account depends on the type of account we are affecting.</w:t>
      </w:r>
      <w:r w:rsidR="00531014">
        <w:t xml:space="preserve"> Which of the 6 Account Categories is the affected account in? OR Which side of the Account Equation is the account on? </w:t>
      </w:r>
    </w:p>
    <w:p w:rsidR="00693D16" w:rsidRDefault="00693D16" w:rsidP="00443C0B"/>
    <w:p w:rsidR="00693D16" w:rsidRDefault="00564A96" w:rsidP="00443C0B">
      <w:hyperlink r:id="rId6" w:anchor="Journal%20entries" w:history="1">
        <w:r w:rsidR="00693D16">
          <w:rPr>
            <w:rStyle w:val="Hyperlink"/>
            <w:rFonts w:ascii="Arial" w:hAnsi="Arial" w:cs="Arial"/>
            <w:i/>
            <w:iCs/>
            <w:color w:val="337AB7"/>
            <w:sz w:val="26"/>
            <w:szCs w:val="26"/>
            <w:u w:val="none"/>
          </w:rPr>
          <w:t>Journal entries</w:t>
        </w:r>
      </w:hyperlink>
      <w:r w:rsidR="00693D16">
        <w:rPr>
          <w:rFonts w:ascii="Arial" w:hAnsi="Arial" w:cs="Arial"/>
          <w:i/>
          <w:iCs/>
          <w:color w:val="333333"/>
          <w:sz w:val="26"/>
          <w:szCs w:val="26"/>
          <w:shd w:val="clear" w:color="auto" w:fill="FFFFFF"/>
        </w:rPr>
        <w:t> recorded on the left-hand side of an </w:t>
      </w:r>
      <w:hyperlink r:id="rId7" w:anchor="Account" w:history="1">
        <w:r w:rsidR="00693D16">
          <w:rPr>
            <w:rStyle w:val="Hyperlink"/>
            <w:rFonts w:ascii="Arial" w:hAnsi="Arial" w:cs="Arial"/>
            <w:i/>
            <w:iCs/>
            <w:color w:val="337AB7"/>
            <w:sz w:val="26"/>
            <w:szCs w:val="26"/>
            <w:u w:val="none"/>
          </w:rPr>
          <w:t>account</w:t>
        </w:r>
      </w:hyperlink>
      <w:r w:rsidR="00693D16">
        <w:rPr>
          <w:rFonts w:ascii="Arial" w:hAnsi="Arial" w:cs="Arial"/>
          <w:i/>
          <w:iCs/>
          <w:color w:val="333333"/>
          <w:sz w:val="26"/>
          <w:szCs w:val="26"/>
          <w:shd w:val="clear" w:color="auto" w:fill="FFFFFF"/>
        </w:rPr>
        <w:t> using a T-account format. The rules of </w:t>
      </w:r>
      <w:hyperlink r:id="rId8" w:anchor="Double-entry%20accounting" w:history="1">
        <w:r w:rsidR="00693D16">
          <w:rPr>
            <w:rStyle w:val="Hyperlink"/>
            <w:rFonts w:ascii="Arial" w:hAnsi="Arial" w:cs="Arial"/>
            <w:i/>
            <w:iCs/>
            <w:color w:val="337AB7"/>
            <w:sz w:val="26"/>
            <w:szCs w:val="26"/>
            <w:u w:val="none"/>
          </w:rPr>
          <w:t>double-entry accounting</w:t>
        </w:r>
      </w:hyperlink>
      <w:r w:rsidR="00693D16">
        <w:rPr>
          <w:rFonts w:ascii="Arial" w:hAnsi="Arial" w:cs="Arial"/>
          <w:i/>
          <w:iCs/>
          <w:color w:val="333333"/>
          <w:sz w:val="26"/>
          <w:szCs w:val="26"/>
          <w:shd w:val="clear" w:color="auto" w:fill="FFFFFF"/>
        </w:rPr>
        <w:t> require that debit entries be used to record increases in </w:t>
      </w:r>
      <w:hyperlink r:id="rId9" w:anchor="Assets" w:history="1">
        <w:r w:rsidR="00693D16">
          <w:rPr>
            <w:rStyle w:val="Hyperlink"/>
            <w:rFonts w:ascii="Arial" w:hAnsi="Arial" w:cs="Arial"/>
            <w:i/>
            <w:iCs/>
            <w:color w:val="337AB7"/>
            <w:sz w:val="26"/>
            <w:szCs w:val="26"/>
            <w:u w:val="none"/>
          </w:rPr>
          <w:t>asset</w:t>
        </w:r>
      </w:hyperlink>
      <w:r w:rsidR="00693D16">
        <w:rPr>
          <w:rFonts w:ascii="Arial" w:hAnsi="Arial" w:cs="Arial"/>
          <w:i/>
          <w:iCs/>
          <w:color w:val="333333"/>
          <w:sz w:val="26"/>
          <w:szCs w:val="26"/>
          <w:shd w:val="clear" w:color="auto" w:fill="FFFFFF"/>
        </w:rPr>
        <w:t>, </w:t>
      </w:r>
      <w:hyperlink r:id="rId10" w:anchor="Expenses" w:history="1">
        <w:r w:rsidR="00693D16">
          <w:rPr>
            <w:rStyle w:val="Hyperlink"/>
            <w:rFonts w:ascii="Arial" w:hAnsi="Arial" w:cs="Arial"/>
            <w:i/>
            <w:iCs/>
            <w:color w:val="337AB7"/>
            <w:sz w:val="26"/>
            <w:szCs w:val="26"/>
            <w:u w:val="none"/>
          </w:rPr>
          <w:t>expense</w:t>
        </w:r>
      </w:hyperlink>
      <w:r w:rsidR="00693D16">
        <w:rPr>
          <w:rFonts w:ascii="Arial" w:hAnsi="Arial" w:cs="Arial"/>
          <w:i/>
          <w:iCs/>
          <w:color w:val="333333"/>
          <w:sz w:val="26"/>
          <w:szCs w:val="26"/>
          <w:shd w:val="clear" w:color="auto" w:fill="FFFFFF"/>
        </w:rPr>
        <w:t> and </w:t>
      </w:r>
      <w:hyperlink r:id="rId11" w:anchor="Dividends" w:history="1">
        <w:r w:rsidR="00693D16">
          <w:rPr>
            <w:rStyle w:val="Hyperlink"/>
            <w:rFonts w:ascii="Arial" w:hAnsi="Arial" w:cs="Arial"/>
            <w:i/>
            <w:iCs/>
            <w:color w:val="337AB7"/>
            <w:sz w:val="26"/>
            <w:szCs w:val="26"/>
            <w:u w:val="none"/>
          </w:rPr>
          <w:t>dividend</w:t>
        </w:r>
      </w:hyperlink>
      <w:r w:rsidR="00693D16">
        <w:rPr>
          <w:rFonts w:ascii="Arial" w:hAnsi="Arial" w:cs="Arial"/>
          <w:i/>
          <w:iCs/>
          <w:color w:val="333333"/>
          <w:sz w:val="26"/>
          <w:szCs w:val="26"/>
          <w:shd w:val="clear" w:color="auto" w:fill="FFFFFF"/>
        </w:rPr>
        <w:t> accounts, and decreases in </w:t>
      </w:r>
      <w:hyperlink r:id="rId12" w:anchor="Liabilities" w:history="1">
        <w:r w:rsidR="00693D16">
          <w:rPr>
            <w:rStyle w:val="Hyperlink"/>
            <w:rFonts w:ascii="Arial" w:hAnsi="Arial" w:cs="Arial"/>
            <w:i/>
            <w:iCs/>
            <w:color w:val="337AB7"/>
            <w:sz w:val="26"/>
            <w:szCs w:val="26"/>
            <w:u w:val="none"/>
          </w:rPr>
          <w:t>liability</w:t>
        </w:r>
      </w:hyperlink>
      <w:r w:rsidR="00693D16">
        <w:rPr>
          <w:rFonts w:ascii="Arial" w:hAnsi="Arial" w:cs="Arial"/>
          <w:i/>
          <w:iCs/>
          <w:color w:val="333333"/>
          <w:sz w:val="26"/>
          <w:szCs w:val="26"/>
          <w:shd w:val="clear" w:color="auto" w:fill="FFFFFF"/>
        </w:rPr>
        <w:t>, </w:t>
      </w:r>
      <w:hyperlink r:id="rId13" w:anchor="Capital%20contributions" w:history="1">
        <w:r w:rsidR="00693D16">
          <w:rPr>
            <w:rStyle w:val="Hyperlink"/>
            <w:rFonts w:ascii="Arial" w:hAnsi="Arial" w:cs="Arial"/>
            <w:i/>
            <w:iCs/>
            <w:color w:val="337AB7"/>
            <w:sz w:val="26"/>
            <w:szCs w:val="26"/>
            <w:u w:val="none"/>
          </w:rPr>
          <w:t>capital contribution</w:t>
        </w:r>
      </w:hyperlink>
      <w:r w:rsidR="00693D16">
        <w:rPr>
          <w:rFonts w:ascii="Arial" w:hAnsi="Arial" w:cs="Arial"/>
          <w:i/>
          <w:iCs/>
          <w:color w:val="333333"/>
          <w:sz w:val="26"/>
          <w:szCs w:val="26"/>
          <w:shd w:val="clear" w:color="auto" w:fill="FFFFFF"/>
        </w:rPr>
        <w:t>, </w:t>
      </w:r>
      <w:hyperlink r:id="rId14" w:anchor="Retained%20earnings/deficits" w:history="1">
        <w:r w:rsidR="00693D16">
          <w:rPr>
            <w:rStyle w:val="Hyperlink"/>
            <w:rFonts w:ascii="Arial" w:hAnsi="Arial" w:cs="Arial"/>
            <w:i/>
            <w:iCs/>
            <w:color w:val="337AB7"/>
            <w:sz w:val="26"/>
            <w:szCs w:val="26"/>
            <w:u w:val="none"/>
          </w:rPr>
          <w:t>retained earnings</w:t>
        </w:r>
      </w:hyperlink>
      <w:r w:rsidR="00693D16">
        <w:rPr>
          <w:rFonts w:ascii="Arial" w:hAnsi="Arial" w:cs="Arial"/>
          <w:i/>
          <w:iCs/>
          <w:color w:val="333333"/>
          <w:sz w:val="26"/>
          <w:szCs w:val="26"/>
          <w:shd w:val="clear" w:color="auto" w:fill="FFFFFF"/>
        </w:rPr>
        <w:t> and </w:t>
      </w:r>
      <w:hyperlink r:id="rId15" w:anchor="Revenues" w:history="1">
        <w:r w:rsidR="00693D16">
          <w:rPr>
            <w:rStyle w:val="Hyperlink"/>
            <w:rFonts w:ascii="Arial" w:hAnsi="Arial" w:cs="Arial"/>
            <w:i/>
            <w:iCs/>
            <w:color w:val="337AB7"/>
            <w:sz w:val="26"/>
            <w:szCs w:val="26"/>
            <w:u w:val="none"/>
          </w:rPr>
          <w:t>revenue</w:t>
        </w:r>
      </w:hyperlink>
      <w:r w:rsidR="00693D16">
        <w:rPr>
          <w:rFonts w:ascii="Arial" w:hAnsi="Arial" w:cs="Arial"/>
          <w:i/>
          <w:iCs/>
          <w:color w:val="333333"/>
          <w:sz w:val="26"/>
          <w:szCs w:val="26"/>
          <w:shd w:val="clear" w:color="auto" w:fill="FFFFFF"/>
        </w:rPr>
        <w:t xml:space="preserve"> accounts. As a result, "debiting" an account may refer to an increase or decrease depending on the kind of account that is "debited." Most introductory accounting students </w:t>
      </w:r>
      <w:r w:rsidR="00693D16">
        <w:rPr>
          <w:rFonts w:ascii="Arial" w:hAnsi="Arial" w:cs="Arial"/>
          <w:i/>
          <w:iCs/>
          <w:color w:val="333333"/>
          <w:sz w:val="26"/>
          <w:szCs w:val="26"/>
          <w:shd w:val="clear" w:color="auto" w:fill="FFFFFF"/>
        </w:rPr>
        <w:lastRenderedPageBreak/>
        <w:t>inaccurately assume that debit always refers to some decrease. This is clearly not the case in double-entry accounting.</w:t>
      </w:r>
    </w:p>
    <w:p w:rsidR="00531014" w:rsidRDefault="00531014" w:rsidP="00443C0B"/>
    <w:p w:rsidR="00531014" w:rsidRDefault="00531014" w:rsidP="00443C0B"/>
    <w:p w:rsidR="00531014" w:rsidRDefault="00531014" w:rsidP="00443C0B"/>
    <w:p w:rsidR="00593409" w:rsidRDefault="00593409" w:rsidP="00443C0B">
      <w:r>
        <w:rPr>
          <w:noProof/>
        </w:rPr>
        <w:drawing>
          <wp:inline distT="0" distB="0" distL="0" distR="0" wp14:anchorId="4939F9A8" wp14:editId="2EA13B43">
            <wp:extent cx="5943600" cy="1678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761" w:rsidRDefault="00CD3761" w:rsidP="00443C0B"/>
    <w:p w:rsidR="00CD3761" w:rsidRDefault="00CD3761" w:rsidP="00443C0B">
      <w:r>
        <w:rPr>
          <w:noProof/>
        </w:rPr>
        <w:drawing>
          <wp:inline distT="0" distB="0" distL="0" distR="0" wp14:anchorId="6A212EBC" wp14:editId="28B2ACDB">
            <wp:extent cx="5943600" cy="2377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303" w:rsidRDefault="009D7303" w:rsidP="00443C0B"/>
    <w:p w:rsidR="009D7303" w:rsidRDefault="009D7303" w:rsidP="00443C0B">
      <w:r>
        <w:rPr>
          <w:noProof/>
        </w:rPr>
        <w:lastRenderedPageBreak/>
        <w:drawing>
          <wp:inline distT="0" distB="0" distL="0" distR="0" wp14:anchorId="6956C900" wp14:editId="4C59C7EA">
            <wp:extent cx="5266690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D3761" w:rsidRDefault="00CD3761" w:rsidP="00443C0B"/>
    <w:p w:rsidR="00CD3761" w:rsidRDefault="00CD3761" w:rsidP="00443C0B"/>
    <w:p w:rsidR="003C4586" w:rsidRDefault="00CD3761" w:rsidP="00443C0B">
      <w:r>
        <w:rPr>
          <w:noProof/>
        </w:rPr>
        <w:drawing>
          <wp:inline distT="0" distB="0" distL="0" distR="0" wp14:anchorId="358C2588" wp14:editId="4C31D464">
            <wp:extent cx="5943600" cy="2522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C0B" w:rsidRPr="00443C0B" w:rsidRDefault="00443C0B" w:rsidP="00443C0B"/>
    <w:sectPr w:rsidR="00443C0B" w:rsidRPr="00443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C0B"/>
    <w:rsid w:val="000D6EA4"/>
    <w:rsid w:val="001E72AE"/>
    <w:rsid w:val="003C4586"/>
    <w:rsid w:val="00443C0B"/>
    <w:rsid w:val="004C5F7C"/>
    <w:rsid w:val="00531014"/>
    <w:rsid w:val="00564A96"/>
    <w:rsid w:val="00593409"/>
    <w:rsid w:val="00693D16"/>
    <w:rsid w:val="006A030F"/>
    <w:rsid w:val="00734B1D"/>
    <w:rsid w:val="00891124"/>
    <w:rsid w:val="009D7303"/>
    <w:rsid w:val="009F6DE4"/>
    <w:rsid w:val="00A14402"/>
    <w:rsid w:val="00AF4A7B"/>
    <w:rsid w:val="00CD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2F1701-AAD0-4E6A-B0C1-E684B0F7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93D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accountingforfree.com/glossary.html" TargetMode="External"/><Relationship Id="rId13" Type="http://schemas.openxmlformats.org/officeDocument/2006/relationships/hyperlink" Target="https://learnaccountingforfree.com/glossary.html" TargetMode="External"/><Relationship Id="rId18" Type="http://schemas.openxmlformats.org/officeDocument/2006/relationships/image" Target="media/image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learnaccountingforfree.com/glossary.html" TargetMode="External"/><Relationship Id="rId12" Type="http://schemas.openxmlformats.org/officeDocument/2006/relationships/hyperlink" Target="https://learnaccountingforfree.com/glossary.html" TargetMode="External"/><Relationship Id="rId1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earnaccountingforfree.com/glossary.html" TargetMode="External"/><Relationship Id="rId11" Type="http://schemas.openxmlformats.org/officeDocument/2006/relationships/hyperlink" Target="https://learnaccountingforfree.com/glossary.html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learnaccountingforfree.com/glossary.html" TargetMode="External"/><Relationship Id="rId10" Type="http://schemas.openxmlformats.org/officeDocument/2006/relationships/hyperlink" Target="https://learnaccountingforfree.com/glossary.html" TargetMode="External"/><Relationship Id="rId19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learnaccountingforfree.com/glossary.html" TargetMode="External"/><Relationship Id="rId14" Type="http://schemas.openxmlformats.org/officeDocument/2006/relationships/hyperlink" Target="https://learnaccountingforfree.com/glossa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4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2026-04-07T19:21:00Z</dcterms:created>
  <dcterms:modified xsi:type="dcterms:W3CDTF">2026-04-09T17:53:00Z</dcterms:modified>
</cp:coreProperties>
</file>