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PHIẾU NHẬN XÉT HỒ SƠ KHAI THUẾ</w:t>
      </w:r>
    </w:p>
    <w:p>
      <w:r>
        <w:t xml:space="preserve">Tên Công ty: CÔNG TY TNHH QUẢNG CÁO VÀ TỔ CHỨC SỰ KIỆN THỜI NAY</w:t>
      </w:r>
    </w:p>
    <w:p>
      <w:r>
        <w:t xml:space="preserve">Mã số thuế: 4300308931</w:t>
      </w:r>
    </w:p>
    <w:p>
      <w:r>
        <w:br/>
        <w:t>1. Bảng đối chiếu Doanh thu Hóa đơn và Tờ khai: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Hóa đơn đầu 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Tờ khai GTGT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Chênh lệch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Quý 1/2025</w:t>
            </w:r>
          </w:p>
        </w:tc>
        <w:tc>
          <w:tcPr>
            <w:tcW w:type="dxa" w:w="1728"/>
          </w:tcPr>
          <w:p>
            <w:r>
              <w:t>273.926.729</w:t>
            </w:r>
          </w:p>
        </w:tc>
        <w:tc>
          <w:tcPr>
            <w:tcW w:type="dxa" w:w="1728"/>
          </w:tcPr>
          <w:p>
            <w:r>
              <w:t>353.293.172</w:t>
            </w:r>
          </w:p>
        </w:tc>
        <w:tc>
          <w:tcPr>
            <w:tcW w:type="dxa" w:w="1728"/>
          </w:tcPr>
          <w:p>
            <w:r>
              <w:t>79.366.443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Quý 2/2025</w:t>
            </w:r>
          </w:p>
        </w:tc>
        <w:tc>
          <w:tcPr>
            <w:tcW w:type="dxa" w:w="1728"/>
          </w:tcPr>
          <w:p>
            <w:r>
              <w:t>239.885.710</w:t>
            </w:r>
          </w:p>
        </w:tc>
        <w:tc>
          <w:tcPr>
            <w:tcW w:type="dxa" w:w="1728"/>
          </w:tcPr>
          <w:p>
            <w:r>
              <w:t>239.973.710</w:t>
            </w:r>
          </w:p>
        </w:tc>
        <w:tc>
          <w:tcPr>
            <w:tcW w:type="dxa" w:w="1728"/>
          </w:tcPr>
          <w:p>
            <w:r>
              <w:t>88.000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Quý 3/2025</w:t>
            </w:r>
          </w:p>
        </w:tc>
        <w:tc>
          <w:tcPr>
            <w:tcW w:type="dxa" w:w="1728"/>
          </w:tcPr>
          <w:p>
            <w:r>
              <w:t>150.000.000</w:t>
            </w:r>
          </w:p>
        </w:tc>
        <w:tc>
          <w:tcPr>
            <w:tcW w:type="dxa" w:w="1728"/>
          </w:tcPr>
          <w:p>
            <w:r>
              <w:t>150.000.000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br/>
        <w:t>2. Nhận xét Rủi ro Báo cáo Tài chính:</w:t>
      </w:r>
    </w:p>
    <w:p>
      <w:r>
        <w:t xml:space="preserve">+ Tài khoản 111- Tiền mặt có số dư Nợ cuối kỳ 13.591.322.024 đồng, nhưng phát sinh chi phí lãi vay.</w:t>
        <w:br/>
        <w:t xml:space="preserve">+ Tài khoản 131- Phải thu khách hàng lệch 1.350.000 đồng so với tổng TK 511 và TK 3331.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