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PHIẾU NHẬN XÉT HỒ SƠ KHAI THUẾ</w:t>
      </w:r>
    </w:p>
    <w:p>
      <w:r>
        <w:t>Tên Công ty: {{ ten_cong_ty }}</w:t>
      </w:r>
    </w:p>
    <w:p>
      <w:r>
        <w:t>Mã số thuế: {{ mst_cong_ty }}</w:t>
      </w:r>
    </w:p>
    <w:p>
      <w:r>
        <w:br/>
        <w:t>1. Bảng đối chiếu Doanh thu Hóa đơn và Tờ khai: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Hóa đơn đầu 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Tờ khai GTGT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Chênh lệch</w:t>
            </w:r>
          </w:p>
        </w:tc>
      </w:tr>
    </w:tbl>
    <w:p>
      <w:r>
        <w:br/>
        <w:t>2. Nhận xét Rủi ro Báo cáo Tài chính:</w:t>
      </w:r>
    </w:p>
    <w:p>
      <w:r>
        <w:t>{{ nhan_xet_bctc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