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空間情報ナレッジ_反論対応集</w:t>
      </w:r>
    </w:p>
    <w:p>
      <w:r>
        <w:rPr>
          <w:b w:val="0"/>
          <w:sz w:val="20"/>
        </w:rPr>
        <w:t>Copilot Studio ナレッジソース</w:t>
      </w:r>
    </w:p>
    <w:p>
      <w:pPr>
        <w:pStyle w:val="Heading1"/>
      </w:pPr>
      <w:r>
        <w:t>反論: 既存GISと連携できるか不安</w:t>
      </w:r>
    </w:p>
    <w:p>
      <w:r>
        <w:t>回答方針: まず既存GIS、台帳、図面、点検記録の形式を確認します。実証段階では、連携範囲を限定し、データ変換や重ね合わせで価値を確認します。本格連携は実証後に要件化します。</w:t>
      </w:r>
    </w:p>
    <w:p>
      <w:pPr>
        <w:pStyle w:val="Heading1"/>
      </w:pPr>
      <w:r>
        <w:t>反論: 個人情報や非公開情報が心配</w:t>
      </w:r>
    </w:p>
    <w:p>
      <w:r>
        <w:t>回答方針: 実証では公開情報や匿名化したデータを優先します。個人情報や非公開情報を扱う場合は、利用目的、権限、保存場所、共有範囲を事前に整理します。</w:t>
      </w:r>
    </w:p>
    <w:p>
      <w:pPr>
        <w:pStyle w:val="Heading1"/>
      </w:pPr>
      <w:r>
        <w:t>反論: 効果が見えにくい</w:t>
      </w:r>
    </w:p>
    <w:p>
      <w:r>
        <w:t>回答方針: 実証開始前にKPIを定義します。点検計画作成時間、現地確認回数、初動把握時間、台帳更新の鮮度、資料作成時間などで効果を測定します。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Yu Gothic" w:hAnsi="Yu Gothi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