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13835" w14:textId="2651FB5F" w:rsidR="00014BBD" w:rsidRDefault="00C20F55">
      <w:pPr>
        <w:rPr>
          <w:rFonts w:ascii="Times New Roman" w:hAnsi="Times New Roman" w:cs="Times New Roman"/>
          <w:b/>
          <w:sz w:val="32"/>
          <w:szCs w:val="32"/>
        </w:rPr>
      </w:pPr>
      <w:r w:rsidRPr="00C20F55">
        <w:rPr>
          <w:rFonts w:ascii="Times New Roman" w:hAnsi="Times New Roman" w:cs="Times New Roman"/>
          <w:b/>
          <w:sz w:val="32"/>
          <w:szCs w:val="32"/>
        </w:rPr>
        <w:t>Abstract</w:t>
      </w:r>
    </w:p>
    <w:p w14:paraId="599AAE1C" w14:textId="7CC6F88B" w:rsidR="00C20F55" w:rsidRDefault="00C20F55">
      <w:pPr>
        <w:rPr>
          <w:rFonts w:ascii="Times New Roman" w:hAnsi="Times New Roman" w:cs="Times New Roman"/>
          <w:bCs/>
        </w:rPr>
      </w:pPr>
      <w:r>
        <w:rPr>
          <w:rFonts w:ascii="Times New Roman" w:hAnsi="Times New Roman" w:cs="Times New Roman"/>
          <w:bCs/>
        </w:rPr>
        <w:t>AI data centers are entering resource adequacy planning as inflexible firm load, a</w:t>
      </w:r>
      <w:r w:rsidR="00EA5CD3">
        <w:rPr>
          <w:rFonts w:ascii="Times New Roman" w:hAnsi="Times New Roman" w:cs="Times New Roman"/>
          <w:bCs/>
        </w:rPr>
        <w:t xml:space="preserve"> treatment that reflects operational convention rather than physical necessity and that is increasingly difficult to sustain at the scale of projected demand. We show that inference-dominant facilities possess meaningful demand-side flexibility through spatial compute migration that current models do not capture.</w:t>
      </w:r>
      <w:r>
        <w:rPr>
          <w:rFonts w:ascii="Times New Roman" w:hAnsi="Times New Roman" w:cs="Times New Roman"/>
          <w:bCs/>
        </w:rPr>
        <w:t xml:space="preserve"> </w:t>
      </w:r>
      <w:r w:rsidR="00EA5CD3">
        <w:rPr>
          <w:rFonts w:ascii="Times New Roman" w:hAnsi="Times New Roman" w:cs="Times New Roman"/>
          <w:bCs/>
        </w:rPr>
        <w:t xml:space="preserve">We develop a ten-parameter multiplicative cascade for spatial migration feasibility and test it against four </w:t>
      </w:r>
      <w:r>
        <w:rPr>
          <w:rFonts w:ascii="Times New Roman" w:hAnsi="Times New Roman" w:cs="Times New Roman"/>
          <w:bCs/>
        </w:rPr>
        <w:t xml:space="preserve">years of day-ahead </w:t>
      </w:r>
      <w:r w:rsidR="00EA5CD3">
        <w:rPr>
          <w:rFonts w:ascii="Times New Roman" w:hAnsi="Times New Roman" w:cs="Times New Roman"/>
          <w:bCs/>
        </w:rPr>
        <w:t xml:space="preserve">electricity </w:t>
      </w:r>
      <w:r>
        <w:rPr>
          <w:rFonts w:ascii="Times New Roman" w:hAnsi="Times New Roman" w:cs="Times New Roman"/>
          <w:bCs/>
        </w:rPr>
        <w:t xml:space="preserve">pricing data across five U.S. grid regions, </w:t>
      </w:r>
      <w:r w:rsidR="00EA5CD3">
        <w:rPr>
          <w:rFonts w:ascii="Times New Roman" w:hAnsi="Times New Roman" w:cs="Times New Roman"/>
          <w:bCs/>
        </w:rPr>
        <w:t>finding that at least one cross-region destination is unstressed during 99% or more of observed stress hours from each of four source zones tested. A condition</w:t>
      </w:r>
      <w:r>
        <w:rPr>
          <w:rFonts w:ascii="Times New Roman" w:hAnsi="Times New Roman" w:cs="Times New Roman"/>
          <w:bCs/>
        </w:rPr>
        <w:t xml:space="preserve">al Monte Carlo simulation conditioned on observed per-hour grid states </w:t>
      </w:r>
      <w:r w:rsidR="00EA5CD3">
        <w:rPr>
          <w:rFonts w:ascii="Times New Roman" w:hAnsi="Times New Roman" w:cs="Times New Roman"/>
          <w:bCs/>
        </w:rPr>
        <w:t xml:space="preserve">yields </w:t>
      </w:r>
      <w:commentRangeStart w:id="0"/>
      <w:r w:rsidR="00EA5CD3">
        <w:rPr>
          <w:rFonts w:ascii="Times New Roman" w:hAnsi="Times New Roman" w:cs="Times New Roman"/>
          <w:bCs/>
        </w:rPr>
        <w:t>commitment depths that decline from 52% for an individual 500 MW facility to 25% for a 10 GW fleet, as co-stressed operators compete for finite destination capacity. The result has distinct implications for individual operators, who can credibly commit substantial flexibility above existing demand response baselines, and for system planners, who should not assume fleet-level contributions equal single-facility estimates.</w:t>
      </w:r>
      <w:commentRangeEnd w:id="0"/>
      <w:r w:rsidR="00EA5CD3">
        <w:rPr>
          <w:rStyle w:val="CommentReference"/>
        </w:rPr>
        <w:commentReference w:id="0"/>
      </w:r>
      <w:r>
        <w:rPr>
          <w:rFonts w:ascii="Times New Roman" w:hAnsi="Times New Roman" w:cs="Times New Roman"/>
          <w:bCs/>
        </w:rPr>
        <w:t xml:space="preserve">  </w:t>
      </w:r>
    </w:p>
    <w:p w14:paraId="6BA1583B" w14:textId="3F5CD443" w:rsidR="004A3755" w:rsidRDefault="000E571A">
      <w:pPr>
        <w:rPr>
          <w:rFonts w:ascii="Times New Roman" w:hAnsi="Times New Roman" w:cs="Times New Roman"/>
          <w:bCs/>
        </w:rPr>
      </w:pPr>
      <w:r>
        <w:rPr>
          <w:rFonts w:ascii="Times New Roman" w:hAnsi="Times New Roman" w:cs="Times New Roman"/>
          <w:b/>
          <w:sz w:val="32"/>
          <w:szCs w:val="32"/>
        </w:rPr>
        <w:t xml:space="preserve">1. </w:t>
      </w:r>
      <w:r w:rsidR="004A3755">
        <w:rPr>
          <w:rFonts w:ascii="Times New Roman" w:hAnsi="Times New Roman" w:cs="Times New Roman"/>
          <w:b/>
          <w:sz w:val="32"/>
          <w:szCs w:val="32"/>
        </w:rPr>
        <w:t>Introduction</w:t>
      </w:r>
    </w:p>
    <w:p w14:paraId="3F88BE73" w14:textId="37F71744" w:rsidR="008E3CF7" w:rsidRDefault="00B362F2" w:rsidP="00B362F2">
      <w:pPr>
        <w:rPr>
          <w:rFonts w:ascii="Times New Roman" w:hAnsi="Times New Roman" w:cs="Times New Roman"/>
          <w:bCs/>
        </w:rPr>
      </w:pPr>
      <w:r w:rsidRPr="00B362F2">
        <w:rPr>
          <w:rFonts w:ascii="Times New Roman" w:hAnsi="Times New Roman" w:cs="Times New Roman"/>
          <w:bCs/>
        </w:rPr>
        <w:t>Rapid expansion of data center infrastructure is creating acute resource adequacy challenges in major U.S. electricity markets. In PJM Interconnection, data centers are projected to account for approximately 94% of 32 GW of peak demand growth through 2030 (ref. 1), contributing to a capacity position that deteriorates from a surplus of just 1,059 MW in the 2027/2028 delivery year to a projected deficit of 27 GW by 2035/2036 (ref. 2). Supply-side responses cannot keep pace: generation and storage projects face median completion timelines exceeding five years, with only 13% reaching commercial operation (ref. 3), and the underlying bottlenecks in permitting and equipment supply chains cannot be compressed by capital investment alone. Policy research has begun to argue that load flexibility should be the primary response. Norris and colleagues at Duke's Nicholas Institute demonstrated that data center loads willing to curtail during approximately 0.1% of annual hours could unlock roughly 100 GW of capacity using existing transmission infrastructure, translating to economic value exceeding $160/MW-day in constrained markets (ref. XX).</w:t>
      </w:r>
    </w:p>
    <w:p w14:paraId="19DDA0EA" w14:textId="77777777" w:rsidR="00671E85" w:rsidRDefault="004A3755">
      <w:pPr>
        <w:rPr>
          <w:rFonts w:ascii="Times New Roman" w:hAnsi="Times New Roman" w:cs="Times New Roman"/>
          <w:bCs/>
        </w:rPr>
      </w:pPr>
      <w:r>
        <w:rPr>
          <w:rFonts w:ascii="Times New Roman" w:hAnsi="Times New Roman" w:cs="Times New Roman"/>
          <w:bCs/>
        </w:rPr>
        <w:t xml:space="preserve">Resource adequacy </w:t>
      </w:r>
      <w:r w:rsidR="00EA5CD3">
        <w:rPr>
          <w:rFonts w:ascii="Times New Roman" w:hAnsi="Times New Roman" w:cs="Times New Roman"/>
          <w:bCs/>
        </w:rPr>
        <w:t xml:space="preserve">planning has responded </w:t>
      </w:r>
      <w:r w:rsidR="00671E85">
        <w:rPr>
          <w:rFonts w:ascii="Times New Roman" w:hAnsi="Times New Roman" w:cs="Times New Roman"/>
          <w:bCs/>
        </w:rPr>
        <w:t xml:space="preserve">to this growth by treating data center load as firm and inelastic at each facility, requiring corresponding procurement of generating capacity plus reserve margin for every additional megawatt and allocating those costs to retail customers through capacity charges (ref. 4). This treatment reflects how data center operators have historically operationalized their service-level commitments to customers: contracts that guarantee uninterrupted compute have been satisfied by maintaining locally firm power draw at every facility, and planning models have inherited that local firmness as if it were a property of the load itself. The aggregation of these local firmness commitments across a rapidly growing fleet is what produces the system-level capacity requirement now exceeding what the interconnection queue can deliver. The gap between contracted compute and locally firm power </w:t>
      </w:r>
      <w:r w:rsidR="00671E85">
        <w:rPr>
          <w:rFonts w:ascii="Times New Roman" w:hAnsi="Times New Roman" w:cs="Times New Roman"/>
          <w:bCs/>
        </w:rPr>
        <w:lastRenderedPageBreak/>
        <w:t>is not a physical constraint, however. It is an operational convention, and one that an emerging line of research suggests is increasingly costly to maintain.</w:t>
      </w:r>
    </w:p>
    <w:p w14:paraId="33BC0A6C" w14:textId="6AF64B1E" w:rsidR="004A3755" w:rsidRDefault="00671E85">
      <w:pPr>
        <w:rPr>
          <w:rFonts w:ascii="Times New Roman" w:hAnsi="Times New Roman" w:cs="Times New Roman"/>
          <w:bCs/>
        </w:rPr>
      </w:pPr>
      <w:r>
        <w:rPr>
          <w:rFonts w:ascii="Times New Roman" w:hAnsi="Times New Roman" w:cs="Times New Roman"/>
          <w:bCs/>
        </w:rPr>
        <w:t>Recent work has begun to challenge one technical premise of this convention. In a field demonstration on a 256-GPU cluster, Colangelo et al. showed that software-based power management</w:t>
      </w:r>
      <w:r w:rsidR="00B31367">
        <w:rPr>
          <w:rFonts w:ascii="Times New Roman" w:hAnsi="Times New Roman" w:cs="Times New Roman"/>
          <w:bCs/>
        </w:rPr>
        <w:t xml:space="preserve"> </w:t>
      </w:r>
      <w:r w:rsidR="00BC4F32">
        <w:rPr>
          <w:rFonts w:ascii="Times New Roman" w:hAnsi="Times New Roman" w:cs="Times New Roman"/>
          <w:bCs/>
        </w:rPr>
        <w:t xml:space="preserve">can reduce cluster power consumption by approximately 25% during peak demand periods through dynamic voltage-frequency scaling (DVFS) while maintaining service quality, and identified geographic workload migration as a promising spatial complement that remained unquantified (ref. 5). The geographic mechanism itself has prior foundations: Zheng, Chien, and Suh showed that shifting data center load from fossil-heavy to renewable-rich regions can mitigate curtailment and reduce emissions </w:t>
      </w:r>
      <w:r w:rsidR="00BC4F32" w:rsidRPr="00BC4F32">
        <w:rPr>
          <w:rFonts w:ascii="Times New Roman" w:hAnsi="Times New Roman" w:cs="Times New Roman"/>
          <w:bCs/>
          <w:highlight w:val="yellow"/>
        </w:rPr>
        <w:t>(ref. XX)</w:t>
      </w:r>
      <w:r w:rsidR="00BC4F32">
        <w:rPr>
          <w:rFonts w:ascii="Times New Roman" w:hAnsi="Times New Roman" w:cs="Times New Roman"/>
          <w:bCs/>
        </w:rPr>
        <w:t xml:space="preserve">, and Zhang et al. developed a market-clearing framework in which spatially flexible data center loads participate as ‘virtual links’ in electricity markets </w:t>
      </w:r>
      <w:r w:rsidR="00BC4F32" w:rsidRPr="00BC4F32">
        <w:rPr>
          <w:rFonts w:ascii="Times New Roman" w:hAnsi="Times New Roman" w:cs="Times New Roman"/>
          <w:bCs/>
          <w:highlight w:val="yellow"/>
        </w:rPr>
        <w:t>(ref. XX)</w:t>
      </w:r>
      <w:r w:rsidR="00BC4F32">
        <w:rPr>
          <w:rFonts w:ascii="Times New Roman" w:hAnsi="Times New Roman" w:cs="Times New Roman"/>
          <w:bCs/>
        </w:rPr>
        <w:t xml:space="preserve">. These contributions establish that compute is geographically movable and that market mechanisms can in principle accommodate that movement. What remains unquantified is whether spatial migration can provide committed, accreditable resource adequacy value during grid stress events, and under what conditions. </w:t>
      </w:r>
    </w:p>
    <w:p w14:paraId="754CFAB2" w14:textId="77777777" w:rsidR="00B362F2" w:rsidRPr="00B362F2" w:rsidRDefault="00BC4F32" w:rsidP="00B362F2">
      <w:pPr>
        <w:rPr>
          <w:rFonts w:ascii="Times New Roman" w:hAnsi="Times New Roman" w:cs="Times New Roman"/>
          <w:bCs/>
        </w:rPr>
      </w:pPr>
      <w:r w:rsidRPr="00BC4F32">
        <w:rPr>
          <w:rFonts w:ascii="Times New Roman" w:hAnsi="Times New Roman" w:cs="Times New Roman"/>
          <w:bCs/>
        </w:rPr>
        <w:t>Here we quantify whether spatial compute migration can provide committed, accreditable resource adequacy value during grid stress events, and identify the conditions under which it does.</w:t>
      </w:r>
      <w:r>
        <w:rPr>
          <w:rFonts w:ascii="Times New Roman" w:hAnsi="Times New Roman" w:cs="Times New Roman"/>
          <w:bCs/>
        </w:rPr>
        <w:t xml:space="preserve"> We make three contributions. First, we introduce a ten-parameter multiplicative cascade that decomposes the conditions required for cross-region workload migration into independently estimable parameters, grading each against the best available empirical evidence. Second, we present a stress decorrelation analysis using four years of day-ahead locational marginal pricing data across five U.S. grid regions, establishing that at least one unstressed migration destination is available during 99% or more of observed stress hours from all source zones tested. Third, we develop a conditional Monte Carlo simulation that relaxed the cascade’s </w:t>
      </w:r>
      <w:r w:rsidR="00B362F2" w:rsidRPr="00B362F2">
        <w:rPr>
          <w:rFonts w:ascii="Times New Roman" w:hAnsi="Times New Roman" w:cs="Times New Roman"/>
          <w:bCs/>
        </w:rPr>
        <w:t>independence assumption, revealing that commitment depth is strongly scale-dependent, with the framework's conservatism diminishing as fleet size increases and destination contention becomes binding, a finding with direct implications for both capacity planning and infrastructure investment.</w:t>
      </w:r>
    </w:p>
    <w:p w14:paraId="4C4E1C7D" w14:textId="2C704EDE" w:rsidR="00BC4F32" w:rsidRDefault="000E571A" w:rsidP="00BC4F32">
      <w:pPr>
        <w:rPr>
          <w:rFonts w:ascii="Times New Roman" w:hAnsi="Times New Roman" w:cs="Times New Roman"/>
          <w:bCs/>
          <w:sz w:val="32"/>
          <w:szCs w:val="32"/>
        </w:rPr>
      </w:pPr>
      <w:r>
        <w:rPr>
          <w:rFonts w:ascii="Times New Roman" w:hAnsi="Times New Roman" w:cs="Times New Roman"/>
          <w:b/>
          <w:sz w:val="32"/>
          <w:szCs w:val="32"/>
        </w:rPr>
        <w:t xml:space="preserve">2. </w:t>
      </w:r>
      <w:r w:rsidR="00B362F2">
        <w:rPr>
          <w:rFonts w:ascii="Times New Roman" w:hAnsi="Times New Roman" w:cs="Times New Roman"/>
          <w:b/>
          <w:sz w:val="32"/>
          <w:szCs w:val="32"/>
        </w:rPr>
        <w:t>Decomposing spatial migration feasibility</w:t>
      </w:r>
    </w:p>
    <w:p w14:paraId="1E9EB5E2" w14:textId="7E8726E6" w:rsidR="00245018" w:rsidRDefault="00271730" w:rsidP="00271730">
      <w:pPr>
        <w:rPr>
          <w:rFonts w:ascii="Times New Roman" w:hAnsi="Times New Roman" w:cs="Times New Roman"/>
          <w:bCs/>
        </w:rPr>
      </w:pPr>
      <w:r w:rsidRPr="00271730">
        <w:rPr>
          <w:rFonts w:ascii="Times New Roman" w:hAnsi="Times New Roman" w:cs="Times New Roman"/>
          <w:bCs/>
        </w:rPr>
        <w:t xml:space="preserve">We decompose spatial migration feasibility into ten multiplicative parameters spanning source-side candidacy, destination-side capacity, and execution reliability conditions. Source-side parameters capture whether workloads are geographically movable and operationally available for migration. Destination-side parameters capture whether cross-region destinations have the capacity and capability to receive migrating workloads. Execution parameters capture whether the migration can complete within grid dispatch windows. The effective spatial fraction is the product of all ten parameters, combined with DVFS applied to the non-migrating portion following Colangelo et al. (ref. 5). The framework's primary function is decomposition rather than point estimation: it identifies the conditions that must hold for spatial migration to succeed </w:t>
      </w:r>
      <w:r w:rsidRPr="00271730">
        <w:rPr>
          <w:rFonts w:ascii="Times New Roman" w:hAnsi="Times New Roman" w:cs="Times New Roman"/>
          <w:bCs/>
        </w:rPr>
        <w:lastRenderedPageBreak/>
        <w:t>and grades each against available empirical evidence (see Methods for parameter definitions and empirical grounding)</w:t>
      </w:r>
      <w:r>
        <w:rPr>
          <w:rFonts w:ascii="Times New Roman" w:hAnsi="Times New Roman" w:cs="Times New Roman"/>
          <w:bCs/>
        </w:rPr>
        <w:t>.</w:t>
      </w:r>
    </w:p>
    <w:p w14:paraId="5B4B2CE7" w14:textId="7473284A" w:rsidR="0065765A" w:rsidRDefault="000E571A" w:rsidP="00271730">
      <w:pPr>
        <w:rPr>
          <w:rFonts w:ascii="Times New Roman" w:hAnsi="Times New Roman" w:cs="Times New Roman"/>
          <w:bCs/>
        </w:rPr>
      </w:pPr>
      <w:r>
        <w:rPr>
          <w:rFonts w:ascii="Times New Roman" w:hAnsi="Times New Roman" w:cs="Times New Roman"/>
          <w:b/>
          <w:sz w:val="32"/>
          <w:szCs w:val="32"/>
        </w:rPr>
        <w:t xml:space="preserve">3. </w:t>
      </w:r>
      <w:r w:rsidR="00DE288D">
        <w:rPr>
          <w:rFonts w:ascii="Times New Roman" w:hAnsi="Times New Roman" w:cs="Times New Roman"/>
          <w:b/>
          <w:sz w:val="32"/>
          <w:szCs w:val="32"/>
        </w:rPr>
        <w:t>Cross-region stress decorrelation</w:t>
      </w:r>
    </w:p>
    <w:p w14:paraId="39C32ED4" w14:textId="1935D413" w:rsidR="00DE288D" w:rsidRDefault="00DE288D" w:rsidP="00271730">
      <w:pPr>
        <w:rPr>
          <w:rFonts w:ascii="Times New Roman" w:hAnsi="Times New Roman" w:cs="Times New Roman"/>
          <w:bCs/>
        </w:rPr>
      </w:pPr>
      <w:r>
        <w:rPr>
          <w:rFonts w:ascii="Times New Roman" w:hAnsi="Times New Roman" w:cs="Times New Roman"/>
          <w:bCs/>
        </w:rPr>
        <w:t>Spatial compute migration requires that at least one destination grid region is operating under normal conditions when the source region is stressed</w:t>
      </w:r>
      <w:r w:rsidR="003A0B79">
        <w:rPr>
          <w:rFonts w:ascii="Times New Roman" w:hAnsi="Times New Roman" w:cs="Times New Roman"/>
          <w:bCs/>
        </w:rPr>
        <w:t xml:space="preserve">. We test this condition </w:t>
      </w:r>
      <w:proofErr w:type="spellStart"/>
      <w:r w:rsidR="003A0B79">
        <w:rPr>
          <w:rFonts w:ascii="Times New Roman" w:hAnsi="Times New Roman" w:cs="Times New Roman"/>
          <w:bCs/>
        </w:rPr>
        <w:t>empicially</w:t>
      </w:r>
      <w:proofErr w:type="spellEnd"/>
      <w:r w:rsidR="003A0B79">
        <w:rPr>
          <w:rFonts w:ascii="Times New Roman" w:hAnsi="Times New Roman" w:cs="Times New Roman"/>
          <w:bCs/>
        </w:rPr>
        <w:t xml:space="preserve"> using 35,060 hours of day-ahead locational marginal pricing (DA LMP) data from January 2022 through December 2025, spanning five U.S. grid regions: PJM, ERCOT, CAISO, MISO, and NYISO. Within each region we identify destination pricing zones co-located with verified data center facilities using the </w:t>
      </w:r>
      <w:proofErr w:type="spellStart"/>
      <w:r w:rsidR="003A0B79">
        <w:rPr>
          <w:rFonts w:ascii="Times New Roman" w:hAnsi="Times New Roman" w:cs="Times New Roman"/>
          <w:bCs/>
        </w:rPr>
        <w:t>Baxtel</w:t>
      </w:r>
      <w:proofErr w:type="spellEnd"/>
      <w:r w:rsidR="003A0B79">
        <w:rPr>
          <w:rFonts w:ascii="Times New Roman" w:hAnsi="Times New Roman" w:cs="Times New Roman"/>
          <w:bCs/>
        </w:rPr>
        <w:t xml:space="preserve"> database and U.S. Department of Energy county-level data center inventory (ref. 11, 12). Stress hours are defined as hours in which the DA LMP exceeds the 99</w:t>
      </w:r>
      <w:r w:rsidR="003A0B79" w:rsidRPr="003A0B79">
        <w:rPr>
          <w:rFonts w:ascii="Times New Roman" w:hAnsi="Times New Roman" w:cs="Times New Roman"/>
          <w:bCs/>
          <w:vertAlign w:val="superscript"/>
        </w:rPr>
        <w:t>th</w:t>
      </w:r>
      <w:r w:rsidR="003A0B79">
        <w:rPr>
          <w:rFonts w:ascii="Times New Roman" w:hAnsi="Times New Roman" w:cs="Times New Roman"/>
          <w:bCs/>
        </w:rPr>
        <w:t xml:space="preserve"> percentile of the zone’s own four-year distribution</w:t>
      </w:r>
      <w:r w:rsidR="00377EDD">
        <w:rPr>
          <w:rFonts w:ascii="Times New Roman" w:hAnsi="Times New Roman" w:cs="Times New Roman"/>
          <w:bCs/>
        </w:rPr>
        <w:t>, yielding the 200 highest-priced hours per zone (see Methods for threshold sensitivity).</w:t>
      </w:r>
    </w:p>
    <w:p w14:paraId="728773F6" w14:textId="67AC8FE1" w:rsidR="00377EDD" w:rsidRDefault="00377EDD" w:rsidP="00271730">
      <w:pPr>
        <w:rPr>
          <w:rFonts w:ascii="Times New Roman" w:hAnsi="Times New Roman" w:cs="Times New Roman"/>
          <w:bCs/>
        </w:rPr>
      </w:pPr>
      <w:r>
        <w:rPr>
          <w:rFonts w:ascii="Times New Roman" w:hAnsi="Times New Roman" w:cs="Times New Roman"/>
          <w:bCs/>
        </w:rPr>
        <w:t xml:space="preserve">Using the ComEd zone in Northern Illinois as the primary source region, we compute </w:t>
      </w:r>
      <w:r w:rsidR="005B5E60">
        <w:rPr>
          <w:rFonts w:ascii="Times New Roman" w:hAnsi="Times New Roman" w:cs="Times New Roman"/>
          <w:bCs/>
        </w:rPr>
        <w:t xml:space="preserve">the fraction of source stress hours in which at least one cross-region destination zone exhibits a DA LMP below its stress threshold. Of the 200 observed ComEd stress hours, at least one cross-region destination </w:t>
      </w:r>
      <w:r w:rsidR="00B117B8">
        <w:rPr>
          <w:rFonts w:ascii="Times New Roman" w:hAnsi="Times New Roman" w:cs="Times New Roman"/>
          <w:bCs/>
        </w:rPr>
        <w:t>was available in 198, corresponding to a dynamic availability of 99.0%. The two failure hours occurred during the January 2024 Arctic Blast</w:t>
      </w:r>
      <w:r w:rsidR="00774BA4">
        <w:rPr>
          <w:rFonts w:ascii="Times New Roman" w:hAnsi="Times New Roman" w:cs="Times New Roman"/>
          <w:bCs/>
        </w:rPr>
        <w:t>. The decorrelation structure reflects the electrical topology of the North American transmission system. ERCOT operates as an electrically isolated interconnection with no synchronous ties to the Eastern grid. CAISO</w:t>
      </w:r>
      <w:r w:rsidR="00AB44AF">
        <w:rPr>
          <w:rFonts w:ascii="Times New Roman" w:hAnsi="Times New Roman" w:cs="Times New Roman"/>
          <w:bCs/>
        </w:rPr>
        <w:t xml:space="preserve"> has temporal offset and weather patterns that are largely independent from the Midwest. Capacity-weighted stress overlap between ComEd and cross-interconnection destinations ranges from 3.7% (ERCOT, summer) to 14.0% (CAISO, annual), with CAISO exhibiting zero summer overlap across the four-year study period (Fig. 3). Same-interconnection destinations </w:t>
      </w:r>
      <w:r w:rsidR="00857CE5">
        <w:rPr>
          <w:rFonts w:ascii="Times New Roman" w:hAnsi="Times New Roman" w:cs="Times New Roman"/>
          <w:bCs/>
        </w:rPr>
        <w:t>exhibit substantially higher overlap</w:t>
      </w:r>
      <w:r w:rsidR="007B267C">
        <w:rPr>
          <w:rFonts w:ascii="Times New Roman" w:hAnsi="Times New Roman" w:cs="Times New Roman"/>
          <w:bCs/>
        </w:rPr>
        <w:t>: MISO zones range from 43% to 63%</w:t>
      </w:r>
      <w:r w:rsidR="00C12FA3">
        <w:rPr>
          <w:rFonts w:ascii="Times New Roman" w:hAnsi="Times New Roman" w:cs="Times New Roman"/>
          <w:bCs/>
        </w:rPr>
        <w:t>, and NYISO zones from 29% to 41%, consistent with shared exposure to regional weather systems and partial electrical coupling.</w:t>
      </w:r>
    </w:p>
    <w:p w14:paraId="67938F06" w14:textId="2E554AB4" w:rsidR="00C12FA3" w:rsidRDefault="00844AD3" w:rsidP="00271730">
      <w:pPr>
        <w:rPr>
          <w:rFonts w:ascii="Times New Roman" w:hAnsi="Times New Roman" w:cs="Times New Roman"/>
          <w:bCs/>
        </w:rPr>
      </w:pPr>
      <w:r w:rsidRPr="00844AD3">
        <w:rPr>
          <w:rFonts w:ascii="Times New Roman" w:hAnsi="Times New Roman" w:cs="Times New Roman"/>
          <w:bCs/>
        </w:rPr>
        <w:t>We replicate the analysis from three additional source zones to test generalization beyond the ComEd perspective: PJM-DOM (Northern Virginia, approximately 9,400 MW of installed data center capacity), ERCOT-LZ-NORTH (Dallas-Fort Worth), and CAISO-NP15 (Silicon Valley). Dynamic availability is 99.5% from PJM-DOM (one failure hour, the same 2024 Arctic Blast event) and 100% from both ERCOT-LZ-NORTH and CAISO-NP15 (Extended Data Table 1).</w:t>
      </w:r>
    </w:p>
    <w:p w14:paraId="1F6661CD" w14:textId="77777777" w:rsidR="003229E9" w:rsidRPr="003229E9" w:rsidRDefault="003229E9" w:rsidP="003229E9">
      <w:pPr>
        <w:rPr>
          <w:rFonts w:ascii="Times New Roman" w:hAnsi="Times New Roman" w:cs="Times New Roman"/>
          <w:bCs/>
        </w:rPr>
      </w:pPr>
      <w:r w:rsidRPr="003229E9">
        <w:rPr>
          <w:rFonts w:ascii="Times New Roman" w:hAnsi="Times New Roman" w:cs="Times New Roman"/>
          <w:bCs/>
        </w:rPr>
        <w:t>[FIGURE: Stress overlap heatmap showing capacity-weighted overlap between ComEd and each destination region]</w:t>
      </w:r>
    </w:p>
    <w:p w14:paraId="4351DB6B" w14:textId="15912ED7" w:rsidR="003229E9" w:rsidRDefault="003229E9" w:rsidP="00271730">
      <w:pPr>
        <w:rPr>
          <w:rFonts w:ascii="Times New Roman" w:hAnsi="Times New Roman" w:cs="Times New Roman"/>
          <w:b/>
          <w:sz w:val="32"/>
          <w:szCs w:val="32"/>
        </w:rPr>
      </w:pPr>
      <w:r>
        <w:rPr>
          <w:rFonts w:ascii="Times New Roman" w:hAnsi="Times New Roman" w:cs="Times New Roman"/>
          <w:b/>
          <w:sz w:val="32"/>
          <w:szCs w:val="32"/>
        </w:rPr>
        <w:t xml:space="preserve">4. Workload </w:t>
      </w:r>
      <w:r w:rsidR="006A1A7E">
        <w:rPr>
          <w:rFonts w:ascii="Times New Roman" w:hAnsi="Times New Roman" w:cs="Times New Roman"/>
          <w:b/>
          <w:sz w:val="32"/>
          <w:szCs w:val="32"/>
        </w:rPr>
        <w:t>c</w:t>
      </w:r>
      <w:r>
        <w:rPr>
          <w:rFonts w:ascii="Times New Roman" w:hAnsi="Times New Roman" w:cs="Times New Roman"/>
          <w:b/>
          <w:sz w:val="32"/>
          <w:szCs w:val="32"/>
        </w:rPr>
        <w:t>haracterization</w:t>
      </w:r>
    </w:p>
    <w:p w14:paraId="48B2124E" w14:textId="2C60DF83" w:rsidR="003229E9" w:rsidRDefault="00394EB6" w:rsidP="00271730">
      <w:pPr>
        <w:rPr>
          <w:rFonts w:ascii="Times New Roman" w:hAnsi="Times New Roman" w:cs="Times New Roman"/>
          <w:bCs/>
        </w:rPr>
      </w:pPr>
      <w:r>
        <w:rPr>
          <w:rFonts w:ascii="Times New Roman" w:hAnsi="Times New Roman" w:cs="Times New Roman"/>
          <w:bCs/>
        </w:rPr>
        <w:t xml:space="preserve">The operational timing parameter (S3) captures whether active inference requests at a source facility can complete within the grid operator’s emergency dispatch window. We validate drain </w:t>
      </w:r>
      <w:r>
        <w:rPr>
          <w:rFonts w:ascii="Times New Roman" w:hAnsi="Times New Roman" w:cs="Times New Roman"/>
          <w:bCs/>
        </w:rPr>
        <w:lastRenderedPageBreak/>
        <w:t xml:space="preserve">time using two independent production inference datasets totaling 49.4 million requests over a combined 128 days of observation (see </w:t>
      </w:r>
      <w:proofErr w:type="spellStart"/>
      <w:r>
        <w:rPr>
          <w:rFonts w:ascii="Times New Roman" w:hAnsi="Times New Roman" w:cs="Times New Roman"/>
          <w:bCs/>
        </w:rPr>
        <w:t>Mthods</w:t>
      </w:r>
      <w:proofErr w:type="spellEnd"/>
      <w:r>
        <w:rPr>
          <w:rFonts w:ascii="Times New Roman" w:hAnsi="Times New Roman" w:cs="Times New Roman"/>
          <w:bCs/>
        </w:rPr>
        <w:t xml:space="preserve"> for dataset descriptions). P99 drain times range from 4.5 to 12.1</w:t>
      </w:r>
      <w:r w:rsidR="007D5039">
        <w:rPr>
          <w:rFonts w:ascii="Times New Roman" w:hAnsi="Times New Roman" w:cs="Times New Roman"/>
          <w:bCs/>
        </w:rPr>
        <w:t>2</w:t>
      </w:r>
      <w:r>
        <w:rPr>
          <w:rFonts w:ascii="Times New Roman" w:hAnsi="Times New Roman" w:cs="Times New Roman"/>
          <w:bCs/>
        </w:rPr>
        <w:t xml:space="preserve"> seconds across model configurations and datasets, approximately two orders of magnitude below PJM’s minimum dispatch window of 10 minutes (ref. 14), indicating that S3 = 0.90 is a conservative parameterization. The 10% excluded by S3 </w:t>
      </w:r>
      <w:proofErr w:type="spellStart"/>
      <w:r>
        <w:rPr>
          <w:rFonts w:ascii="Times New Roman" w:hAnsi="Times New Roman" w:cs="Times New Roman"/>
          <w:bCs/>
        </w:rPr>
        <w:t>accomodates</w:t>
      </w:r>
      <w:proofErr w:type="spellEnd"/>
      <w:r>
        <w:rPr>
          <w:rFonts w:ascii="Times New Roman" w:hAnsi="Times New Roman" w:cs="Times New Roman"/>
          <w:bCs/>
        </w:rPr>
        <w:t xml:space="preserve"> long-running or batched inference requests, multi-turn conversational session with persistent state, and potential future workload types with longer completion times (Fig. 4). </w:t>
      </w:r>
    </w:p>
    <w:p w14:paraId="575856B8" w14:textId="77777777" w:rsidR="006A1A7E" w:rsidRPr="006A1A7E" w:rsidRDefault="006A1A7E" w:rsidP="006A1A7E">
      <w:pPr>
        <w:rPr>
          <w:rFonts w:ascii="Times New Roman" w:hAnsi="Times New Roman" w:cs="Times New Roman"/>
          <w:bCs/>
        </w:rPr>
      </w:pPr>
      <w:r w:rsidRPr="006A1A7E">
        <w:rPr>
          <w:rFonts w:ascii="Times New Roman" w:hAnsi="Times New Roman" w:cs="Times New Roman"/>
          <w:bCs/>
        </w:rPr>
        <w:t xml:space="preserve">[FIGURE: Drain time cumulative distribution function, </w:t>
      </w:r>
      <w:proofErr w:type="spellStart"/>
      <w:r w:rsidRPr="006A1A7E">
        <w:rPr>
          <w:rFonts w:ascii="Times New Roman" w:hAnsi="Times New Roman" w:cs="Times New Roman"/>
          <w:bCs/>
        </w:rPr>
        <w:t>DynamoLLM</w:t>
      </w:r>
      <w:proofErr w:type="spellEnd"/>
      <w:r w:rsidRPr="006A1A7E">
        <w:rPr>
          <w:rFonts w:ascii="Times New Roman" w:hAnsi="Times New Roman" w:cs="Times New Roman"/>
          <w:bCs/>
        </w:rPr>
        <w:t xml:space="preserve"> vs. </w:t>
      </w:r>
      <w:proofErr w:type="spellStart"/>
      <w:r w:rsidRPr="006A1A7E">
        <w:rPr>
          <w:rFonts w:ascii="Times New Roman" w:hAnsi="Times New Roman" w:cs="Times New Roman"/>
          <w:bCs/>
        </w:rPr>
        <w:t>BurstGPT</w:t>
      </w:r>
      <w:proofErr w:type="spellEnd"/>
      <w:r w:rsidRPr="006A1A7E">
        <w:rPr>
          <w:rFonts w:ascii="Times New Roman" w:hAnsi="Times New Roman" w:cs="Times New Roman"/>
          <w:bCs/>
        </w:rPr>
        <w:t>]</w:t>
      </w:r>
    </w:p>
    <w:p w14:paraId="181282BB" w14:textId="51489C3D" w:rsidR="006A1A7E" w:rsidRPr="00214197" w:rsidRDefault="006A1A7E" w:rsidP="00271730">
      <w:pPr>
        <w:rPr>
          <w:rFonts w:ascii="Times New Roman" w:hAnsi="Times New Roman" w:cs="Times New Roman"/>
          <w:b/>
          <w:sz w:val="32"/>
          <w:szCs w:val="32"/>
        </w:rPr>
      </w:pPr>
      <w:r>
        <w:rPr>
          <w:rFonts w:ascii="Times New Roman" w:hAnsi="Times New Roman" w:cs="Times New Roman"/>
          <w:b/>
          <w:sz w:val="32"/>
          <w:szCs w:val="32"/>
        </w:rPr>
        <w:t>5. Conditional Monte Carlo validation</w:t>
      </w:r>
    </w:p>
    <w:p w14:paraId="61D8C057" w14:textId="6895C220" w:rsidR="006A1A7E" w:rsidRDefault="000E571A" w:rsidP="000E571A">
      <w:pPr>
        <w:rPr>
          <w:rFonts w:ascii="Times New Roman" w:hAnsi="Times New Roman" w:cs="Times New Roman"/>
          <w:bCs/>
        </w:rPr>
      </w:pPr>
      <w:r w:rsidRPr="000E571A">
        <w:rPr>
          <w:rFonts w:ascii="Times New Roman" w:hAnsi="Times New Roman" w:cs="Times New Roman"/>
          <w:bCs/>
        </w:rPr>
        <w:t>We develop a conditional Monte Carlo simulation that conditions on observed per-hour grid states to capture how commitment depth depends on fleet size and destination contention during specific stress events.</w:t>
      </w:r>
      <w:r w:rsidR="00962C35">
        <w:rPr>
          <w:rFonts w:ascii="Times New Roman" w:hAnsi="Times New Roman" w:cs="Times New Roman"/>
          <w:bCs/>
        </w:rPr>
        <w:t xml:space="preserve"> </w:t>
      </w:r>
    </w:p>
    <w:p w14:paraId="5D0B17BD" w14:textId="77777777" w:rsidR="00BF52C2" w:rsidRDefault="00BF52C2" w:rsidP="00BF52C2">
      <w:pPr>
        <w:rPr>
          <w:rFonts w:ascii="Times New Roman" w:hAnsi="Times New Roman" w:cs="Times New Roman"/>
          <w:bCs/>
        </w:rPr>
      </w:pPr>
      <w:r w:rsidRPr="00BF52C2">
        <w:rPr>
          <w:rFonts w:ascii="Times New Roman" w:hAnsi="Times New Roman" w:cs="Times New Roman"/>
          <w:bCs/>
        </w:rPr>
        <w:t>For a representative 500 MW inference-dominant facility, the conditional Monte Carlo yields a mean commitment depth of 52.0%, approximately 31 percentage points above the cascade estimate of 21.0% (Fig. 4a). The distribution exhibits a sharp upper concentration near 55.0% with a left tail extending to the DVFS floor of 17.5%. The 5th percentile (Value at Risk) is [CHRIS: v18 single-fac P5]%, and the conditional expected shortfall below the 5th percentile (CVaR) is 31.7%, indicating that even in the worst 5% of outcomes, commitment depth remains substantially above the DVFS-only baseline. The cascade's conservatism at single-facility scale arises from a ratio effect: the aggregate available headroom across unstressed destinations substantially exceeds the demand from a single migrating facility in the large majority of stress hours. Hardware compatibility and utilization constraints bind only when combined with low destination availability, which occurs in 2 of 200 observed stress hours. The independence assumption's error is, in this regime, favorable: the correlation between low D1 and low D2 reduces commitment depth in precisely the hours where aggregate headroom would have been sufficient regardless.</w:t>
      </w:r>
    </w:p>
    <w:p w14:paraId="01EB53B4" w14:textId="77777777" w:rsidR="00D81F26" w:rsidRPr="00D81F26" w:rsidRDefault="00D81F26" w:rsidP="00D81F26">
      <w:pPr>
        <w:rPr>
          <w:rFonts w:ascii="Times New Roman" w:hAnsi="Times New Roman" w:cs="Times New Roman"/>
          <w:bCs/>
        </w:rPr>
      </w:pPr>
      <w:r w:rsidRPr="00D81F26">
        <w:rPr>
          <w:rFonts w:ascii="Times New Roman" w:hAnsi="Times New Roman" w:cs="Times New Roman"/>
          <w:bCs/>
        </w:rPr>
        <w:t>When the analysis is extended to simultaneous migration by geographically distributed facilities, commitment depth becomes scale-dependent. We first evaluate an empirical fleet defined by the geographic distribution of PJM data center capacity across load zones, with per-hour co-stress identified from the intra-PJM coincidence matrix described in Section 3. Only zones experiencing simultaneous stress contribute migrating load in each hour. The effective migrating fleet averages approximately [CHRIS: verify v18 mean migrating MW] across stress hours, with substantial variation driven by whether the Dominion zone in Northern Virginia (9,341 MW of data center capacity) is co-stressed with ComEd, which occurs in 36% of stress hours. This empirical fleet yields a mean commitment depth of 26.5% (Fig. 4b). The fleet CVaR at the 5th percentile is 18.0%, barely above the DVFS floor of 17.5%, indicating that spatial migration contributes negligible additional flexibility in the worst tail scenarios.</w:t>
      </w:r>
    </w:p>
    <w:p w14:paraId="4D29432D" w14:textId="77777777" w:rsidR="00331948" w:rsidRPr="00331948" w:rsidRDefault="00331948" w:rsidP="00331948">
      <w:pPr>
        <w:rPr>
          <w:rFonts w:ascii="Times New Roman" w:hAnsi="Times New Roman" w:cs="Times New Roman"/>
          <w:bCs/>
        </w:rPr>
      </w:pPr>
      <w:r w:rsidRPr="00331948">
        <w:rPr>
          <w:rFonts w:ascii="Times New Roman" w:hAnsi="Times New Roman" w:cs="Times New Roman"/>
          <w:bCs/>
        </w:rPr>
        <w:lastRenderedPageBreak/>
        <w:t>We then evaluate commitment depth as a continuous function of fleet size using a parametric sweep from 0.5 to 20 GW. Commitment depth declines steadily as destination contention becomes binding: 48.7% at 1 GW, 39.0% at 3 GW, 31.5% at 5 GW, 24.6% at 10 GW, and 22.2% at 15 GW. At 10 GW, [X]% of Monte Carlo combinations are destination-constrained, and the gap between the conditional Monte Carlo (24.6%) and the cascade estimate (21.0%) narrows to just 3.6 percentage points as destination contention absorbs the additional headroom that conditioning on observed states reveals. The 5th percentile converges toward the DVFS floor of 17.5% at fleet scales above 10 GW, indicating that spatial migration's incremental contribution diminishes as aggregate demand approaches destination pool capacity.</w:t>
      </w:r>
    </w:p>
    <w:p w14:paraId="430303CB" w14:textId="77777777" w:rsidR="00331948" w:rsidRPr="00331948" w:rsidRDefault="00331948" w:rsidP="00331948">
      <w:pPr>
        <w:rPr>
          <w:rFonts w:ascii="Times New Roman" w:hAnsi="Times New Roman" w:cs="Times New Roman"/>
          <w:bCs/>
        </w:rPr>
      </w:pPr>
      <w:r w:rsidRPr="00331948">
        <w:rPr>
          <w:rFonts w:ascii="Times New Roman" w:hAnsi="Times New Roman" w:cs="Times New Roman"/>
          <w:bCs/>
        </w:rPr>
        <w:t>This scale dependence has distinct implications for different stakeholders. Individual data center operators can credibly commit flexibility well above the cascade estimate, with meaningful spatial contribution persisting even in the 5th percentile of outcomes. Grid planners and regulators should not assume fleet-level commitment depths equal single-facility estimates without accounting for destination capacity constraints. The transition from facility-scale to fleet-scale behavior occurs at approximately [X] GW, where destination contention becomes the binding constraint in the majority of stress hours.</w:t>
      </w:r>
    </w:p>
    <w:p w14:paraId="1B126AF7" w14:textId="201A891C" w:rsidR="00D81F26" w:rsidRDefault="00453346" w:rsidP="00BF52C2">
      <w:pPr>
        <w:rPr>
          <w:rFonts w:ascii="Times New Roman" w:hAnsi="Times New Roman" w:cs="Times New Roman"/>
          <w:bCs/>
          <w:sz w:val="32"/>
          <w:szCs w:val="32"/>
        </w:rPr>
      </w:pPr>
      <w:r>
        <w:rPr>
          <w:rFonts w:ascii="Times New Roman" w:hAnsi="Times New Roman" w:cs="Times New Roman"/>
          <w:b/>
          <w:sz w:val="32"/>
          <w:szCs w:val="32"/>
        </w:rPr>
        <w:t>6. System-level implications</w:t>
      </w:r>
    </w:p>
    <w:p w14:paraId="30F37BC7" w14:textId="10F6C5B4" w:rsidR="00BF52C2" w:rsidRDefault="00453346" w:rsidP="000E571A">
      <w:pPr>
        <w:rPr>
          <w:rFonts w:ascii="Times New Roman" w:hAnsi="Times New Roman" w:cs="Times New Roman"/>
          <w:bCs/>
        </w:rPr>
      </w:pPr>
      <w:r>
        <w:rPr>
          <w:rFonts w:ascii="Times New Roman" w:hAnsi="Times New Roman" w:cs="Times New Roman"/>
          <w:bCs/>
        </w:rPr>
        <w:t>The commitment depths estimated by the conditional Monte Carlo translate directly to resource adequacy contributions within existing capacity market frameworks. We evaluate system-level impli</w:t>
      </w:r>
      <w:r w:rsidR="00A8073C">
        <w:rPr>
          <w:rFonts w:ascii="Times New Roman" w:hAnsi="Times New Roman" w:cs="Times New Roman"/>
          <w:bCs/>
        </w:rPr>
        <w:t>cations at two reference scales. For an individual 1 GW inference-dominant facility, the conditional Monte Carlo yields a mean commitment depth of 48.7%, implying approximately 487 MW of curtailable load during system emergencies, or approximately 448 MW when derated toa 92% effective load carrying capability (ELCC) consistent with PJM’s treatment of demand response resources (ref. 29). For an aggregate 10 GW fleet, destination contention reduces mean commitment depth to 24.6%, implying approximately 2,460 MW curtailable and 2,26</w:t>
      </w:r>
      <w:r w:rsidR="000A4B3E">
        <w:rPr>
          <w:rFonts w:ascii="Times New Roman" w:hAnsi="Times New Roman" w:cs="Times New Roman"/>
          <w:bCs/>
        </w:rPr>
        <w:t xml:space="preserve">3 MW accredited. The per-MW economics are approximately scale-independent under the cascade model, but the absolute resource contribution </w:t>
      </w:r>
      <w:r w:rsidR="00982135">
        <w:rPr>
          <w:rFonts w:ascii="Times New Roman" w:hAnsi="Times New Roman" w:cs="Times New Roman"/>
          <w:bCs/>
        </w:rPr>
        <w:t xml:space="preserve">exhibits diminishing returns </w:t>
      </w:r>
      <w:r w:rsidR="00ED5494">
        <w:rPr>
          <w:rFonts w:ascii="Times New Roman" w:hAnsi="Times New Roman" w:cs="Times New Roman"/>
          <w:bCs/>
        </w:rPr>
        <w:t>above the contention onset</w:t>
      </w:r>
      <w:r w:rsidR="00B11586">
        <w:rPr>
          <w:rFonts w:ascii="Times New Roman" w:hAnsi="Times New Roman" w:cs="Times New Roman"/>
          <w:bCs/>
        </w:rPr>
        <w:t xml:space="preserve"> of approximately [CHRIS: v18 contention onset] GW.</w:t>
      </w:r>
    </w:p>
    <w:p w14:paraId="7318E606" w14:textId="673C2C2E" w:rsidR="007268E3" w:rsidRDefault="0039630A" w:rsidP="000E571A">
      <w:pPr>
        <w:rPr>
          <w:rFonts w:ascii="Times New Roman" w:hAnsi="Times New Roman" w:cs="Times New Roman"/>
          <w:bCs/>
        </w:rPr>
      </w:pPr>
      <w:r>
        <w:rPr>
          <w:rFonts w:ascii="Times New Roman" w:hAnsi="Times New Roman" w:cs="Times New Roman"/>
          <w:bCs/>
        </w:rPr>
        <w:t>Two properties distinguish</w:t>
      </w:r>
      <w:r w:rsidR="00FA4A59">
        <w:rPr>
          <w:rFonts w:ascii="Times New Roman" w:hAnsi="Times New Roman" w:cs="Times New Roman"/>
          <w:bCs/>
        </w:rPr>
        <w:t xml:space="preserve"> spatial migration from other grid flexibility resources. First, spatial migration can be activated at software timescales using existing multi-region compute infrastructure, though institutional mechanisms for grid commitment do not yet exist.</w:t>
      </w:r>
      <w:r w:rsidR="003504ED">
        <w:rPr>
          <w:rFonts w:ascii="Times New Roman" w:hAnsi="Times New Roman" w:cs="Times New Roman"/>
          <w:bCs/>
        </w:rPr>
        <w:t xml:space="preserve"> Second, unlike electrochemical storage, </w:t>
      </w:r>
      <w:r w:rsidR="004E632D">
        <w:rPr>
          <w:rFonts w:ascii="Times New Roman" w:hAnsi="Times New Roman" w:cs="Times New Roman"/>
          <w:bCs/>
        </w:rPr>
        <w:t>which is duration-limited, spatial shifting</w:t>
      </w:r>
      <w:r w:rsidR="003504ED">
        <w:rPr>
          <w:rFonts w:ascii="Times New Roman" w:hAnsi="Times New Roman" w:cs="Times New Roman"/>
          <w:bCs/>
        </w:rPr>
        <w:t xml:space="preserve"> sustains load reduction</w:t>
      </w:r>
      <w:r w:rsidR="006770F3">
        <w:rPr>
          <w:rFonts w:ascii="Times New Roman" w:hAnsi="Times New Roman" w:cs="Times New Roman"/>
          <w:bCs/>
        </w:rPr>
        <w:t xml:space="preserve"> indefinitely</w:t>
      </w:r>
      <w:r w:rsidR="007268E3">
        <w:rPr>
          <w:rFonts w:ascii="Times New Roman" w:hAnsi="Times New Roman" w:cs="Times New Roman"/>
          <w:bCs/>
        </w:rPr>
        <w:t xml:space="preserve"> because workloads are served remotely rather than deferred (ref. 5).</w:t>
      </w:r>
    </w:p>
    <w:p w14:paraId="1EBE5A5C" w14:textId="2EE76BAE" w:rsidR="006B3A4F" w:rsidRDefault="00F064BF" w:rsidP="00F064BF">
      <w:pPr>
        <w:rPr>
          <w:rFonts w:ascii="Times New Roman" w:hAnsi="Times New Roman" w:cs="Times New Roman"/>
          <w:bCs/>
        </w:rPr>
      </w:pPr>
      <w:r w:rsidRPr="00F064BF">
        <w:rPr>
          <w:rFonts w:ascii="Times New Roman" w:hAnsi="Times New Roman" w:cs="Times New Roman"/>
          <w:bCs/>
        </w:rPr>
        <w:t xml:space="preserve">To estimate the economic value to the grid, we calculate avoided capacity costs using the capacity requirements identified in Energy + Environmental Economics' 2025 Resource Adequacy Study for Illinois and cost estimates from NREL's Annual Technology Baseline (ref. 32). At NREL's levelized combined-cycle cost of $180,000/MW-yr, the annualized avoided </w:t>
      </w:r>
      <w:r w:rsidRPr="00F064BF">
        <w:rPr>
          <w:rFonts w:ascii="Times New Roman" w:hAnsi="Times New Roman" w:cs="Times New Roman"/>
          <w:bCs/>
        </w:rPr>
        <w:lastRenderedPageBreak/>
        <w:t>capacity cost is approximately $81 million for an individual 1 GW facility and approximately $407 million for a 10 GW fleet at the fleet commitment level. These figures represent the system planner's perspective: capacity procurement that spatial migration commitments would displace.</w:t>
      </w:r>
    </w:p>
    <w:p w14:paraId="670947A0" w14:textId="15781DE6" w:rsidR="00847A3F" w:rsidRDefault="00847A3F" w:rsidP="00F064BF">
      <w:pPr>
        <w:rPr>
          <w:rFonts w:ascii="Times New Roman" w:hAnsi="Times New Roman" w:cs="Times New Roman"/>
          <w:bCs/>
        </w:rPr>
      </w:pPr>
      <w:r w:rsidRPr="003E7288">
        <w:rPr>
          <w:rFonts w:ascii="Times New Roman" w:hAnsi="Times New Roman" w:cs="Times New Roman"/>
          <w:bCs/>
          <w:highlight w:val="yellow"/>
        </w:rPr>
        <w:t xml:space="preserve">From the operator’s perspective, a </w:t>
      </w:r>
      <w:r w:rsidR="002D0120" w:rsidRPr="003E7288">
        <w:rPr>
          <w:rFonts w:ascii="Times New Roman" w:hAnsi="Times New Roman" w:cs="Times New Roman"/>
          <w:bCs/>
          <w:highlight w:val="yellow"/>
        </w:rPr>
        <w:t xml:space="preserve">distinct and substantially larger incentive may exist through interconnection acceleration. If a flexible interconnection framework allows a facility to energize before network </w:t>
      </w:r>
      <w:r w:rsidR="00400DD3" w:rsidRPr="003E7288">
        <w:rPr>
          <w:rFonts w:ascii="Times New Roman" w:hAnsi="Times New Roman" w:cs="Times New Roman"/>
          <w:bCs/>
          <w:highlight w:val="yellow"/>
        </w:rPr>
        <w:t>upgrades complete, the present value of avoided delay depends on foregone compute revenue during th</w:t>
      </w:r>
      <w:r w:rsidR="0000391D" w:rsidRPr="003E7288">
        <w:rPr>
          <w:rFonts w:ascii="Times New Roman" w:hAnsi="Times New Roman" w:cs="Times New Roman"/>
          <w:bCs/>
          <w:highlight w:val="yellow"/>
        </w:rPr>
        <w:t xml:space="preserve">e waiting period. An illustrative calculation using prevailing </w:t>
      </w:r>
      <w:proofErr w:type="spellStart"/>
      <w:r w:rsidR="0000391D" w:rsidRPr="003E7288">
        <w:rPr>
          <w:rFonts w:ascii="Times New Roman" w:hAnsi="Times New Roman" w:cs="Times New Roman"/>
          <w:bCs/>
          <w:highlight w:val="yellow"/>
        </w:rPr>
        <w:t>hyperscaler</w:t>
      </w:r>
      <w:proofErr w:type="spellEnd"/>
      <w:r w:rsidR="0000391D" w:rsidRPr="003E7288">
        <w:rPr>
          <w:rFonts w:ascii="Times New Roman" w:hAnsi="Times New Roman" w:cs="Times New Roman"/>
          <w:bCs/>
          <w:highlight w:val="yellow"/>
        </w:rPr>
        <w:t xml:space="preserve"> capital expenditure rates yields an interconnection acceleration value on the order of billions of dollars</w:t>
      </w:r>
      <w:r w:rsidR="00C8000E" w:rsidRPr="003E7288">
        <w:rPr>
          <w:rFonts w:ascii="Times New Roman" w:hAnsi="Times New Roman" w:cs="Times New Roman"/>
          <w:bCs/>
          <w:highlight w:val="yellow"/>
        </w:rPr>
        <w:t xml:space="preserve"> for a 1 GW facility over a three-year acceleration window (see Extended Data for assumptions and sensitivity). This estimate is highly sensitive to assumed revenue </w:t>
      </w:r>
      <w:r w:rsidR="00C068FA" w:rsidRPr="003E7288">
        <w:rPr>
          <w:rFonts w:ascii="Times New Roman" w:hAnsi="Times New Roman" w:cs="Times New Roman"/>
          <w:bCs/>
          <w:highlight w:val="yellow"/>
        </w:rPr>
        <w:t xml:space="preserve">per MW and acceleration duration, but even under conservative assumptions the interconnection incentive exceeds direct capacity market </w:t>
      </w:r>
      <w:r w:rsidR="001A63E5" w:rsidRPr="003E7288">
        <w:rPr>
          <w:rFonts w:ascii="Times New Roman" w:hAnsi="Times New Roman" w:cs="Times New Roman"/>
          <w:bCs/>
          <w:highlight w:val="yellow"/>
        </w:rPr>
        <w:t>revenue by at least an order of magnitude, suggesting that operators’ primary economic motivation under this framework derives from accelerated energization rather than capacity payments</w:t>
      </w:r>
      <w:r w:rsidR="001A63E5">
        <w:rPr>
          <w:rFonts w:ascii="Times New Roman" w:hAnsi="Times New Roman" w:cs="Times New Roman"/>
          <w:bCs/>
        </w:rPr>
        <w:t xml:space="preserve">. </w:t>
      </w:r>
    </w:p>
    <w:p w14:paraId="228494D5" w14:textId="4ED0B2D2" w:rsidR="003E7288" w:rsidRDefault="003E7288" w:rsidP="00F064BF">
      <w:pPr>
        <w:rPr>
          <w:rFonts w:ascii="Times New Roman" w:hAnsi="Times New Roman" w:cs="Times New Roman"/>
          <w:b/>
          <w:sz w:val="32"/>
          <w:szCs w:val="32"/>
        </w:rPr>
      </w:pPr>
      <w:r>
        <w:rPr>
          <w:rFonts w:ascii="Times New Roman" w:hAnsi="Times New Roman" w:cs="Times New Roman"/>
          <w:b/>
          <w:sz w:val="32"/>
          <w:szCs w:val="32"/>
        </w:rPr>
        <w:t>7. Discussion</w:t>
      </w:r>
    </w:p>
    <w:p w14:paraId="54D64A8B" w14:textId="1D537559" w:rsidR="003E7288" w:rsidRDefault="005E3031" w:rsidP="00F064BF">
      <w:pPr>
        <w:rPr>
          <w:rFonts w:ascii="Times New Roman" w:hAnsi="Times New Roman" w:cs="Times New Roman"/>
          <w:bCs/>
        </w:rPr>
      </w:pPr>
      <w:r>
        <w:rPr>
          <w:rFonts w:ascii="Times New Roman" w:hAnsi="Times New Roman" w:cs="Times New Roman"/>
          <w:bCs/>
        </w:rPr>
        <w:t>Several limitations qualify these results. Most importantly, the three parameters that dominate model uncertainty: destination-side utilization headroom (D2, 44% of variance), inference workload share (D4, 28%), and pre-staging readiness (D5, 13%), are not directly observable in public data. For that reason, we do not interpret the model as providing precise universal estimate of accreditable flexibility for AI data centers. The contribution of the cascade and conditional Monte Carlo is to show that, after the physical feasibility of cross-region migration and the operational feasibility of dispatch window compliance are established empirically (Sections 3 and 4), the remaining uncertainty is concentrated in a small set of destination-side operational choices. The framework therefore identifies where operator behavior, disclosure, or contractual commitments would have the highest impact on realized resource adequacy value, and bounds the conse</w:t>
      </w:r>
      <w:r w:rsidR="00543DE5">
        <w:rPr>
          <w:rFonts w:ascii="Times New Roman" w:hAnsi="Times New Roman" w:cs="Times New Roman"/>
          <w:bCs/>
        </w:rPr>
        <w:t>quences of those choices across a plausible parameter space.</w:t>
      </w:r>
    </w:p>
    <w:p w14:paraId="448AC312" w14:textId="378A3320" w:rsidR="00543DE5" w:rsidRDefault="00543DE5" w:rsidP="00F064BF">
      <w:pPr>
        <w:rPr>
          <w:rFonts w:ascii="Times New Roman" w:hAnsi="Times New Roman" w:cs="Times New Roman"/>
          <w:bCs/>
        </w:rPr>
      </w:pPr>
      <w:r>
        <w:rPr>
          <w:rFonts w:ascii="Times New Roman" w:hAnsi="Times New Roman" w:cs="Times New Roman"/>
          <w:bCs/>
        </w:rPr>
        <w:t>The nature of this concentrated uncertainty is decision-relevant rather than irreducible</w:t>
      </w:r>
      <w:r w:rsidR="00991460">
        <w:rPr>
          <w:rFonts w:ascii="Times New Roman" w:hAnsi="Times New Roman" w:cs="Times New Roman"/>
          <w:bCs/>
        </w:rPr>
        <w:t xml:space="preserve">. D2 reflects how much GPU headroom operators choose to maintain at destination facilities. D4 tracks the allocation of compute between inference and training, a ratio shifting rapidly toward inference (refs. 11, 12). D5 captures whether </w:t>
      </w:r>
      <w:r w:rsidR="00834DC6">
        <w:rPr>
          <w:rFonts w:ascii="Times New Roman" w:hAnsi="Times New Roman" w:cs="Times New Roman"/>
          <w:bCs/>
        </w:rPr>
        <w:t xml:space="preserve">operators invest in systematic model weight pre-staging across geographically diverse facilities. Each is an investment or operational decision, not a physical constraint. The gap </w:t>
      </w:r>
      <w:r w:rsidR="00CD3D79">
        <w:rPr>
          <w:rFonts w:ascii="Times New Roman" w:hAnsi="Times New Roman" w:cs="Times New Roman"/>
          <w:bCs/>
        </w:rPr>
        <w:t>between the physical potential for spatial migration and the realized commitment depth is therefore governed by institutional choices rather than physical constraints, and the variance decomposition identifies precisely which choices matter most.</w:t>
      </w:r>
    </w:p>
    <w:p w14:paraId="3B3DB04C" w14:textId="3EB8C520" w:rsidR="00CD3D79" w:rsidRDefault="00CD3D79" w:rsidP="00F064BF">
      <w:pPr>
        <w:rPr>
          <w:rFonts w:ascii="Times New Roman" w:hAnsi="Times New Roman" w:cs="Times New Roman"/>
          <w:bCs/>
        </w:rPr>
      </w:pPr>
      <w:r>
        <w:rPr>
          <w:rFonts w:ascii="Times New Roman" w:hAnsi="Times New Roman" w:cs="Times New Roman"/>
          <w:bCs/>
        </w:rPr>
        <w:t>Day ahead locational marginal pricing serves as a proxy for grid stress throughout this analysis. This choice is methodologically conservative</w:t>
      </w:r>
      <w:r w:rsidR="00114243">
        <w:rPr>
          <w:rFonts w:ascii="Times New Roman" w:hAnsi="Times New Roman" w:cs="Times New Roman"/>
          <w:bCs/>
        </w:rPr>
        <w:t xml:space="preserve">: real-time price spikes are driven by local contingencies (generator forces outages, transmission deratings) that are less correlated across </w:t>
      </w:r>
      <w:r w:rsidR="00114243">
        <w:rPr>
          <w:rFonts w:ascii="Times New Roman" w:hAnsi="Times New Roman" w:cs="Times New Roman"/>
          <w:bCs/>
        </w:rPr>
        <w:lastRenderedPageBreak/>
        <w:t xml:space="preserve">interconnection boundaries than the weather-drive supply-demand imbalances captured by day-ahead prices (ref. 33). </w:t>
      </w:r>
      <w:r w:rsidR="00D628A4">
        <w:rPr>
          <w:rFonts w:ascii="Times New Roman" w:hAnsi="Times New Roman" w:cs="Times New Roman"/>
          <w:bCs/>
        </w:rPr>
        <w:t>The 92% ELCC applied in the system-level calculations follows PJM precedent for demand response resources (ref. 29), but the conditional Monte Carlo’s tail risk profile, particularly the fleet CvaR of 18.0% at the 5</w:t>
      </w:r>
      <w:r w:rsidR="00D628A4" w:rsidRPr="00D628A4">
        <w:rPr>
          <w:rFonts w:ascii="Times New Roman" w:hAnsi="Times New Roman" w:cs="Times New Roman"/>
          <w:bCs/>
          <w:vertAlign w:val="superscript"/>
        </w:rPr>
        <w:t>th</w:t>
      </w:r>
      <w:r w:rsidR="00D628A4">
        <w:rPr>
          <w:rFonts w:ascii="Times New Roman" w:hAnsi="Times New Roman" w:cs="Times New Roman"/>
          <w:bCs/>
        </w:rPr>
        <w:t xml:space="preserve"> percentile, suggests that a rigorous ELCC determination through sequential Monte Carlo reliability modeling may yield </w:t>
      </w:r>
      <w:r w:rsidR="00336B79">
        <w:rPr>
          <w:rFonts w:ascii="Times New Roman" w:hAnsi="Times New Roman" w:cs="Times New Roman"/>
          <w:bCs/>
        </w:rPr>
        <w:t xml:space="preserve">a different value. </w:t>
      </w:r>
    </w:p>
    <w:p w14:paraId="30615DBC" w14:textId="326905F1" w:rsidR="00336B79" w:rsidRDefault="00336B79" w:rsidP="00F064BF">
      <w:pPr>
        <w:rPr>
          <w:rFonts w:ascii="Times New Roman" w:hAnsi="Times New Roman" w:cs="Times New Roman"/>
          <w:bCs/>
        </w:rPr>
      </w:pPr>
      <w:r>
        <w:rPr>
          <w:rFonts w:ascii="Times New Roman" w:hAnsi="Times New Roman" w:cs="Times New Roman"/>
          <w:bCs/>
        </w:rPr>
        <w:t>T</w:t>
      </w:r>
      <w:r w:rsidR="00466263">
        <w:rPr>
          <w:rFonts w:ascii="Times New Roman" w:hAnsi="Times New Roman" w:cs="Times New Roman"/>
          <w:bCs/>
        </w:rPr>
        <w:t xml:space="preserve">he workload validation spans two production datasets totaling 49.4 million requests over a combined 128 days of observation. While both datasets represent genuine production inference traffic from major cloud providers, they reflect a limited window of operational conditions and a single provider ecosystem. The extent to which drain time distributions and temporal patterns generalize to other providers, model architectures, </w:t>
      </w:r>
      <w:r w:rsidR="00CC6AA9">
        <w:rPr>
          <w:rFonts w:ascii="Times New Roman" w:hAnsi="Times New Roman" w:cs="Times New Roman"/>
          <w:bCs/>
        </w:rPr>
        <w:t>and deployment configurations remains an open empirical question, though the consistency of drain time results across two datasets provides partial cross-validation.</w:t>
      </w:r>
    </w:p>
    <w:p w14:paraId="199B6BA8" w14:textId="5199FCFE" w:rsidR="00CC6AA9" w:rsidRDefault="00CC6AA9" w:rsidP="00F064BF">
      <w:pPr>
        <w:rPr>
          <w:rFonts w:ascii="Times New Roman" w:hAnsi="Times New Roman" w:cs="Times New Roman"/>
          <w:bCs/>
        </w:rPr>
      </w:pPr>
      <w:r>
        <w:rPr>
          <w:rFonts w:ascii="Times New Roman" w:hAnsi="Times New Roman" w:cs="Times New Roman"/>
          <w:bCs/>
        </w:rPr>
        <w:t>The fleet-level analysis reveals a finding with implications for both grid planning and infrastructure investment</w:t>
      </w:r>
      <w:r w:rsidR="00DA7ED3">
        <w:rPr>
          <w:rFonts w:ascii="Times New Roman" w:hAnsi="Times New Roman" w:cs="Times New Roman"/>
          <w:bCs/>
        </w:rPr>
        <w:t xml:space="preserve">. Commitment depth is strongly scale-dependent, declining from 52.0% for individual facilities to 24.6% for a 10 GW fleet as simultaneous migration by co-stressed facilities saturates finite destination capacity. At individual facility scale, the cascade’s </w:t>
      </w:r>
      <w:r w:rsidR="00B514A5">
        <w:rPr>
          <w:rFonts w:ascii="Times New Roman" w:hAnsi="Times New Roman" w:cs="Times New Roman"/>
          <w:bCs/>
        </w:rPr>
        <w:t>independence assumption introduces substantial conservative bias, and operators can credibly commit flexibility well above the cascade estimate. At f</w:t>
      </w:r>
      <w:r w:rsidR="000D5784">
        <w:rPr>
          <w:rFonts w:ascii="Times New Roman" w:hAnsi="Times New Roman" w:cs="Times New Roman"/>
          <w:bCs/>
        </w:rPr>
        <w:t>leet scale, the gap between the conditional Monte Carlo and the cascade narrows to 3.6 percentage points, and the two estimates converge at the 5</w:t>
      </w:r>
      <w:r w:rsidR="000D5784" w:rsidRPr="000D5784">
        <w:rPr>
          <w:rFonts w:ascii="Times New Roman" w:hAnsi="Times New Roman" w:cs="Times New Roman"/>
          <w:bCs/>
          <w:vertAlign w:val="superscript"/>
        </w:rPr>
        <w:t>th</w:t>
      </w:r>
      <w:r w:rsidR="000D5784">
        <w:rPr>
          <w:rFonts w:ascii="Times New Roman" w:hAnsi="Times New Roman" w:cs="Times New Roman"/>
          <w:bCs/>
        </w:rPr>
        <w:t xml:space="preserve"> percentile. This divergence implies that accreditation frameworks should distinguish between individual facility commitments and fleet0level resource contributions, potentially through coordination requirements or portfolio-level verification protocols.</w:t>
      </w:r>
    </w:p>
    <w:p w14:paraId="5224D25A" w14:textId="0D7465F9" w:rsidR="000D5784" w:rsidRDefault="000D5784" w:rsidP="00F064BF">
      <w:pPr>
        <w:rPr>
          <w:rFonts w:ascii="Times New Roman" w:hAnsi="Times New Roman" w:cs="Times New Roman"/>
          <w:bCs/>
        </w:rPr>
      </w:pPr>
      <w:r>
        <w:rPr>
          <w:rFonts w:ascii="Times New Roman" w:hAnsi="Times New Roman" w:cs="Times New Roman"/>
          <w:bCs/>
        </w:rPr>
        <w:t xml:space="preserve">The coordination challenge identified at fleet scale points toward institutional mechanisms that do not yet exist in current electricity market designs. Aggregation of spatial migration commitments across multiple operators, analogous to demand response aggregation in existing capacity markets, could allocate destination headroom more efficiently than uncoordinated facility level decisions. </w:t>
      </w:r>
      <w:r w:rsidR="002A6001" w:rsidRPr="002A6001">
        <w:rPr>
          <w:rFonts w:ascii="Times New Roman" w:hAnsi="Times New Roman" w:cs="Times New Roman"/>
          <w:bCs/>
        </w:rPr>
        <w:t xml:space="preserve">Zhang et al.'s virtual link framework provides a formal basis for incorporating spatially flexible loads into market clearing (ref. XX), though its application to reliability-committed resources under the destination contention conditions identified here remains unexplored. </w:t>
      </w:r>
      <w:r>
        <w:rPr>
          <w:rFonts w:ascii="Times New Roman" w:hAnsi="Times New Roman" w:cs="Times New Roman"/>
          <w:bCs/>
        </w:rPr>
        <w:t>The development of such mechanisms represents a precondition for fleet level spatial migration to achieve commitment d</w:t>
      </w:r>
      <w:r w:rsidR="002A6001">
        <w:rPr>
          <w:rFonts w:ascii="Times New Roman" w:hAnsi="Times New Roman" w:cs="Times New Roman"/>
          <w:bCs/>
        </w:rPr>
        <w:t>ep</w:t>
      </w:r>
      <w:r>
        <w:rPr>
          <w:rFonts w:ascii="Times New Roman" w:hAnsi="Times New Roman" w:cs="Times New Roman"/>
          <w:bCs/>
        </w:rPr>
        <w:t>ths substantially above the DVFS baseline in tail scenarios. We note that the analytical framework developed here, particularly the conditional Monte Carlo with operator-spe</w:t>
      </w:r>
      <w:r w:rsidR="002A6001">
        <w:rPr>
          <w:rFonts w:ascii="Times New Roman" w:hAnsi="Times New Roman" w:cs="Times New Roman"/>
          <w:bCs/>
        </w:rPr>
        <w:t>c</w:t>
      </w:r>
      <w:r>
        <w:rPr>
          <w:rFonts w:ascii="Times New Roman" w:hAnsi="Times New Roman" w:cs="Times New Roman"/>
          <w:bCs/>
        </w:rPr>
        <w:t>ific parameterization, provides a tool for quantifying the value such coordination would unlock, a question we develop in forthcoming work.</w:t>
      </w:r>
    </w:p>
    <w:p w14:paraId="0A8B5B7A" w14:textId="4FF44FAB" w:rsidR="000D5784" w:rsidRDefault="000D5784" w:rsidP="00F064BF">
      <w:pPr>
        <w:rPr>
          <w:rFonts w:ascii="Times New Roman" w:hAnsi="Times New Roman" w:cs="Times New Roman"/>
          <w:bCs/>
        </w:rPr>
      </w:pPr>
      <w:r>
        <w:rPr>
          <w:rFonts w:ascii="Times New Roman" w:hAnsi="Times New Roman" w:cs="Times New Roman"/>
          <w:bCs/>
        </w:rPr>
        <w:t xml:space="preserve">Each of the dominant destination-side parameters corresponds to a concrete policy or investment lever. The sensitivity surface (Fig. X) quantifies how fleet commitment depth varies across the plausible ranges of D2 and D5, the two parameters that span the widest uncertainty: mean commitment depth ranges from 20.7% to 30.3% at 10GW. The tornado chart confirms that D2, </w:t>
      </w:r>
      <w:r>
        <w:rPr>
          <w:rFonts w:ascii="Times New Roman" w:hAnsi="Times New Roman" w:cs="Times New Roman"/>
          <w:bCs/>
        </w:rPr>
        <w:lastRenderedPageBreak/>
        <w:t>D4, and D5 together account for the full sensitivity range, while source-side parameters (S2, S3, D1) show near-zero sensitivity at fleet scale</w:t>
      </w:r>
      <w:r w:rsidR="0056751C">
        <w:rPr>
          <w:rFonts w:ascii="Times New Roman" w:hAnsi="Times New Roman" w:cs="Times New Roman"/>
          <w:bCs/>
        </w:rPr>
        <w:t xml:space="preserve"> because the fleet is entirely destination-constrained. This result has a direct institutional implication: policies targeting source-side constraints (data locality waivers, regulatory flexibility) would increase individual facility commitment depth but have </w:t>
      </w:r>
      <w:r w:rsidR="00617EC8">
        <w:rPr>
          <w:rFonts w:ascii="Times New Roman" w:hAnsi="Times New Roman" w:cs="Times New Roman"/>
          <w:bCs/>
        </w:rPr>
        <w:t>negligible effect at fleet scale, where destination-side investment is the binding constraint. Pre-staging readiness (D5) is the most directly actionable of the three: it requires no change in hardware or workload composition, only operational investment in model weight distribution across geographically diverse facilities.</w:t>
      </w:r>
    </w:p>
    <w:p w14:paraId="4582DCD0" w14:textId="5E5031A6" w:rsidR="00617EC8" w:rsidRDefault="00617EC8" w:rsidP="00F064BF">
      <w:pPr>
        <w:rPr>
          <w:rFonts w:ascii="Times New Roman" w:hAnsi="Times New Roman" w:cs="Times New Roman"/>
          <w:bCs/>
        </w:rPr>
      </w:pPr>
      <w:r w:rsidRPr="005E0C54">
        <w:rPr>
          <w:rFonts w:ascii="Times New Roman" w:hAnsi="Times New Roman" w:cs="Times New Roman"/>
          <w:bCs/>
          <w:highlight w:val="yellow"/>
        </w:rPr>
        <w:t xml:space="preserve">Two regulatory mechanisms, designed to operate sequentially, could capture the flexibility quantified here within existing market structures. Under a flexible interconnection framework, a data center would energize before network upgrades complete, with a binding curtailment commitment that enters the grid operator’s planning models as reduced firm load. The required upgrades proceed in parallel, but the </w:t>
      </w:r>
      <w:r w:rsidR="00067E98" w:rsidRPr="005E0C54">
        <w:rPr>
          <w:rFonts w:ascii="Times New Roman" w:hAnsi="Times New Roman" w:cs="Times New Roman"/>
          <w:bCs/>
          <w:highlight w:val="yellow"/>
        </w:rPr>
        <w:t xml:space="preserve">facility is not delayed by their completion. ERCOT’s connect-and-manage framework for generation resources provides a partial precedent (ref. 34). As grid positions mature, facilities may convert to full firm service and offer flexibility as formal demand response in capacity auctions, subject to the constraint that the same megawatt cannot simultaneously reduce </w:t>
      </w:r>
      <w:r w:rsidR="005E0C54" w:rsidRPr="005E0C54">
        <w:rPr>
          <w:rFonts w:ascii="Times New Roman" w:hAnsi="Times New Roman" w:cs="Times New Roman"/>
          <w:bCs/>
          <w:highlight w:val="yellow"/>
        </w:rPr>
        <w:t>the load forecast and be offered as demand response supply (ref. 35). The interconnection acceleration mechanism dominates the economic incentive for operators in the near term.</w:t>
      </w:r>
    </w:p>
    <w:p w14:paraId="621621A5" w14:textId="0F48D97F" w:rsidR="005E0C54" w:rsidRDefault="005E0C54" w:rsidP="00F064BF">
      <w:pPr>
        <w:rPr>
          <w:rFonts w:ascii="Times New Roman" w:hAnsi="Times New Roman" w:cs="Times New Roman"/>
          <w:bCs/>
        </w:rPr>
      </w:pPr>
      <w:r>
        <w:rPr>
          <w:rFonts w:ascii="Times New Roman" w:hAnsi="Times New Roman" w:cs="Times New Roman"/>
          <w:bCs/>
        </w:rPr>
        <w:t xml:space="preserve">The central structural feature of this framework is a reallocation of reliability risk. Under current practice, the grid operator bears the full obligation to procure sufficient capacity to serve data center load at its nameplate rating, and procurement costs are allocated to retail customers. Under the framework proposed here, the data center operator assumes responsibility for managing a portion of its own power availability during system emergencies. </w:t>
      </w:r>
      <w:commentRangeStart w:id="1"/>
      <w:r>
        <w:rPr>
          <w:rFonts w:ascii="Times New Roman" w:hAnsi="Times New Roman" w:cs="Times New Roman"/>
          <w:bCs/>
        </w:rPr>
        <w:t>The natural decorrelation of grid stress across interconnection boundaries, demonstrated empirically in Section 3, is a physical property of the North American transmission system.</w:t>
      </w:r>
      <w:commentRangeEnd w:id="1"/>
      <w:r w:rsidR="00FD0C38">
        <w:rPr>
          <w:rStyle w:val="CommentReference"/>
        </w:rPr>
        <w:commentReference w:id="1"/>
      </w:r>
      <w:r w:rsidR="00FD0C38">
        <w:rPr>
          <w:rFonts w:ascii="Times New Roman" w:hAnsi="Times New Roman" w:cs="Times New Roman"/>
          <w:bCs/>
        </w:rPr>
        <w:t xml:space="preserve"> Exploiting it for resource adequacy purposes requires multi-region infrastructure that major data center operators have already constructed for commercial reasons (ref. 31), but activating it as a committed grid resource requires institutional </w:t>
      </w:r>
      <w:r w:rsidR="00DC56F4">
        <w:rPr>
          <w:rFonts w:ascii="Times New Roman" w:hAnsi="Times New Roman" w:cs="Times New Roman"/>
          <w:bCs/>
        </w:rPr>
        <w:t>mechanisms for verification, commitment, and compensation that remain to be developed.</w:t>
      </w:r>
    </w:p>
    <w:p w14:paraId="5BB4DE9E" w14:textId="47CE6800" w:rsidR="00DC56F4" w:rsidRDefault="00DC56F4" w:rsidP="00F064BF">
      <w:pPr>
        <w:rPr>
          <w:rFonts w:ascii="Times New Roman" w:hAnsi="Times New Roman" w:cs="Times New Roman"/>
          <w:bCs/>
        </w:rPr>
      </w:pPr>
      <w:r>
        <w:rPr>
          <w:rFonts w:ascii="Times New Roman" w:hAnsi="Times New Roman" w:cs="Times New Roman"/>
          <w:bCs/>
        </w:rPr>
        <w:t>Looking forward, the most valuable empirical contributions would be direct measurement of the three parameters that dominate framework uncertainty: GPU-level utilization distributions at candidate destination inference facilities (D2); the fraction of destination workloads running compatible inference (D4); and the operational readiness of model weight pre-staging at geographically diverse facil</w:t>
      </w:r>
      <w:r w:rsidR="00A115E6">
        <w:rPr>
          <w:rFonts w:ascii="Times New Roman" w:hAnsi="Times New Roman" w:cs="Times New Roman"/>
          <w:bCs/>
        </w:rPr>
        <w:t xml:space="preserve">ities (D5). </w:t>
      </w:r>
      <w:r w:rsidR="002922E6">
        <w:rPr>
          <w:rFonts w:ascii="Times New Roman" w:hAnsi="Times New Roman" w:cs="Times New Roman"/>
          <w:bCs/>
        </w:rPr>
        <w:t>The fleet coordination problem identified by the conditional Monte Carlo motivates development of allocation mechanisms, verification protocols, and potentially a specialized intermediary function analogous to existing demand response aggregators. These represent institutional infrastructure for spatial compute migration to contribute to resource adequacy at the scale the underlying physics would support.</w:t>
      </w:r>
    </w:p>
    <w:p w14:paraId="3305255B" w14:textId="2F32D46B" w:rsidR="002922E6" w:rsidRDefault="002922E6" w:rsidP="00F064BF">
      <w:pPr>
        <w:rPr>
          <w:rFonts w:ascii="Times New Roman" w:hAnsi="Times New Roman" w:cs="Times New Roman"/>
          <w:bCs/>
        </w:rPr>
      </w:pPr>
      <w:r>
        <w:rPr>
          <w:rFonts w:ascii="Times New Roman" w:hAnsi="Times New Roman" w:cs="Times New Roman"/>
          <w:b/>
          <w:sz w:val="32"/>
          <w:szCs w:val="32"/>
        </w:rPr>
        <w:lastRenderedPageBreak/>
        <w:t>Methods</w:t>
      </w:r>
    </w:p>
    <w:p w14:paraId="785780D3"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Cascade parameter specifications.</w:t>
      </w:r>
      <w:r w:rsidRPr="00BE4AEC">
        <w:rPr>
          <w:rFonts w:ascii="Times New Roman" w:hAnsi="Times New Roman" w:cs="Times New Roman"/>
          <w:bCs/>
        </w:rPr>
        <w:t xml:space="preserve"> Table M1 reports the central value, distribution, and empirical basis for each of the ten cascade parameters. Source-side parameters: S1 (workload candidacy) = 0.70, representing the inference-dominant share of facility compute load; S2 (data locality) = 0.70, Uniform[0.60, 0.95], bounded by regulatory analysis of data residency requirements; S3 (operational timing) = 0.90, validated empirically in Section 4. Destination-side parameters: D1 (cross-region availability) is observed per-hour from pricing data rather than drawn parametrically; D2 (utilization headroom) = 0.33, Uniform[0.20, 0.50], anchored on measured GPU utilization rates of 50-80% at </w:t>
      </w:r>
      <w:proofErr w:type="spellStart"/>
      <w:r w:rsidRPr="00BE4AEC">
        <w:rPr>
          <w:rFonts w:ascii="Times New Roman" w:hAnsi="Times New Roman" w:cs="Times New Roman"/>
          <w:bCs/>
        </w:rPr>
        <w:t>hyperscaler</w:t>
      </w:r>
      <w:proofErr w:type="spellEnd"/>
      <w:r w:rsidRPr="00BE4AEC">
        <w:rPr>
          <w:rFonts w:ascii="Times New Roman" w:hAnsi="Times New Roman" w:cs="Times New Roman"/>
          <w:bCs/>
        </w:rPr>
        <w:t xml:space="preserve"> AI inference facilities (refs. 26, 27), representing GPU compute absorption capacity rather than facility-level load factor (the latter includes cooling, networking, and storage overhead that cannot absorb migrated inference workloads); D3 (hardware compatibility) = 0.88, held fixed based on CUDA/</w:t>
      </w:r>
      <w:proofErr w:type="spellStart"/>
      <w:r w:rsidRPr="00BE4AEC">
        <w:rPr>
          <w:rFonts w:ascii="Times New Roman" w:hAnsi="Times New Roman" w:cs="Times New Roman"/>
          <w:bCs/>
        </w:rPr>
        <w:t>TensorRT</w:t>
      </w:r>
      <w:proofErr w:type="spellEnd"/>
      <w:r w:rsidRPr="00BE4AEC">
        <w:rPr>
          <w:rFonts w:ascii="Times New Roman" w:hAnsi="Times New Roman" w:cs="Times New Roman"/>
          <w:bCs/>
        </w:rPr>
        <w:t xml:space="preserve"> backward compatibility rates in published market data; D4 (inference workload share) = 0.50, Uniform[0.33, 0.67], bounded by industry projections of inference as a share of total data center compute (refs. 11, 12); D5 (pre-staging readiness) = 0.65, Uniform[0.50, 0.80], representing the weakest empirical layer in the decomposition, estimated from operational practice at </w:t>
      </w:r>
      <w:proofErr w:type="spellStart"/>
      <w:r w:rsidRPr="00BE4AEC">
        <w:rPr>
          <w:rFonts w:ascii="Times New Roman" w:hAnsi="Times New Roman" w:cs="Times New Roman"/>
          <w:bCs/>
        </w:rPr>
        <w:t>hyperscaler</w:t>
      </w:r>
      <w:proofErr w:type="spellEnd"/>
      <w:r w:rsidRPr="00BE4AEC">
        <w:rPr>
          <w:rFonts w:ascii="Times New Roman" w:hAnsi="Times New Roman" w:cs="Times New Roman"/>
          <w:bCs/>
        </w:rPr>
        <w:t xml:space="preserve">-operated facilities. Execution parameters: E1 (routing completion) = 0.95; E2 (bandwidth adequacy) = 0.98. The commitment depth formula Commitment Depth = Spatial + DVFS × (S1 - Spatial) applies DVFS only to the compute-amenable portion of facility load, following Colangelo et al.'s measurement at the GPU cluster level via </w:t>
      </w:r>
      <w:proofErr w:type="spellStart"/>
      <w:r w:rsidRPr="00BE4AEC">
        <w:rPr>
          <w:rFonts w:ascii="Times New Roman" w:hAnsi="Times New Roman" w:cs="Times New Roman"/>
          <w:bCs/>
        </w:rPr>
        <w:t>nvidia-smi</w:t>
      </w:r>
      <w:proofErr w:type="spellEnd"/>
      <w:r w:rsidRPr="00BE4AEC">
        <w:rPr>
          <w:rFonts w:ascii="Times New Roman" w:hAnsi="Times New Roman" w:cs="Times New Roman"/>
          <w:bCs/>
        </w:rPr>
        <w:t xml:space="preserve"> (ref. 5).</w:t>
      </w:r>
    </w:p>
    <w:p w14:paraId="11B3E44A"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Variance decomposition.</w:t>
      </w:r>
      <w:r w:rsidRPr="00BE4AEC">
        <w:rPr>
          <w:rFonts w:ascii="Times New Roman" w:hAnsi="Times New Roman" w:cs="Times New Roman"/>
          <w:bCs/>
        </w:rPr>
        <w:t xml:space="preserve"> The cascade Monte Carlo (N = 50,000) draws all ten parameters independently from their specified distributions, computes the multiplicative product, and applies the commitment depth formula. First-order Sobol-style variance attribution is computed by fixing each parameter at its central value and measuring the reduction in output variance. This yields the variance shares reported in Section 2 (D2: 44%, D4: 28%, D5: 13%, S2: 13%). These shares are properties of the model's distributional assumptions, not of reality; their primary function is to identify which parameters most repay empirical measurement.</w:t>
      </w:r>
    </w:p>
    <w:p w14:paraId="3D49A9F9"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Stress threshold definition.</w:t>
      </w:r>
      <w:r w:rsidRPr="00BE4AEC">
        <w:rPr>
          <w:rFonts w:ascii="Times New Roman" w:hAnsi="Times New Roman" w:cs="Times New Roman"/>
          <w:bCs/>
        </w:rPr>
        <w:t xml:space="preserve"> Stress hours are defined as hours in which the day-ahead LMP exceeds the 99th percentile of the zone's own four-year distribution, yielding the 200 highest-priced hours per zone over the January 2022 through December 2025 observation period. Sensitivity analysis using alternative thresholds (98th and 99.5th percentiles) indicates that the cross-region decorrelation result is robust to threshold specification (Extended Data Fig. 1).</w:t>
      </w:r>
    </w:p>
    <w:p w14:paraId="4E0A8D0C" w14:textId="6D69FBDC" w:rsidR="00BE4AEC" w:rsidRPr="00BE4AEC" w:rsidRDefault="00BE4AEC" w:rsidP="00BE4AEC">
      <w:pPr>
        <w:rPr>
          <w:rFonts w:ascii="Times New Roman" w:hAnsi="Times New Roman" w:cs="Times New Roman"/>
          <w:bCs/>
        </w:rPr>
      </w:pPr>
      <w:r w:rsidRPr="00BE4AEC">
        <w:rPr>
          <w:rFonts w:ascii="Times New Roman" w:hAnsi="Times New Roman" w:cs="Times New Roman"/>
          <w:b/>
          <w:bCs/>
        </w:rPr>
        <w:t>Workload datasets.</w:t>
      </w:r>
      <w:r w:rsidRPr="00BE4AEC">
        <w:rPr>
          <w:rFonts w:ascii="Times New Roman" w:hAnsi="Times New Roman" w:cs="Times New Roman"/>
          <w:bCs/>
        </w:rPr>
        <w:t xml:space="preserve"> </w:t>
      </w:r>
      <w:r w:rsidR="00C70DE3" w:rsidRPr="00C70DE3">
        <w:rPr>
          <w:rFonts w:ascii="Times New Roman" w:hAnsi="Times New Roman" w:cs="Times New Roman"/>
          <w:bCs/>
        </w:rPr>
        <w:t>The Microsoft Azure LLM Inference Dataset 2024 (</w:t>
      </w:r>
      <w:proofErr w:type="spellStart"/>
      <w:r w:rsidR="00C70DE3" w:rsidRPr="00C70DE3">
        <w:rPr>
          <w:rFonts w:ascii="Times New Roman" w:hAnsi="Times New Roman" w:cs="Times New Roman"/>
          <w:bCs/>
        </w:rPr>
        <w:t>DynamoLLM</w:t>
      </w:r>
      <w:proofErr w:type="spellEnd"/>
      <w:r w:rsidR="00C70DE3" w:rsidRPr="00C70DE3">
        <w:rPr>
          <w:rFonts w:ascii="Times New Roman" w:hAnsi="Times New Roman" w:cs="Times New Roman"/>
          <w:bCs/>
        </w:rPr>
        <w:t xml:space="preserve">) comprises 44.1 million requests sampled from Azure production infrastructure over seven days in May 2024 (ref. 15). The </w:t>
      </w:r>
      <w:proofErr w:type="spellStart"/>
      <w:r w:rsidR="00C70DE3" w:rsidRPr="00C70DE3">
        <w:rPr>
          <w:rFonts w:ascii="Times New Roman" w:hAnsi="Times New Roman" w:cs="Times New Roman"/>
          <w:bCs/>
        </w:rPr>
        <w:t>BurstGPT</w:t>
      </w:r>
      <w:proofErr w:type="spellEnd"/>
      <w:r w:rsidR="00C70DE3" w:rsidRPr="00C70DE3">
        <w:rPr>
          <w:rFonts w:ascii="Times New Roman" w:hAnsi="Times New Roman" w:cs="Times New Roman"/>
          <w:bCs/>
        </w:rPr>
        <w:t xml:space="preserve"> dataset comprises 5.3 million requests from Azure OpenAI regional endpoints spanning 121 days of continuous observation (ref. 16). Both datasets represent production inference traffic. Drain times are computed at an assumed generation rate of 60 tokens per second; sensitivity to this assumption is reported in Extended Data Fig. 2. Diurnal </w:t>
      </w:r>
      <w:r w:rsidR="00C70DE3" w:rsidRPr="00C70DE3">
        <w:rPr>
          <w:rFonts w:ascii="Times New Roman" w:hAnsi="Times New Roman" w:cs="Times New Roman"/>
          <w:bCs/>
        </w:rPr>
        <w:lastRenderedPageBreak/>
        <w:t xml:space="preserve">usage patterns in </w:t>
      </w:r>
      <w:proofErr w:type="spellStart"/>
      <w:r w:rsidR="00C70DE3" w:rsidRPr="00C70DE3">
        <w:rPr>
          <w:rFonts w:ascii="Times New Roman" w:hAnsi="Times New Roman" w:cs="Times New Roman"/>
          <w:bCs/>
        </w:rPr>
        <w:t>DynamoLLM</w:t>
      </w:r>
      <w:proofErr w:type="spellEnd"/>
      <w:r w:rsidR="00C70DE3" w:rsidRPr="00C70DE3">
        <w:rPr>
          <w:rFonts w:ascii="Times New Roman" w:hAnsi="Times New Roman" w:cs="Times New Roman"/>
          <w:bCs/>
        </w:rPr>
        <w:t xml:space="preserve"> range from approximately 3× peak-to-trough for conversational workloads to 35× for coding workloads (ref. 15), while </w:t>
      </w:r>
      <w:proofErr w:type="spellStart"/>
      <w:r w:rsidR="00C70DE3" w:rsidRPr="00C70DE3">
        <w:rPr>
          <w:rFonts w:ascii="Times New Roman" w:hAnsi="Times New Roman" w:cs="Times New Roman"/>
          <w:bCs/>
        </w:rPr>
        <w:t>BurstGPT</w:t>
      </w:r>
      <w:proofErr w:type="spellEnd"/>
      <w:r w:rsidR="00C70DE3" w:rsidRPr="00C70DE3">
        <w:rPr>
          <w:rFonts w:ascii="Times New Roman" w:hAnsi="Times New Roman" w:cs="Times New Roman"/>
          <w:bCs/>
        </w:rPr>
        <w:t xml:space="preserve"> exhibits near-continuous 24-hour activity with minimal weekly periodicity, consistent with differing user populations (Azure OpenAI regional API traffic vs. Azure internal production workloads). These temporal divergences do not affect the S3 parameterization, which depends on per-request drain time rather than aggregate traffic volume.</w:t>
      </w:r>
    </w:p>
    <w:p w14:paraId="05D1EC2A"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Conditional Monte Carlo simulation.</w:t>
      </w:r>
      <w:r w:rsidRPr="00BE4AEC">
        <w:rPr>
          <w:rFonts w:ascii="Times New Roman" w:hAnsi="Times New Roman" w:cs="Times New Roman"/>
          <w:bCs/>
        </w:rPr>
        <w:t xml:space="preserve"> For each of the 200 ComEd stress hours, the simulation observes which destination zones are simultaneously stressed using DA LMP flags, replacing parametric D1 with binary per-hour, per-destination realizations. For each unstressed destination, D2, D4, and D5 are drawn independently from their specified uniform distributions; D3 is held fixed at 0.88. Available headroom at each destination is computed as destination capacity × D2 × D3 × D4 × D5. The migrating demand from the source facility (or fleet) is then allocated across destinations in proportion to available headroom, up to each destination's computed capacity. Commitment depth is the sum of migrated load plus DVFS applied to the non-migrating portion, divided by total facility (or fleet) capacity. 2,000 independent draws per stress hour yield 400,000 total samples. Source-side parameters (S1 = 0.70, S2 = 0.70, S3 = 0.90, E1 = 0.95, E2 = 0.98) are held at central values as structural or strongly grounded parameters.</w:t>
      </w:r>
    </w:p>
    <w:p w14:paraId="615DC2D3"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Destination pool.</w:t>
      </w:r>
      <w:r w:rsidRPr="00BE4AEC">
        <w:rPr>
          <w:rFonts w:ascii="Times New Roman" w:hAnsi="Times New Roman" w:cs="Times New Roman"/>
          <w:bCs/>
        </w:rPr>
        <w:t xml:space="preserve"> The destination pool comprises 19 hourly-price zones across four grid regions: ERCOT (four zones), CAISO (two zones), MISO (eight zones), and NYISO (five zones). MISO Illinois is included despite geographic proximity to the ComEd source zone because MISO and PJM are independently dispatched with different generation mixes. WECC non-ISO bilateral trading hubs (Mid-Columbia, Palo Verde) are excluded because their published price data is daily-resolution, insufficient for hourly stress event detection. These excluded hubs represent approximately 9,900 MW of current data center capacity, or roughly 52% additional capacity beyond the 19-zone pool. Their inclusion would increase destination headroom and shift fleet commitment depth upward; reported figures are therefore conservative with respect to the full destination pool.</w:t>
      </w:r>
    </w:p>
    <w:p w14:paraId="65080200"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Per-GW parametric sweep.</w:t>
      </w:r>
      <w:r w:rsidRPr="00BE4AEC">
        <w:rPr>
          <w:rFonts w:ascii="Times New Roman" w:hAnsi="Times New Roman" w:cs="Times New Roman"/>
          <w:bCs/>
        </w:rPr>
        <w:t xml:space="preserve"> The fleet-level analysis evaluates commitment depth as a continuous function of fleet size from 0.5 to 20 GW. At each fleet size, the migrating demand in each stress hour is </w:t>
      </w:r>
      <w:proofErr w:type="spellStart"/>
      <w:r w:rsidRPr="00BE4AEC">
        <w:rPr>
          <w:rFonts w:ascii="Times New Roman" w:hAnsi="Times New Roman" w:cs="Times New Roman"/>
          <w:bCs/>
        </w:rPr>
        <w:t>fleet_MW</w:t>
      </w:r>
      <w:proofErr w:type="spellEnd"/>
      <w:r w:rsidRPr="00BE4AEC">
        <w:rPr>
          <w:rFonts w:ascii="Times New Roman" w:hAnsi="Times New Roman" w:cs="Times New Roman"/>
          <w:bCs/>
        </w:rPr>
        <w:t xml:space="preserve"> × S1 × S2 × S3 (the source-side cascade product). This demand competes for the same per-hour destination headroom computed in the conditional MC. The sweep identifies the contention onset (the fleet size at which more than 50% of draw-hour combinations become destination-constrained) and produces the commitment depth curve reported in Section 5.3.</w:t>
      </w:r>
    </w:p>
    <w:p w14:paraId="7F41A2AC"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Sensitivity analysis.</w:t>
      </w:r>
      <w:r w:rsidRPr="00BE4AEC">
        <w:rPr>
          <w:rFonts w:ascii="Times New Roman" w:hAnsi="Times New Roman" w:cs="Times New Roman"/>
          <w:bCs/>
        </w:rPr>
        <w:t xml:space="preserve"> The two-dimensional sensitivity surface evaluates fleet commitment depth (10 GW) across a 10 × 10 grid of D2 and D5 values, with D3 and D4 held at central values. Each grid point computes deterministic hour-by-hour commitment depth using the conditional MC </w:t>
      </w:r>
      <w:r w:rsidRPr="00BE4AEC">
        <w:rPr>
          <w:rFonts w:ascii="Times New Roman" w:hAnsi="Times New Roman" w:cs="Times New Roman"/>
          <w:bCs/>
        </w:rPr>
        <w:lastRenderedPageBreak/>
        <w:t>framework. The tornado chart evaluates one-at-a-time sensitivity across all ten parameters at 10 GW, sweeping each from its lower to upper bound while holding others at central values.</w:t>
      </w:r>
    </w:p>
    <w:p w14:paraId="140A972C" w14:textId="77777777" w:rsidR="00BE4AEC" w:rsidRPr="00BE4AEC" w:rsidRDefault="00BE4AEC" w:rsidP="00BE4AEC">
      <w:pPr>
        <w:rPr>
          <w:rFonts w:ascii="Times New Roman" w:hAnsi="Times New Roman" w:cs="Times New Roman"/>
          <w:bCs/>
        </w:rPr>
      </w:pPr>
      <w:r w:rsidRPr="00BE4AEC">
        <w:rPr>
          <w:rFonts w:ascii="Times New Roman" w:hAnsi="Times New Roman" w:cs="Times New Roman"/>
          <w:b/>
          <w:bCs/>
        </w:rPr>
        <w:t>System-level calculations.</w:t>
      </w:r>
      <w:r w:rsidRPr="00BE4AEC">
        <w:rPr>
          <w:rFonts w:ascii="Times New Roman" w:hAnsi="Times New Roman" w:cs="Times New Roman"/>
          <w:bCs/>
        </w:rPr>
        <w:t xml:space="preserve"> The 92% ELCC applied to committed MW follows PJM precedent for demand response resources (ref. 29). Avoided capacity cost is computed using the E3 levelized CT cost of $180,000/MW-yr from the E3 2025 Resource Adequacy Study for Illinois (ref. 32). The interconnection acceleration calculation is reported in Extended Data with full assumptions and sensitivity.</w:t>
      </w:r>
    </w:p>
    <w:p w14:paraId="3BCDB6A8" w14:textId="77777777" w:rsidR="0098133A" w:rsidRPr="0098133A" w:rsidRDefault="0098133A" w:rsidP="0098133A">
      <w:pPr>
        <w:rPr>
          <w:rFonts w:ascii="Times New Roman" w:hAnsi="Times New Roman" w:cs="Times New Roman"/>
          <w:bCs/>
        </w:rPr>
      </w:pPr>
      <w:r w:rsidRPr="0098133A">
        <w:rPr>
          <w:rFonts w:ascii="Times New Roman" w:hAnsi="Times New Roman" w:cs="Times New Roman"/>
          <w:b/>
          <w:bCs/>
        </w:rPr>
        <w:t>Data and Code Availability</w:t>
      </w:r>
    </w:p>
    <w:p w14:paraId="5DE50EEA" w14:textId="7E78558D" w:rsidR="0098133A" w:rsidRDefault="0098133A" w:rsidP="0098133A">
      <w:pPr>
        <w:rPr>
          <w:rFonts w:ascii="Times New Roman" w:hAnsi="Times New Roman" w:cs="Times New Roman"/>
          <w:bCs/>
        </w:rPr>
      </w:pPr>
      <w:r w:rsidRPr="0098133A">
        <w:rPr>
          <w:rFonts w:ascii="Times New Roman" w:hAnsi="Times New Roman" w:cs="Times New Roman"/>
          <w:bCs/>
        </w:rPr>
        <w:t>Day-ahead LMP data are publicly available from PJM, ERCOT, CAISO, MISO,</w:t>
      </w:r>
      <w:r>
        <w:rPr>
          <w:rFonts w:ascii="Times New Roman" w:hAnsi="Times New Roman" w:cs="Times New Roman"/>
          <w:bCs/>
        </w:rPr>
        <w:t xml:space="preserve"> </w:t>
      </w:r>
      <w:r w:rsidRPr="0098133A">
        <w:rPr>
          <w:rFonts w:ascii="Times New Roman" w:hAnsi="Times New Roman" w:cs="Times New Roman"/>
          <w:bCs/>
        </w:rPr>
        <w:t>and NYISO market portals. The Microsoft Azure LLM Inference Dataset 2024</w:t>
      </w:r>
      <w:r>
        <w:rPr>
          <w:rFonts w:ascii="Times New Roman" w:hAnsi="Times New Roman" w:cs="Times New Roman"/>
          <w:bCs/>
        </w:rPr>
        <w:t xml:space="preserve"> </w:t>
      </w:r>
      <w:r w:rsidRPr="0098133A">
        <w:rPr>
          <w:rFonts w:ascii="Times New Roman" w:hAnsi="Times New Roman" w:cs="Times New Roman"/>
          <w:bCs/>
        </w:rPr>
        <w:t xml:space="preserve">is available at [repository]. The </w:t>
      </w:r>
      <w:proofErr w:type="spellStart"/>
      <w:r w:rsidRPr="0098133A">
        <w:rPr>
          <w:rFonts w:ascii="Times New Roman" w:hAnsi="Times New Roman" w:cs="Times New Roman"/>
          <w:bCs/>
        </w:rPr>
        <w:t>BurstGPT</w:t>
      </w:r>
      <w:proofErr w:type="spellEnd"/>
      <w:r w:rsidRPr="0098133A">
        <w:rPr>
          <w:rFonts w:ascii="Times New Roman" w:hAnsi="Times New Roman" w:cs="Times New Roman"/>
          <w:bCs/>
        </w:rPr>
        <w:t xml:space="preserve"> dataset is available at</w:t>
      </w:r>
      <w:r>
        <w:rPr>
          <w:rFonts w:ascii="Times New Roman" w:hAnsi="Times New Roman" w:cs="Times New Roman"/>
          <w:bCs/>
        </w:rPr>
        <w:t xml:space="preserve"> </w:t>
      </w:r>
      <w:r w:rsidRPr="0098133A">
        <w:rPr>
          <w:rFonts w:ascii="Times New Roman" w:hAnsi="Times New Roman" w:cs="Times New Roman"/>
          <w:bCs/>
        </w:rPr>
        <w:t xml:space="preserve">[repository]. Data center location data are from </w:t>
      </w:r>
      <w:proofErr w:type="spellStart"/>
      <w:r w:rsidRPr="0098133A">
        <w:rPr>
          <w:rFonts w:ascii="Times New Roman" w:hAnsi="Times New Roman" w:cs="Times New Roman"/>
          <w:bCs/>
        </w:rPr>
        <w:t>Baxtel</w:t>
      </w:r>
      <w:proofErr w:type="spellEnd"/>
      <w:r w:rsidRPr="0098133A">
        <w:rPr>
          <w:rFonts w:ascii="Times New Roman" w:hAnsi="Times New Roman" w:cs="Times New Roman"/>
          <w:bCs/>
        </w:rPr>
        <w:t xml:space="preserve"> (baxtel.com</w:t>
      </w:r>
      <w:r>
        <w:rPr>
          <w:rFonts w:ascii="Times New Roman" w:hAnsi="Times New Roman" w:cs="Times New Roman"/>
          <w:bCs/>
        </w:rPr>
        <w:t xml:space="preserve"> </w:t>
      </w:r>
      <w:r w:rsidRPr="0098133A">
        <w:rPr>
          <w:rFonts w:ascii="Times New Roman" w:hAnsi="Times New Roman" w:cs="Times New Roman"/>
          <w:bCs/>
        </w:rPr>
        <w:t>and the U.S. Department of Energy. Analysis code and processed datasets</w:t>
      </w:r>
      <w:r>
        <w:rPr>
          <w:rFonts w:ascii="Times New Roman" w:hAnsi="Times New Roman" w:cs="Times New Roman"/>
          <w:bCs/>
        </w:rPr>
        <w:t xml:space="preserve"> </w:t>
      </w:r>
      <w:r w:rsidRPr="0098133A">
        <w:rPr>
          <w:rFonts w:ascii="Times New Roman" w:hAnsi="Times New Roman" w:cs="Times New Roman"/>
          <w:bCs/>
        </w:rPr>
        <w:t>will be made available upon publication.</w:t>
      </w:r>
    </w:p>
    <w:p w14:paraId="0A0EFF0A" w14:textId="77777777" w:rsidR="0098133A" w:rsidRPr="0098133A" w:rsidRDefault="0098133A" w:rsidP="0098133A">
      <w:pPr>
        <w:rPr>
          <w:rFonts w:ascii="Times New Roman" w:hAnsi="Times New Roman" w:cs="Times New Roman"/>
          <w:bCs/>
        </w:rPr>
      </w:pPr>
      <w:r w:rsidRPr="0098133A">
        <w:rPr>
          <w:rFonts w:ascii="Times New Roman" w:hAnsi="Times New Roman" w:cs="Times New Roman"/>
          <w:b/>
          <w:bCs/>
        </w:rPr>
        <w:t>AI Disclosure</w:t>
      </w:r>
    </w:p>
    <w:p w14:paraId="7C5AE64A" w14:textId="031AE573" w:rsidR="0098133A" w:rsidRPr="0098133A" w:rsidRDefault="0098133A" w:rsidP="0098133A">
      <w:pPr>
        <w:rPr>
          <w:rFonts w:ascii="Times New Roman" w:hAnsi="Times New Roman" w:cs="Times New Roman"/>
          <w:bCs/>
        </w:rPr>
      </w:pPr>
      <w:r w:rsidRPr="0098133A">
        <w:rPr>
          <w:rFonts w:ascii="Times New Roman" w:hAnsi="Times New Roman" w:cs="Times New Roman"/>
          <w:bCs/>
        </w:rPr>
        <w:t>The author used AI tools (Anthropic Claude) to assist with structural</w:t>
      </w:r>
      <w:r>
        <w:rPr>
          <w:rFonts w:ascii="Times New Roman" w:hAnsi="Times New Roman" w:cs="Times New Roman"/>
          <w:bCs/>
        </w:rPr>
        <w:t xml:space="preserve"> </w:t>
      </w:r>
      <w:r w:rsidRPr="0098133A">
        <w:rPr>
          <w:rFonts w:ascii="Times New Roman" w:hAnsi="Times New Roman" w:cs="Times New Roman"/>
          <w:bCs/>
        </w:rPr>
        <w:t>organization of the manuscript, literature search, and computational</w:t>
      </w:r>
      <w:r>
        <w:rPr>
          <w:rFonts w:ascii="Times New Roman" w:hAnsi="Times New Roman" w:cs="Times New Roman"/>
          <w:bCs/>
        </w:rPr>
        <w:t xml:space="preserve"> </w:t>
      </w:r>
      <w:r w:rsidRPr="0098133A">
        <w:rPr>
          <w:rFonts w:ascii="Times New Roman" w:hAnsi="Times New Roman" w:cs="Times New Roman"/>
          <w:bCs/>
        </w:rPr>
        <w:t>code development. All analysis, interpretation, and text are the</w:t>
      </w:r>
      <w:r>
        <w:rPr>
          <w:rFonts w:ascii="Times New Roman" w:hAnsi="Times New Roman" w:cs="Times New Roman"/>
          <w:bCs/>
        </w:rPr>
        <w:t xml:space="preserve"> </w:t>
      </w:r>
      <w:r w:rsidRPr="0098133A">
        <w:rPr>
          <w:rFonts w:ascii="Times New Roman" w:hAnsi="Times New Roman" w:cs="Times New Roman"/>
          <w:bCs/>
        </w:rPr>
        <w:t>author's own.</w:t>
      </w:r>
    </w:p>
    <w:p w14:paraId="1E0AC5B8" w14:textId="77777777" w:rsidR="00FB45F0" w:rsidRPr="00FB45F0" w:rsidRDefault="00FB45F0" w:rsidP="00FB45F0">
      <w:pPr>
        <w:rPr>
          <w:rFonts w:ascii="Times New Roman" w:hAnsi="Times New Roman" w:cs="Times New Roman"/>
          <w:bCs/>
        </w:rPr>
      </w:pPr>
      <w:r w:rsidRPr="00FB45F0">
        <w:rPr>
          <w:rFonts w:ascii="Times New Roman" w:hAnsi="Times New Roman" w:cs="Times New Roman"/>
          <w:b/>
          <w:bCs/>
        </w:rPr>
        <w:t>Acknowledgments</w:t>
      </w:r>
    </w:p>
    <w:p w14:paraId="1E4FE748" w14:textId="5A4C7ADD" w:rsidR="00FB45F0" w:rsidRPr="00FB45F0" w:rsidRDefault="00FB45F0" w:rsidP="00FB45F0">
      <w:pPr>
        <w:rPr>
          <w:rFonts w:ascii="Times New Roman" w:hAnsi="Times New Roman" w:cs="Times New Roman"/>
          <w:bCs/>
        </w:rPr>
      </w:pPr>
      <w:r w:rsidRPr="00FB45F0">
        <w:rPr>
          <w:rFonts w:ascii="Times New Roman" w:hAnsi="Times New Roman" w:cs="Times New Roman"/>
          <w:bCs/>
        </w:rPr>
        <w:t>The author thanks R. Rosner and the</w:t>
      </w:r>
      <w:r>
        <w:rPr>
          <w:rFonts w:ascii="Times New Roman" w:hAnsi="Times New Roman" w:cs="Times New Roman"/>
          <w:bCs/>
        </w:rPr>
        <w:t xml:space="preserve"> </w:t>
      </w:r>
      <w:r w:rsidRPr="00FB45F0">
        <w:rPr>
          <w:rFonts w:ascii="Times New Roman" w:hAnsi="Times New Roman" w:cs="Times New Roman"/>
          <w:bCs/>
        </w:rPr>
        <w:t>Bartlett Fellowship in Energy Policy at the Energy Policy Institute at</w:t>
      </w:r>
      <w:r>
        <w:rPr>
          <w:rFonts w:ascii="Times New Roman" w:hAnsi="Times New Roman" w:cs="Times New Roman"/>
          <w:bCs/>
        </w:rPr>
        <w:t xml:space="preserve"> </w:t>
      </w:r>
      <w:r w:rsidRPr="00FB45F0">
        <w:rPr>
          <w:rFonts w:ascii="Times New Roman" w:hAnsi="Times New Roman" w:cs="Times New Roman"/>
          <w:bCs/>
        </w:rPr>
        <w:t>Chicago.]</w:t>
      </w:r>
    </w:p>
    <w:p w14:paraId="17B8A959" w14:textId="77777777" w:rsidR="0098133A" w:rsidRPr="0098133A" w:rsidRDefault="0098133A" w:rsidP="0098133A">
      <w:pPr>
        <w:rPr>
          <w:rFonts w:ascii="Times New Roman" w:hAnsi="Times New Roman" w:cs="Times New Roman"/>
          <w:bCs/>
        </w:rPr>
      </w:pPr>
    </w:p>
    <w:p w14:paraId="0C04142D" w14:textId="77777777" w:rsidR="0059191C" w:rsidRPr="0059191C" w:rsidRDefault="0059191C" w:rsidP="0059191C">
      <w:pPr>
        <w:rPr>
          <w:rFonts w:ascii="Times New Roman" w:hAnsi="Times New Roman" w:cs="Times New Roman"/>
          <w:bCs/>
        </w:rPr>
      </w:pPr>
      <w:r w:rsidRPr="0059191C">
        <w:rPr>
          <w:rFonts w:ascii="Times New Roman" w:hAnsi="Times New Roman" w:cs="Times New Roman"/>
          <w:b/>
          <w:bCs/>
        </w:rPr>
        <w:t>Selected References</w:t>
      </w:r>
    </w:p>
    <w:p w14:paraId="1386B48E" w14:textId="29D7B57D" w:rsidR="0059191C" w:rsidRPr="0059191C" w:rsidRDefault="0059191C" w:rsidP="0059191C">
      <w:pPr>
        <w:rPr>
          <w:rFonts w:ascii="Times New Roman" w:hAnsi="Times New Roman" w:cs="Times New Roman"/>
          <w:bCs/>
        </w:rPr>
      </w:pPr>
      <w:r w:rsidRPr="0059191C">
        <w:rPr>
          <w:rFonts w:ascii="Times New Roman" w:hAnsi="Times New Roman" w:cs="Times New Roman"/>
          <w:bCs/>
        </w:rPr>
        <w:t>[1] Colangelo, M. et al. Software-based power management for AI data</w:t>
      </w:r>
      <w:r>
        <w:rPr>
          <w:rFonts w:ascii="Times New Roman" w:hAnsi="Times New Roman" w:cs="Times New Roman"/>
          <w:bCs/>
        </w:rPr>
        <w:t xml:space="preserve"> </w:t>
      </w:r>
      <w:r w:rsidRPr="0059191C">
        <w:rPr>
          <w:rFonts w:ascii="Times New Roman" w:hAnsi="Times New Roman" w:cs="Times New Roman"/>
          <w:bCs/>
        </w:rPr>
        <w:t>centers. Nature Energy (December 2025).</w:t>
      </w:r>
    </w:p>
    <w:p w14:paraId="31C95F07" w14:textId="77777777" w:rsidR="0059191C" w:rsidRPr="0059191C" w:rsidRDefault="0059191C" w:rsidP="0059191C">
      <w:pPr>
        <w:rPr>
          <w:rFonts w:ascii="Times New Roman" w:hAnsi="Times New Roman" w:cs="Times New Roman"/>
          <w:bCs/>
        </w:rPr>
      </w:pPr>
      <w:r w:rsidRPr="0059191C">
        <w:rPr>
          <w:rFonts w:ascii="Times New Roman" w:hAnsi="Times New Roman" w:cs="Times New Roman"/>
          <w:bCs/>
        </w:rPr>
        <w:t>[2] PJM Interconnection. 2025 Long-Term Load Forecast (2025).</w:t>
      </w:r>
    </w:p>
    <w:p w14:paraId="154F4A8D" w14:textId="48BA88CE" w:rsidR="0059191C" w:rsidRPr="0059191C" w:rsidRDefault="0059191C" w:rsidP="0059191C">
      <w:pPr>
        <w:rPr>
          <w:rFonts w:ascii="Times New Roman" w:hAnsi="Times New Roman" w:cs="Times New Roman"/>
          <w:bCs/>
        </w:rPr>
      </w:pPr>
      <w:r w:rsidRPr="0059191C">
        <w:rPr>
          <w:rFonts w:ascii="Times New Roman" w:hAnsi="Times New Roman" w:cs="Times New Roman"/>
          <w:bCs/>
        </w:rPr>
        <w:t>[3] PJM Interconnection. 2027/2028 Base Residual Auction Report</w:t>
      </w:r>
      <w:r>
        <w:rPr>
          <w:rFonts w:ascii="Times New Roman" w:hAnsi="Times New Roman" w:cs="Times New Roman"/>
          <w:bCs/>
        </w:rPr>
        <w:t xml:space="preserve"> </w:t>
      </w:r>
      <w:r w:rsidRPr="0059191C">
        <w:rPr>
          <w:rFonts w:ascii="Times New Roman" w:hAnsi="Times New Roman" w:cs="Times New Roman"/>
          <w:bCs/>
        </w:rPr>
        <w:t>(2025).</w:t>
      </w:r>
    </w:p>
    <w:p w14:paraId="1DEBCB7E" w14:textId="40F8D5BA" w:rsidR="0059191C" w:rsidRPr="0059191C" w:rsidRDefault="0059191C" w:rsidP="0059191C">
      <w:pPr>
        <w:rPr>
          <w:rFonts w:ascii="Times New Roman" w:hAnsi="Times New Roman" w:cs="Times New Roman"/>
          <w:bCs/>
        </w:rPr>
      </w:pPr>
      <w:r w:rsidRPr="0059191C">
        <w:rPr>
          <w:rFonts w:ascii="Times New Roman" w:hAnsi="Times New Roman" w:cs="Times New Roman"/>
          <w:bCs/>
        </w:rPr>
        <w:t>[4] E3 (Energy + Environmental Economics). 2025 Resource Adequacy</w:t>
      </w:r>
      <w:r>
        <w:rPr>
          <w:rFonts w:ascii="Times New Roman" w:hAnsi="Times New Roman" w:cs="Times New Roman"/>
          <w:bCs/>
        </w:rPr>
        <w:t xml:space="preserve"> </w:t>
      </w:r>
      <w:r w:rsidRPr="0059191C">
        <w:rPr>
          <w:rFonts w:ascii="Times New Roman" w:hAnsi="Times New Roman" w:cs="Times New Roman"/>
          <w:bCs/>
        </w:rPr>
        <w:t>Study for Illinois (2025).</w:t>
      </w:r>
    </w:p>
    <w:p w14:paraId="79EA6ECF" w14:textId="262C54C5" w:rsidR="0059191C" w:rsidRPr="0059191C" w:rsidRDefault="0059191C" w:rsidP="0059191C">
      <w:pPr>
        <w:rPr>
          <w:rFonts w:ascii="Times New Roman" w:hAnsi="Times New Roman" w:cs="Times New Roman"/>
          <w:bCs/>
        </w:rPr>
      </w:pPr>
      <w:r w:rsidRPr="0059191C">
        <w:rPr>
          <w:rFonts w:ascii="Times New Roman" w:hAnsi="Times New Roman" w:cs="Times New Roman"/>
          <w:bCs/>
        </w:rPr>
        <w:t>[5] LBNL. Queued Up: Characteristics of Power Plants Seeking</w:t>
      </w:r>
      <w:r>
        <w:rPr>
          <w:rFonts w:ascii="Times New Roman" w:hAnsi="Times New Roman" w:cs="Times New Roman"/>
          <w:bCs/>
        </w:rPr>
        <w:t xml:space="preserve"> </w:t>
      </w:r>
      <w:r w:rsidRPr="0059191C">
        <w:rPr>
          <w:rFonts w:ascii="Times New Roman" w:hAnsi="Times New Roman" w:cs="Times New Roman"/>
          <w:bCs/>
        </w:rPr>
        <w:t>Transmission Interconnection (2024).</w:t>
      </w:r>
    </w:p>
    <w:p w14:paraId="31A9EF14" w14:textId="1EEC06CE" w:rsidR="0059191C" w:rsidRPr="0059191C" w:rsidRDefault="0059191C" w:rsidP="0059191C">
      <w:pPr>
        <w:rPr>
          <w:rFonts w:ascii="Times New Roman" w:hAnsi="Times New Roman" w:cs="Times New Roman"/>
          <w:bCs/>
        </w:rPr>
      </w:pPr>
      <w:r w:rsidRPr="0059191C">
        <w:rPr>
          <w:rFonts w:ascii="Times New Roman" w:hAnsi="Times New Roman" w:cs="Times New Roman"/>
          <w:bCs/>
        </w:rPr>
        <w:t>[6] NREL. 2024 Annual Technology Baseline.</w:t>
      </w:r>
      <w:r>
        <w:rPr>
          <w:rFonts w:ascii="Times New Roman" w:hAnsi="Times New Roman" w:cs="Times New Roman"/>
          <w:bCs/>
        </w:rPr>
        <w:t xml:space="preserve"> </w:t>
      </w:r>
      <w:r w:rsidRPr="0059191C">
        <w:rPr>
          <w:rFonts w:ascii="Times New Roman" w:hAnsi="Times New Roman" w:cs="Times New Roman"/>
          <w:bCs/>
        </w:rPr>
        <w:t>atb.nrel.gov/electricity/2024.</w:t>
      </w:r>
    </w:p>
    <w:p w14:paraId="5F45957A" w14:textId="763D2D5E" w:rsidR="0059191C" w:rsidRPr="0059191C" w:rsidRDefault="0059191C" w:rsidP="0059191C">
      <w:pPr>
        <w:rPr>
          <w:rFonts w:ascii="Times New Roman" w:hAnsi="Times New Roman" w:cs="Times New Roman"/>
          <w:bCs/>
        </w:rPr>
      </w:pPr>
      <w:r w:rsidRPr="0059191C">
        <w:rPr>
          <w:rFonts w:ascii="Times New Roman" w:hAnsi="Times New Roman" w:cs="Times New Roman"/>
          <w:bCs/>
        </w:rPr>
        <w:t>[7] FERC. Order on Transmission Service for Co-Located Load. 193 FERC</w:t>
      </w:r>
      <w:r>
        <w:rPr>
          <w:rFonts w:ascii="Times New Roman" w:hAnsi="Times New Roman" w:cs="Times New Roman"/>
          <w:bCs/>
        </w:rPr>
        <w:t xml:space="preserve"> </w:t>
      </w:r>
      <w:r w:rsidRPr="0059191C">
        <w:rPr>
          <w:rFonts w:ascii="Times New Roman" w:hAnsi="Times New Roman" w:cs="Times New Roman"/>
          <w:bCs/>
        </w:rPr>
        <w:t>¶ 61,217, Docket Nos. EL25-49-000 et al. (December 18, 2025).</w:t>
      </w:r>
    </w:p>
    <w:p w14:paraId="0B84408A" w14:textId="0849518E" w:rsidR="0059191C" w:rsidRPr="0059191C" w:rsidRDefault="0059191C" w:rsidP="0059191C">
      <w:pPr>
        <w:rPr>
          <w:rFonts w:ascii="Times New Roman" w:hAnsi="Times New Roman" w:cs="Times New Roman"/>
          <w:bCs/>
        </w:rPr>
      </w:pPr>
      <w:r w:rsidRPr="0059191C">
        <w:rPr>
          <w:rFonts w:ascii="Times New Roman" w:hAnsi="Times New Roman" w:cs="Times New Roman"/>
          <w:bCs/>
        </w:rPr>
        <w:lastRenderedPageBreak/>
        <w:t xml:space="preserve">[8] Patel, P. et al. </w:t>
      </w:r>
      <w:proofErr w:type="spellStart"/>
      <w:r w:rsidRPr="0059191C">
        <w:rPr>
          <w:rFonts w:ascii="Times New Roman" w:hAnsi="Times New Roman" w:cs="Times New Roman"/>
          <w:bCs/>
        </w:rPr>
        <w:t>Splitwise</w:t>
      </w:r>
      <w:proofErr w:type="spellEnd"/>
      <w:r w:rsidRPr="0059191C">
        <w:rPr>
          <w:rFonts w:ascii="Times New Roman" w:hAnsi="Times New Roman" w:cs="Times New Roman"/>
          <w:bCs/>
        </w:rPr>
        <w:t>: Efficient generative LLM inference</w:t>
      </w:r>
      <w:r>
        <w:rPr>
          <w:rFonts w:ascii="Times New Roman" w:hAnsi="Times New Roman" w:cs="Times New Roman"/>
          <w:bCs/>
        </w:rPr>
        <w:t xml:space="preserve"> </w:t>
      </w:r>
      <w:r w:rsidRPr="0059191C">
        <w:rPr>
          <w:rFonts w:ascii="Times New Roman" w:hAnsi="Times New Roman" w:cs="Times New Roman"/>
          <w:bCs/>
        </w:rPr>
        <w:t>using phase splitting. ISCA (2024).</w:t>
      </w:r>
    </w:p>
    <w:p w14:paraId="6BACB217" w14:textId="13C796D3" w:rsidR="0059191C" w:rsidRPr="0059191C" w:rsidRDefault="0059191C" w:rsidP="0059191C">
      <w:pPr>
        <w:rPr>
          <w:rFonts w:ascii="Times New Roman" w:hAnsi="Times New Roman" w:cs="Times New Roman"/>
          <w:bCs/>
        </w:rPr>
      </w:pPr>
      <w:r w:rsidRPr="0059191C">
        <w:rPr>
          <w:rFonts w:ascii="Times New Roman" w:hAnsi="Times New Roman" w:cs="Times New Roman"/>
          <w:bCs/>
        </w:rPr>
        <w:t xml:space="preserve">[9] Stojkovic, J. et al. </w:t>
      </w:r>
      <w:proofErr w:type="spellStart"/>
      <w:r w:rsidRPr="0059191C">
        <w:rPr>
          <w:rFonts w:ascii="Times New Roman" w:hAnsi="Times New Roman" w:cs="Times New Roman"/>
          <w:bCs/>
        </w:rPr>
        <w:t>DynamoLLM</w:t>
      </w:r>
      <w:proofErr w:type="spellEnd"/>
      <w:r w:rsidRPr="0059191C">
        <w:rPr>
          <w:rFonts w:ascii="Times New Roman" w:hAnsi="Times New Roman" w:cs="Times New Roman"/>
          <w:bCs/>
        </w:rPr>
        <w:t>: Designing LLM inference clusters</w:t>
      </w:r>
      <w:r>
        <w:rPr>
          <w:rFonts w:ascii="Times New Roman" w:hAnsi="Times New Roman" w:cs="Times New Roman"/>
          <w:bCs/>
        </w:rPr>
        <w:t xml:space="preserve"> </w:t>
      </w:r>
      <w:r w:rsidRPr="0059191C">
        <w:rPr>
          <w:rFonts w:ascii="Times New Roman" w:hAnsi="Times New Roman" w:cs="Times New Roman"/>
          <w:bCs/>
        </w:rPr>
        <w:t>for performance and energy efficiency. arXiv:2408.00741 (2024).</w:t>
      </w:r>
    </w:p>
    <w:p w14:paraId="5B3912E4" w14:textId="5899A15E" w:rsidR="0059191C" w:rsidRPr="0059191C" w:rsidRDefault="0059191C" w:rsidP="0059191C">
      <w:pPr>
        <w:rPr>
          <w:rFonts w:ascii="Times New Roman" w:hAnsi="Times New Roman" w:cs="Times New Roman"/>
          <w:bCs/>
        </w:rPr>
      </w:pPr>
      <w:r w:rsidRPr="0059191C">
        <w:rPr>
          <w:rFonts w:ascii="Times New Roman" w:hAnsi="Times New Roman" w:cs="Times New Roman"/>
          <w:bCs/>
        </w:rPr>
        <w:t xml:space="preserve">[10] Wang, Y. et al. </w:t>
      </w:r>
      <w:proofErr w:type="spellStart"/>
      <w:r w:rsidRPr="0059191C">
        <w:rPr>
          <w:rFonts w:ascii="Times New Roman" w:hAnsi="Times New Roman" w:cs="Times New Roman"/>
          <w:bCs/>
        </w:rPr>
        <w:t>BurstGPT</w:t>
      </w:r>
      <w:proofErr w:type="spellEnd"/>
      <w:r w:rsidRPr="0059191C">
        <w:rPr>
          <w:rFonts w:ascii="Times New Roman" w:hAnsi="Times New Roman" w:cs="Times New Roman"/>
          <w:bCs/>
        </w:rPr>
        <w:t>: A real-world workload dataset for large</w:t>
      </w:r>
      <w:r>
        <w:rPr>
          <w:rFonts w:ascii="Times New Roman" w:hAnsi="Times New Roman" w:cs="Times New Roman"/>
          <w:bCs/>
        </w:rPr>
        <w:t xml:space="preserve"> </w:t>
      </w:r>
      <w:r w:rsidRPr="0059191C">
        <w:rPr>
          <w:rFonts w:ascii="Times New Roman" w:hAnsi="Times New Roman" w:cs="Times New Roman"/>
          <w:bCs/>
        </w:rPr>
        <w:t xml:space="preserve">language models. </w:t>
      </w:r>
      <w:proofErr w:type="spellStart"/>
      <w:r w:rsidRPr="0059191C">
        <w:rPr>
          <w:rFonts w:ascii="Times New Roman" w:hAnsi="Times New Roman" w:cs="Times New Roman"/>
          <w:bCs/>
        </w:rPr>
        <w:t>arXiv</w:t>
      </w:r>
      <w:proofErr w:type="spellEnd"/>
      <w:r w:rsidRPr="0059191C">
        <w:rPr>
          <w:rFonts w:ascii="Times New Roman" w:hAnsi="Times New Roman" w:cs="Times New Roman"/>
          <w:bCs/>
        </w:rPr>
        <w:t xml:space="preserve"> (2024).</w:t>
      </w:r>
    </w:p>
    <w:p w14:paraId="37969C74" w14:textId="1119DEC1" w:rsidR="0059191C" w:rsidRPr="0059191C" w:rsidRDefault="0059191C" w:rsidP="0059191C">
      <w:pPr>
        <w:rPr>
          <w:rFonts w:ascii="Times New Roman" w:hAnsi="Times New Roman" w:cs="Times New Roman"/>
          <w:bCs/>
        </w:rPr>
      </w:pPr>
      <w:r w:rsidRPr="0059191C">
        <w:rPr>
          <w:rFonts w:ascii="Times New Roman" w:hAnsi="Times New Roman" w:cs="Times New Roman"/>
          <w:bCs/>
        </w:rPr>
        <w:t>[11] Deloitte. Technology, Media and Telecommunications Predictions</w:t>
      </w:r>
      <w:r>
        <w:rPr>
          <w:rFonts w:ascii="Times New Roman" w:hAnsi="Times New Roman" w:cs="Times New Roman"/>
          <w:bCs/>
        </w:rPr>
        <w:t xml:space="preserve"> </w:t>
      </w:r>
      <w:r w:rsidRPr="0059191C">
        <w:rPr>
          <w:rFonts w:ascii="Times New Roman" w:hAnsi="Times New Roman" w:cs="Times New Roman"/>
          <w:bCs/>
        </w:rPr>
        <w:t>2025 (November 2025).</w:t>
      </w:r>
    </w:p>
    <w:p w14:paraId="27FCF000" w14:textId="51282B79" w:rsidR="0059191C" w:rsidRPr="0059191C" w:rsidRDefault="0059191C" w:rsidP="0059191C">
      <w:pPr>
        <w:rPr>
          <w:rFonts w:ascii="Times New Roman" w:hAnsi="Times New Roman" w:cs="Times New Roman"/>
          <w:bCs/>
        </w:rPr>
      </w:pPr>
      <w:r w:rsidRPr="0059191C">
        <w:rPr>
          <w:rFonts w:ascii="Times New Roman" w:hAnsi="Times New Roman" w:cs="Times New Roman"/>
          <w:bCs/>
        </w:rPr>
        <w:t>[12] McKinsey &amp; Company. Investing in the rising data center economy</w:t>
      </w:r>
      <w:r>
        <w:rPr>
          <w:rFonts w:ascii="Times New Roman" w:hAnsi="Times New Roman" w:cs="Times New Roman"/>
          <w:bCs/>
        </w:rPr>
        <w:t xml:space="preserve"> </w:t>
      </w:r>
      <w:r w:rsidRPr="0059191C">
        <w:rPr>
          <w:rFonts w:ascii="Times New Roman" w:hAnsi="Times New Roman" w:cs="Times New Roman"/>
          <w:bCs/>
        </w:rPr>
        <w:t>(January 2025).</w:t>
      </w:r>
    </w:p>
    <w:p w14:paraId="2D8FEC05" w14:textId="77777777" w:rsidR="0059191C" w:rsidRPr="0059191C" w:rsidRDefault="0059191C" w:rsidP="0059191C">
      <w:pPr>
        <w:rPr>
          <w:rFonts w:ascii="Times New Roman" w:hAnsi="Times New Roman" w:cs="Times New Roman"/>
          <w:bCs/>
        </w:rPr>
      </w:pPr>
      <w:r w:rsidRPr="0059191C">
        <w:rPr>
          <w:rFonts w:ascii="Times New Roman" w:hAnsi="Times New Roman" w:cs="Times New Roman"/>
          <w:bCs/>
        </w:rPr>
        <w:t>[Full bibliography to be compiled for submission]</w:t>
      </w:r>
    </w:p>
    <w:p w14:paraId="7B999416" w14:textId="77777777" w:rsidR="002922E6" w:rsidRPr="002922E6" w:rsidRDefault="002922E6" w:rsidP="00F064BF">
      <w:pPr>
        <w:rPr>
          <w:rFonts w:ascii="Times New Roman" w:hAnsi="Times New Roman" w:cs="Times New Roman"/>
          <w:bCs/>
        </w:rPr>
      </w:pPr>
    </w:p>
    <w:sectPr w:rsidR="002922E6" w:rsidRPr="002922E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Dunlap" w:date="2026-04-12T13:47:00Z" w:initials="CD">
    <w:p w14:paraId="7839F28A" w14:textId="77777777" w:rsidR="00EA5CD3" w:rsidRDefault="00EA5CD3" w:rsidP="00EA5CD3">
      <w:pPr>
        <w:pStyle w:val="CommentText"/>
      </w:pPr>
      <w:r>
        <w:rPr>
          <w:rStyle w:val="CommentReference"/>
        </w:rPr>
        <w:annotationRef/>
      </w:r>
      <w:r>
        <w:t>Confirm this is for either DVFS + Spatial or just spatial alone from modeling.</w:t>
      </w:r>
      <w:r>
        <w:br/>
      </w:r>
      <w:r>
        <w:br/>
        <w:t xml:space="preserve">Also not sure on the final wording there at the end re system planners...not sure that’s the right message im targeting. </w:t>
      </w:r>
    </w:p>
  </w:comment>
  <w:comment w:id="1" w:author="Chris Dunlap" w:date="2026-04-12T22:05:00Z" w:initials="CD">
    <w:p w14:paraId="6030FF70" w14:textId="77777777" w:rsidR="00FD0C38" w:rsidRDefault="00FD0C38" w:rsidP="00FD0C38">
      <w:pPr>
        <w:pStyle w:val="CommentText"/>
      </w:pPr>
      <w:r>
        <w:rPr>
          <w:rStyle w:val="CommentReference"/>
        </w:rPr>
        <w:annotationRef/>
      </w:r>
      <w:r>
        <w:t>Perhaps this is where I go beyond US grid (quebec, iceland, uk…)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9F28A" w15:done="0"/>
  <w15:commentEx w15:paraId="6030FF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C765E6" w16cex:dateUtc="2026-04-12T18:47:00Z"/>
  <w16cex:commentExtensible w16cex:durableId="54EA2E74" w16cex:dateUtc="2026-04-13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9F28A" w16cid:durableId="3FC765E6"/>
  <w16cid:commentId w16cid:paraId="6030FF70" w16cid:durableId="54EA2E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Dunlap">
    <w15:presenceInfo w15:providerId="Windows Live" w15:userId="0dc6f7b3958448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F55"/>
    <w:rsid w:val="0000391D"/>
    <w:rsid w:val="00014BBD"/>
    <w:rsid w:val="00043407"/>
    <w:rsid w:val="00067E98"/>
    <w:rsid w:val="00072704"/>
    <w:rsid w:val="00077F24"/>
    <w:rsid w:val="000A4B3E"/>
    <w:rsid w:val="000D0FB5"/>
    <w:rsid w:val="000D5784"/>
    <w:rsid w:val="000E571A"/>
    <w:rsid w:val="00114243"/>
    <w:rsid w:val="00154604"/>
    <w:rsid w:val="0016253B"/>
    <w:rsid w:val="0017672D"/>
    <w:rsid w:val="00176CEF"/>
    <w:rsid w:val="001A63E5"/>
    <w:rsid w:val="001A724F"/>
    <w:rsid w:val="001D5418"/>
    <w:rsid w:val="00214197"/>
    <w:rsid w:val="00245018"/>
    <w:rsid w:val="00271730"/>
    <w:rsid w:val="00282261"/>
    <w:rsid w:val="002922E6"/>
    <w:rsid w:val="002A6001"/>
    <w:rsid w:val="002C3C12"/>
    <w:rsid w:val="002D0120"/>
    <w:rsid w:val="002D6082"/>
    <w:rsid w:val="003229E9"/>
    <w:rsid w:val="00331948"/>
    <w:rsid w:val="00336B79"/>
    <w:rsid w:val="003504ED"/>
    <w:rsid w:val="00353DA9"/>
    <w:rsid w:val="00377EDD"/>
    <w:rsid w:val="00394EB6"/>
    <w:rsid w:val="0039630A"/>
    <w:rsid w:val="003A0B79"/>
    <w:rsid w:val="003E7288"/>
    <w:rsid w:val="00400DD3"/>
    <w:rsid w:val="00453346"/>
    <w:rsid w:val="0046133D"/>
    <w:rsid w:val="00466263"/>
    <w:rsid w:val="00490749"/>
    <w:rsid w:val="004A3755"/>
    <w:rsid w:val="004B3CD7"/>
    <w:rsid w:val="004E632D"/>
    <w:rsid w:val="00521721"/>
    <w:rsid w:val="0053767D"/>
    <w:rsid w:val="00543DE5"/>
    <w:rsid w:val="00550511"/>
    <w:rsid w:val="0056751C"/>
    <w:rsid w:val="0059191C"/>
    <w:rsid w:val="005B5E60"/>
    <w:rsid w:val="005E0C54"/>
    <w:rsid w:val="005E3031"/>
    <w:rsid w:val="00617EC8"/>
    <w:rsid w:val="0065765A"/>
    <w:rsid w:val="00671E85"/>
    <w:rsid w:val="006770F3"/>
    <w:rsid w:val="006A1A7E"/>
    <w:rsid w:val="006A352F"/>
    <w:rsid w:val="006B3A4F"/>
    <w:rsid w:val="00722127"/>
    <w:rsid w:val="00726741"/>
    <w:rsid w:val="007268E3"/>
    <w:rsid w:val="00774BA4"/>
    <w:rsid w:val="007A40F0"/>
    <w:rsid w:val="007B267C"/>
    <w:rsid w:val="007C4983"/>
    <w:rsid w:val="007D5039"/>
    <w:rsid w:val="00834DC6"/>
    <w:rsid w:val="00842381"/>
    <w:rsid w:val="00844AD3"/>
    <w:rsid w:val="00847A3F"/>
    <w:rsid w:val="00857CE5"/>
    <w:rsid w:val="00865B15"/>
    <w:rsid w:val="008E3CF7"/>
    <w:rsid w:val="008F69CF"/>
    <w:rsid w:val="00903655"/>
    <w:rsid w:val="0091318F"/>
    <w:rsid w:val="009614D5"/>
    <w:rsid w:val="00962C35"/>
    <w:rsid w:val="0098133A"/>
    <w:rsid w:val="00982135"/>
    <w:rsid w:val="00991460"/>
    <w:rsid w:val="00A115E6"/>
    <w:rsid w:val="00A416F7"/>
    <w:rsid w:val="00A8073C"/>
    <w:rsid w:val="00AB44AF"/>
    <w:rsid w:val="00AB73BB"/>
    <w:rsid w:val="00AF38B5"/>
    <w:rsid w:val="00AF7413"/>
    <w:rsid w:val="00B11586"/>
    <w:rsid w:val="00B117B8"/>
    <w:rsid w:val="00B31367"/>
    <w:rsid w:val="00B362F2"/>
    <w:rsid w:val="00B514A5"/>
    <w:rsid w:val="00B94883"/>
    <w:rsid w:val="00BC4F32"/>
    <w:rsid w:val="00BC6144"/>
    <w:rsid w:val="00BE4AEC"/>
    <w:rsid w:val="00BF52C2"/>
    <w:rsid w:val="00C068FA"/>
    <w:rsid w:val="00C12FA3"/>
    <w:rsid w:val="00C20F55"/>
    <w:rsid w:val="00C70DE3"/>
    <w:rsid w:val="00C8000E"/>
    <w:rsid w:val="00CC6AA9"/>
    <w:rsid w:val="00CD3D79"/>
    <w:rsid w:val="00D0534F"/>
    <w:rsid w:val="00D628A4"/>
    <w:rsid w:val="00D81F26"/>
    <w:rsid w:val="00D92FFA"/>
    <w:rsid w:val="00DA7ED3"/>
    <w:rsid w:val="00DC56F4"/>
    <w:rsid w:val="00DE288D"/>
    <w:rsid w:val="00E55B00"/>
    <w:rsid w:val="00E7538B"/>
    <w:rsid w:val="00EA3AD5"/>
    <w:rsid w:val="00EA5CD3"/>
    <w:rsid w:val="00ED5494"/>
    <w:rsid w:val="00F064BF"/>
    <w:rsid w:val="00F57EBF"/>
    <w:rsid w:val="00FA4A59"/>
    <w:rsid w:val="00FB45F0"/>
    <w:rsid w:val="00FD0C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7F3C"/>
  <w15:chartTrackingRefBased/>
  <w15:docId w15:val="{BE1A4AE0-16F1-4851-B0D6-559502A4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F55"/>
    <w:rPr>
      <w:rFonts w:eastAsiaTheme="majorEastAsia" w:cstheme="majorBidi"/>
      <w:color w:val="272727" w:themeColor="text1" w:themeTint="D8"/>
    </w:rPr>
  </w:style>
  <w:style w:type="paragraph" w:styleId="Title">
    <w:name w:val="Title"/>
    <w:basedOn w:val="Normal"/>
    <w:next w:val="Normal"/>
    <w:link w:val="TitleChar"/>
    <w:uiPriority w:val="10"/>
    <w:qFormat/>
    <w:rsid w:val="00C20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F55"/>
    <w:pPr>
      <w:spacing w:before="160"/>
      <w:jc w:val="center"/>
    </w:pPr>
    <w:rPr>
      <w:i/>
      <w:iCs/>
      <w:color w:val="404040" w:themeColor="text1" w:themeTint="BF"/>
    </w:rPr>
  </w:style>
  <w:style w:type="character" w:customStyle="1" w:styleId="QuoteChar">
    <w:name w:val="Quote Char"/>
    <w:basedOn w:val="DefaultParagraphFont"/>
    <w:link w:val="Quote"/>
    <w:uiPriority w:val="29"/>
    <w:rsid w:val="00C20F55"/>
    <w:rPr>
      <w:i/>
      <w:iCs/>
      <w:color w:val="404040" w:themeColor="text1" w:themeTint="BF"/>
    </w:rPr>
  </w:style>
  <w:style w:type="paragraph" w:styleId="ListParagraph">
    <w:name w:val="List Paragraph"/>
    <w:basedOn w:val="Normal"/>
    <w:uiPriority w:val="34"/>
    <w:qFormat/>
    <w:rsid w:val="00C20F55"/>
    <w:pPr>
      <w:ind w:left="720"/>
      <w:contextualSpacing/>
    </w:pPr>
  </w:style>
  <w:style w:type="character" w:styleId="IntenseEmphasis">
    <w:name w:val="Intense Emphasis"/>
    <w:basedOn w:val="DefaultParagraphFont"/>
    <w:uiPriority w:val="21"/>
    <w:qFormat/>
    <w:rsid w:val="00C20F55"/>
    <w:rPr>
      <w:i/>
      <w:iCs/>
      <w:color w:val="0F4761" w:themeColor="accent1" w:themeShade="BF"/>
    </w:rPr>
  </w:style>
  <w:style w:type="paragraph" w:styleId="IntenseQuote">
    <w:name w:val="Intense Quote"/>
    <w:basedOn w:val="Normal"/>
    <w:next w:val="Normal"/>
    <w:link w:val="IntenseQuoteChar"/>
    <w:uiPriority w:val="30"/>
    <w:qFormat/>
    <w:rsid w:val="00C20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F55"/>
    <w:rPr>
      <w:i/>
      <w:iCs/>
      <w:color w:val="0F4761" w:themeColor="accent1" w:themeShade="BF"/>
    </w:rPr>
  </w:style>
  <w:style w:type="character" w:styleId="IntenseReference">
    <w:name w:val="Intense Reference"/>
    <w:basedOn w:val="DefaultParagraphFont"/>
    <w:uiPriority w:val="32"/>
    <w:qFormat/>
    <w:rsid w:val="00C20F55"/>
    <w:rPr>
      <w:b/>
      <w:bCs/>
      <w:smallCaps/>
      <w:color w:val="0F4761" w:themeColor="accent1" w:themeShade="BF"/>
      <w:spacing w:val="5"/>
    </w:rPr>
  </w:style>
  <w:style w:type="character" w:styleId="CommentReference">
    <w:name w:val="annotation reference"/>
    <w:basedOn w:val="DefaultParagraphFont"/>
    <w:uiPriority w:val="99"/>
    <w:semiHidden/>
    <w:unhideWhenUsed/>
    <w:rsid w:val="00EA5CD3"/>
    <w:rPr>
      <w:sz w:val="16"/>
      <w:szCs w:val="16"/>
    </w:rPr>
  </w:style>
  <w:style w:type="paragraph" w:styleId="CommentText">
    <w:name w:val="annotation text"/>
    <w:basedOn w:val="Normal"/>
    <w:link w:val="CommentTextChar"/>
    <w:uiPriority w:val="99"/>
    <w:unhideWhenUsed/>
    <w:rsid w:val="00EA5CD3"/>
    <w:pPr>
      <w:spacing w:line="240" w:lineRule="auto"/>
    </w:pPr>
    <w:rPr>
      <w:sz w:val="20"/>
      <w:szCs w:val="20"/>
    </w:rPr>
  </w:style>
  <w:style w:type="character" w:customStyle="1" w:styleId="CommentTextChar">
    <w:name w:val="Comment Text Char"/>
    <w:basedOn w:val="DefaultParagraphFont"/>
    <w:link w:val="CommentText"/>
    <w:uiPriority w:val="99"/>
    <w:rsid w:val="00EA5CD3"/>
    <w:rPr>
      <w:sz w:val="20"/>
      <w:szCs w:val="20"/>
    </w:rPr>
  </w:style>
  <w:style w:type="paragraph" w:styleId="CommentSubject">
    <w:name w:val="annotation subject"/>
    <w:basedOn w:val="CommentText"/>
    <w:next w:val="CommentText"/>
    <w:link w:val="CommentSubjectChar"/>
    <w:uiPriority w:val="99"/>
    <w:semiHidden/>
    <w:unhideWhenUsed/>
    <w:rsid w:val="00EA5CD3"/>
    <w:rPr>
      <w:b/>
      <w:bCs/>
    </w:rPr>
  </w:style>
  <w:style w:type="character" w:customStyle="1" w:styleId="CommentSubjectChar">
    <w:name w:val="Comment Subject Char"/>
    <w:basedOn w:val="CommentTextChar"/>
    <w:link w:val="CommentSubject"/>
    <w:uiPriority w:val="99"/>
    <w:semiHidden/>
    <w:rsid w:val="00EA5CD3"/>
    <w:rPr>
      <w:b/>
      <w:bCs/>
      <w:sz w:val="20"/>
      <w:szCs w:val="20"/>
    </w:rPr>
  </w:style>
  <w:style w:type="character" w:styleId="PlaceholderText">
    <w:name w:val="Placeholder Text"/>
    <w:basedOn w:val="DefaultParagraphFont"/>
    <w:uiPriority w:val="99"/>
    <w:semiHidden/>
    <w:rsid w:val="00AF74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43E-C6B2-4978-9DEF-FEDE739EA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12</Pages>
  <Words>4915</Words>
  <Characters>30529</Characters>
  <Application>Microsoft Office Word</Application>
  <DocSecurity>0</DocSecurity>
  <Lines>418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Dunlap</dc:creator>
  <cp:keywords/>
  <dc:description/>
  <cp:lastModifiedBy>Chris Dunlap</cp:lastModifiedBy>
  <cp:revision>107</cp:revision>
  <cp:lastPrinted>2026-04-13T15:49:00Z</cp:lastPrinted>
  <dcterms:created xsi:type="dcterms:W3CDTF">2026-04-12T17:49:00Z</dcterms:created>
  <dcterms:modified xsi:type="dcterms:W3CDTF">2026-04-14T16:24:00Z</dcterms:modified>
</cp:coreProperties>
</file>