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7B09" w14:textId="4AC4E1FE" w:rsidR="00257069" w:rsidRPr="00257069" w:rsidRDefault="00257069">
      <w:pPr>
        <w:rPr>
          <w:rFonts w:ascii="Times New Roman" w:hAnsi="Times New Roman" w:cs="Times New Roman"/>
          <w:b/>
          <w:sz w:val="32"/>
          <w:szCs w:val="32"/>
        </w:rPr>
      </w:pPr>
      <w:r w:rsidRPr="00257069">
        <w:rPr>
          <w:rFonts w:ascii="Times New Roman" w:hAnsi="Times New Roman" w:cs="Times New Roman"/>
          <w:b/>
          <w:sz w:val="32"/>
          <w:szCs w:val="32"/>
        </w:rPr>
        <w:t>Quantifying AI data center flexibility as a resource adequacy asset</w:t>
      </w:r>
      <w:r>
        <w:rPr>
          <w:rFonts w:ascii="Times New Roman" w:hAnsi="Times New Roman" w:cs="Times New Roman"/>
          <w:b/>
          <w:sz w:val="32"/>
          <w:szCs w:val="32"/>
        </w:rPr>
        <w:br/>
      </w:r>
      <w:r w:rsidRPr="00257069">
        <w:rPr>
          <w:rFonts w:ascii="Times New Roman" w:hAnsi="Times New Roman" w:cs="Times New Roman"/>
          <w:bCs/>
          <w:sz w:val="20"/>
          <w:szCs w:val="20"/>
        </w:rPr>
        <w:t>Chris Dunlap</w:t>
      </w:r>
    </w:p>
    <w:p w14:paraId="2E713835" w14:textId="2ED4D704" w:rsidR="00014BBD" w:rsidRDefault="00C20F55">
      <w:pPr>
        <w:rPr>
          <w:rFonts w:ascii="Times New Roman" w:hAnsi="Times New Roman" w:cs="Times New Roman"/>
          <w:b/>
          <w:sz w:val="32"/>
          <w:szCs w:val="32"/>
        </w:rPr>
      </w:pPr>
      <w:r w:rsidRPr="00257069">
        <w:rPr>
          <w:rFonts w:ascii="Times New Roman" w:hAnsi="Times New Roman" w:cs="Times New Roman"/>
          <w:b/>
          <w:sz w:val="28"/>
          <w:szCs w:val="28"/>
        </w:rPr>
        <w:t>Abstract</w:t>
      </w:r>
    </w:p>
    <w:p w14:paraId="71FA80AD" w14:textId="2A187C16" w:rsidR="00BC30CF" w:rsidRDefault="00AE5C56" w:rsidP="001D6E1E">
      <w:pPr>
        <w:pBdr>
          <w:bottom w:val="single" w:sz="12" w:space="1" w:color="auto"/>
        </w:pBdr>
        <w:rPr>
          <w:rFonts w:ascii="Times New Roman" w:hAnsi="Times New Roman" w:cs="Times New Roman"/>
          <w:bCs/>
        </w:rPr>
      </w:pPr>
      <w:r w:rsidRPr="00AE5C56">
        <w:rPr>
          <w:rFonts w:ascii="Times New Roman" w:hAnsi="Times New Roman" w:cs="Times New Roman"/>
          <w:bCs/>
        </w:rPr>
        <w:t xml:space="preserve">AI data centers are entering U.S. resource adequacy planning as inflexible firm load, a treatment that drives capacity procurement requirements </w:t>
      </w:r>
      <w:r w:rsidR="00851C78">
        <w:rPr>
          <w:rFonts w:ascii="Times New Roman" w:hAnsi="Times New Roman" w:cs="Times New Roman"/>
          <w:bCs/>
        </w:rPr>
        <w:t xml:space="preserve">to </w:t>
      </w:r>
      <w:r w:rsidRPr="00AE5C56">
        <w:rPr>
          <w:rFonts w:ascii="Times New Roman" w:hAnsi="Times New Roman" w:cs="Times New Roman"/>
          <w:bCs/>
        </w:rPr>
        <w:t xml:space="preserve">exceed what the interconnection queue can deliver. We develop an eleven-parameter framework </w:t>
      </w:r>
      <w:r w:rsidR="00851C78" w:rsidRPr="00AE5C56">
        <w:rPr>
          <w:rFonts w:ascii="Times New Roman" w:hAnsi="Times New Roman" w:cs="Times New Roman"/>
          <w:bCs/>
        </w:rPr>
        <w:t>along three operational axes</w:t>
      </w:r>
      <w:r w:rsidR="00851C78">
        <w:rPr>
          <w:rFonts w:ascii="Times New Roman" w:hAnsi="Times New Roman" w:cs="Times New Roman"/>
          <w:bCs/>
        </w:rPr>
        <w:t>:</w:t>
      </w:r>
      <w:r w:rsidR="00851C78" w:rsidRPr="00AE5C56">
        <w:rPr>
          <w:rFonts w:ascii="Times New Roman" w:hAnsi="Times New Roman" w:cs="Times New Roman"/>
          <w:bCs/>
        </w:rPr>
        <w:t xml:space="preserve"> spatial migration across grid regions, temporal deferral of non-interactive workloads, and dynamic voltage-frequency scaling</w:t>
      </w:r>
      <w:r w:rsidR="00851C78">
        <w:rPr>
          <w:rFonts w:ascii="Times New Roman" w:hAnsi="Times New Roman" w:cs="Times New Roman"/>
          <w:bCs/>
        </w:rPr>
        <w:t>,</w:t>
      </w:r>
      <w:r w:rsidR="00851C78" w:rsidRPr="00AE5C56">
        <w:rPr>
          <w:rFonts w:ascii="Times New Roman" w:hAnsi="Times New Roman" w:cs="Times New Roman"/>
          <w:bCs/>
        </w:rPr>
        <w:t xml:space="preserve"> </w:t>
      </w:r>
      <w:r w:rsidRPr="00AE5C56">
        <w:rPr>
          <w:rFonts w:ascii="Times New Roman" w:hAnsi="Times New Roman" w:cs="Times New Roman"/>
          <w:bCs/>
        </w:rPr>
        <w:t>that quantifies AI inference flexibility</w:t>
      </w:r>
      <w:r w:rsidR="00851C78">
        <w:rPr>
          <w:rFonts w:ascii="Times New Roman" w:hAnsi="Times New Roman" w:cs="Times New Roman"/>
          <w:bCs/>
        </w:rPr>
        <w:t xml:space="preserve"> </w:t>
      </w:r>
      <w:r w:rsidR="00851C78" w:rsidRPr="00AE5C56">
        <w:rPr>
          <w:rFonts w:ascii="Times New Roman" w:hAnsi="Times New Roman" w:cs="Times New Roman"/>
          <w:bCs/>
        </w:rPr>
        <w:t>in the capacity-accreditation terms that resource adequacy planning requires</w:t>
      </w:r>
      <w:r w:rsidR="00851C78">
        <w:rPr>
          <w:rFonts w:ascii="Times New Roman" w:hAnsi="Times New Roman" w:cs="Times New Roman"/>
          <w:bCs/>
        </w:rPr>
        <w:t>.</w:t>
      </w:r>
      <w:r w:rsidRPr="00AE5C56">
        <w:rPr>
          <w:rFonts w:ascii="Times New Roman" w:hAnsi="Times New Roman" w:cs="Times New Roman"/>
          <w:bCs/>
        </w:rPr>
        <w:t xml:space="preserve"> Calibrated against four years of day-ahead pricing across five U.S. grid regions and 49.4 million production inference requests, the framework yields commitment depths of 24.6% for mixed-use facilities and 40.0% for inference-dominant facilities at single-facility scale, declining only modestly to 24.1% and 38.5% at 10-GW fleet scale because deferral and DVFS contribute additively across mechanism saturation. </w:t>
      </w:r>
      <w:r w:rsidR="00851C78">
        <w:rPr>
          <w:rFonts w:ascii="Times New Roman" w:hAnsi="Times New Roman" w:cs="Times New Roman"/>
          <w:bCs/>
        </w:rPr>
        <w:t>We further show that t</w:t>
      </w:r>
      <w:r w:rsidRPr="00AE5C56">
        <w:rPr>
          <w:rFonts w:ascii="Times New Roman" w:hAnsi="Times New Roman" w:cs="Times New Roman"/>
          <w:bCs/>
        </w:rPr>
        <w:t xml:space="preserve">he dominant remaining uncertainties </w:t>
      </w:r>
      <w:r w:rsidR="00851C78">
        <w:rPr>
          <w:rFonts w:ascii="Times New Roman" w:hAnsi="Times New Roman" w:cs="Times New Roman"/>
          <w:bCs/>
        </w:rPr>
        <w:t>of</w:t>
      </w:r>
      <w:r w:rsidRPr="00AE5C56">
        <w:rPr>
          <w:rFonts w:ascii="Times New Roman" w:hAnsi="Times New Roman" w:cs="Times New Roman"/>
          <w:bCs/>
        </w:rPr>
        <w:t xml:space="preserve"> destination utilization, contractual workload pinning, and post-stress recovery coordination are institutional rather than physical.</w:t>
      </w:r>
      <w:r w:rsidR="001C0C7F">
        <w:rPr>
          <w:rFonts w:ascii="Times New Roman" w:hAnsi="Times New Roman" w:cs="Times New Roman"/>
          <w:bCs/>
        </w:rPr>
        <w:t xml:space="preserve"> </w:t>
      </w:r>
    </w:p>
    <w:p w14:paraId="73E0D44C" w14:textId="77777777" w:rsidR="00851C78" w:rsidRPr="001D6E1E" w:rsidRDefault="00851C78" w:rsidP="001D6E1E">
      <w:pPr>
        <w:pBdr>
          <w:bottom w:val="single" w:sz="12" w:space="1" w:color="auto"/>
        </w:pBdr>
        <w:rPr>
          <w:rFonts w:ascii="Times New Roman" w:hAnsi="Times New Roman" w:cs="Times New Roman"/>
          <w:bCs/>
        </w:rPr>
      </w:pPr>
    </w:p>
    <w:p w14:paraId="2A8E9C19" w14:textId="5DBCF558" w:rsidR="00F125CC" w:rsidRDefault="001D6E1E" w:rsidP="001D6E1E">
      <w:pPr>
        <w:rPr>
          <w:rFonts w:ascii="Times New Roman" w:hAnsi="Times New Roman" w:cs="Times New Roman"/>
          <w:bCs/>
        </w:rPr>
      </w:pPr>
      <w:r w:rsidRPr="001D6E1E">
        <w:rPr>
          <w:rFonts w:ascii="Times New Roman" w:hAnsi="Times New Roman" w:cs="Times New Roman"/>
          <w:bCs/>
        </w:rPr>
        <w:t>In PJM Interconnection, the 2027/2028 capacity auction fell 6.6 GW short of the reliability requirement</w:t>
      </w:r>
      <w:r w:rsidR="00D8254E">
        <w:rPr>
          <w:rFonts w:ascii="Times New Roman" w:hAnsi="Times New Roman" w:cs="Times New Roman"/>
          <w:bCs/>
        </w:rPr>
        <w:t>.</w:t>
      </w:r>
      <w:r w:rsidR="00633130">
        <w:rPr>
          <w:rFonts w:ascii="Times New Roman" w:hAnsi="Times New Roman" w:cs="Times New Roman"/>
          <w:bCs/>
        </w:rPr>
        <w:t>[1]</w:t>
      </w:r>
      <w:r w:rsidR="00D8254E">
        <w:rPr>
          <w:rFonts w:ascii="Times New Roman" w:hAnsi="Times New Roman" w:cs="Times New Roman"/>
          <w:bCs/>
        </w:rPr>
        <w:t xml:space="preserve"> L</w:t>
      </w:r>
      <w:r w:rsidRPr="001D6E1E">
        <w:rPr>
          <w:rFonts w:ascii="Times New Roman" w:hAnsi="Times New Roman" w:cs="Times New Roman"/>
          <w:bCs/>
        </w:rPr>
        <w:t>arge load adjustments</w:t>
      </w:r>
      <w:r w:rsidR="004309E8">
        <w:rPr>
          <w:rFonts w:ascii="Times New Roman" w:hAnsi="Times New Roman" w:cs="Times New Roman"/>
          <w:bCs/>
        </w:rPr>
        <w:t>,</w:t>
      </w:r>
      <w:r w:rsidRPr="001D6E1E">
        <w:rPr>
          <w:rFonts w:ascii="Times New Roman" w:hAnsi="Times New Roman" w:cs="Times New Roman"/>
          <w:bCs/>
        </w:rPr>
        <w:t xml:space="preserve"> predominantly for data centers</w:t>
      </w:r>
      <w:r w:rsidR="00D8254E">
        <w:rPr>
          <w:rFonts w:ascii="Times New Roman" w:hAnsi="Times New Roman" w:cs="Times New Roman"/>
          <w:bCs/>
        </w:rPr>
        <w:t>,</w:t>
      </w:r>
      <w:r w:rsidRPr="001D6E1E">
        <w:rPr>
          <w:rFonts w:ascii="Times New Roman" w:hAnsi="Times New Roman" w:cs="Times New Roman"/>
          <w:bCs/>
        </w:rPr>
        <w:t xml:space="preserve"> total 33.7 GW by 2030 in PJM's 2026 Long-Term Load Forecast and account for effectively all net peak demand growth.</w:t>
      </w:r>
      <w:r w:rsidR="00633130">
        <w:rPr>
          <w:rFonts w:ascii="Times New Roman" w:hAnsi="Times New Roman" w:cs="Times New Roman"/>
          <w:bCs/>
        </w:rPr>
        <w:t>[2]</w:t>
      </w:r>
      <w:r w:rsidRPr="001D6E1E">
        <w:rPr>
          <w:rFonts w:ascii="Times New Roman" w:hAnsi="Times New Roman" w:cs="Times New Roman"/>
          <w:bCs/>
        </w:rPr>
        <w:t xml:space="preserve"> </w:t>
      </w:r>
      <w:r w:rsidR="00851C78">
        <w:rPr>
          <w:rFonts w:ascii="Times New Roman" w:hAnsi="Times New Roman" w:cs="Times New Roman"/>
          <w:bCs/>
        </w:rPr>
        <w:t>Meanwhile, g</w:t>
      </w:r>
      <w:r w:rsidRPr="001D6E1E">
        <w:rPr>
          <w:rFonts w:ascii="Times New Roman" w:hAnsi="Times New Roman" w:cs="Times New Roman"/>
          <w:bCs/>
        </w:rPr>
        <w:t xml:space="preserve">eneration and storage projects </w:t>
      </w:r>
      <w:r w:rsidR="00727734">
        <w:rPr>
          <w:rFonts w:ascii="Times New Roman" w:hAnsi="Times New Roman" w:cs="Times New Roman"/>
          <w:bCs/>
        </w:rPr>
        <w:t>have</w:t>
      </w:r>
      <w:r w:rsidRPr="001D6E1E">
        <w:rPr>
          <w:rFonts w:ascii="Times New Roman" w:hAnsi="Times New Roman" w:cs="Times New Roman"/>
          <w:bCs/>
        </w:rPr>
        <w:t xml:space="preserve"> median completion timelines exceeding five years, with only 13% reaching commercial operation</w:t>
      </w:r>
      <w:r w:rsidR="00633130">
        <w:rPr>
          <w:rFonts w:ascii="Times New Roman" w:hAnsi="Times New Roman" w:cs="Times New Roman"/>
          <w:bCs/>
        </w:rPr>
        <w:t>[3]</w:t>
      </w:r>
      <w:r w:rsidRPr="001D6E1E">
        <w:rPr>
          <w:rFonts w:ascii="Times New Roman" w:hAnsi="Times New Roman" w:cs="Times New Roman"/>
          <w:bCs/>
        </w:rPr>
        <w:t>, and permitting and equipment supply</w:t>
      </w:r>
      <w:r w:rsidR="00C20B6C">
        <w:rPr>
          <w:rFonts w:ascii="Times New Roman" w:hAnsi="Times New Roman" w:cs="Times New Roman"/>
          <w:bCs/>
        </w:rPr>
        <w:t>-chain bottlenecks</w:t>
      </w:r>
      <w:r w:rsidRPr="001D6E1E">
        <w:rPr>
          <w:rFonts w:ascii="Times New Roman" w:hAnsi="Times New Roman" w:cs="Times New Roman"/>
          <w:bCs/>
        </w:rPr>
        <w:t xml:space="preserve"> cannot be compressed by capital alone. </w:t>
      </w:r>
    </w:p>
    <w:p w14:paraId="131E9D02" w14:textId="0E824950" w:rsidR="00F125CC" w:rsidRDefault="00F125CC" w:rsidP="001D6E1E">
      <w:pPr>
        <w:rPr>
          <w:rFonts w:ascii="Times New Roman" w:hAnsi="Times New Roman" w:cs="Times New Roman"/>
          <w:bCs/>
        </w:rPr>
      </w:pPr>
      <w:r w:rsidRPr="001D6E1E">
        <w:rPr>
          <w:rFonts w:ascii="Times New Roman" w:hAnsi="Times New Roman" w:cs="Times New Roman"/>
          <w:bCs/>
        </w:rPr>
        <w:t xml:space="preserve">Resource adequacy planning </w:t>
      </w:r>
      <w:r>
        <w:rPr>
          <w:rFonts w:ascii="Times New Roman" w:hAnsi="Times New Roman" w:cs="Times New Roman"/>
          <w:bCs/>
        </w:rPr>
        <w:t>currently treats</w:t>
      </w:r>
      <w:r w:rsidRPr="001D6E1E">
        <w:rPr>
          <w:rFonts w:ascii="Times New Roman" w:hAnsi="Times New Roman" w:cs="Times New Roman"/>
          <w:bCs/>
        </w:rPr>
        <w:t xml:space="preserve"> data-center load as firm at each facility, requiring corresponding procurement of generating capacity </w:t>
      </w:r>
      <w:r>
        <w:rPr>
          <w:rFonts w:ascii="Times New Roman" w:hAnsi="Times New Roman" w:cs="Times New Roman"/>
          <w:bCs/>
        </w:rPr>
        <w:t>and</w:t>
      </w:r>
      <w:r w:rsidRPr="001D6E1E">
        <w:rPr>
          <w:rFonts w:ascii="Times New Roman" w:hAnsi="Times New Roman" w:cs="Times New Roman"/>
          <w:bCs/>
        </w:rPr>
        <w:t xml:space="preserve"> reserve margin for every additional megawatt</w:t>
      </w:r>
      <w:r>
        <w:rPr>
          <w:rFonts w:ascii="Times New Roman" w:hAnsi="Times New Roman" w:cs="Times New Roman"/>
          <w:bCs/>
        </w:rPr>
        <w:t>.</w:t>
      </w:r>
      <w:r w:rsidRPr="001D6E1E">
        <w:rPr>
          <w:rFonts w:ascii="Times New Roman" w:hAnsi="Times New Roman" w:cs="Times New Roman"/>
          <w:bCs/>
        </w:rPr>
        <w:t xml:space="preserve"> This treatment reflects how </w:t>
      </w:r>
      <w:r w:rsidR="00727734" w:rsidRPr="00727734">
        <w:rPr>
          <w:rFonts w:ascii="Times New Roman" w:hAnsi="Times New Roman" w:cs="Times New Roman"/>
          <w:bCs/>
        </w:rPr>
        <w:t>operators have historically operationalized service-level contracts to guarantee uninterrupted compute, which requires maintaining locally firm power draw at every facility.</w:t>
      </w:r>
      <w:r w:rsidRPr="001D6E1E">
        <w:rPr>
          <w:rFonts w:ascii="Times New Roman" w:hAnsi="Times New Roman" w:cs="Times New Roman"/>
          <w:bCs/>
        </w:rPr>
        <w:t xml:space="preserve"> The aggregation of these local firmness commitments across a rapidly growing fleet is what</w:t>
      </w:r>
      <w:r>
        <w:rPr>
          <w:rFonts w:ascii="Times New Roman" w:hAnsi="Times New Roman" w:cs="Times New Roman"/>
          <w:bCs/>
        </w:rPr>
        <w:t xml:space="preserve"> now</w:t>
      </w:r>
      <w:r w:rsidRPr="001D6E1E">
        <w:rPr>
          <w:rFonts w:ascii="Times New Roman" w:hAnsi="Times New Roman" w:cs="Times New Roman"/>
          <w:bCs/>
        </w:rPr>
        <w:t xml:space="preserve"> produces the system-level capacity requirement exceeding what the interconnection queue can deliver.</w:t>
      </w:r>
    </w:p>
    <w:p w14:paraId="1FB01EEB" w14:textId="09B27342"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Policy research has begun to argue that load flexibility should be </w:t>
      </w:r>
      <w:r w:rsidR="00F125CC">
        <w:rPr>
          <w:rFonts w:ascii="Times New Roman" w:hAnsi="Times New Roman" w:cs="Times New Roman"/>
          <w:bCs/>
        </w:rPr>
        <w:t>a</w:t>
      </w:r>
      <w:r w:rsidRPr="001D6E1E">
        <w:rPr>
          <w:rFonts w:ascii="Times New Roman" w:hAnsi="Times New Roman" w:cs="Times New Roman"/>
          <w:bCs/>
        </w:rPr>
        <w:t xml:space="preserve"> primary response. </w:t>
      </w:r>
      <w:r w:rsidR="00F125CC">
        <w:rPr>
          <w:rFonts w:ascii="Times New Roman" w:hAnsi="Times New Roman" w:cs="Times New Roman"/>
          <w:bCs/>
        </w:rPr>
        <w:t>The IEA’s 2025 Energy and AI report finds that data-center flexibility for as little as 0.1% to 1% of annual hours would suffice to integrate all projected 2030 capacity additions into existing U.S., E.U., and Chinese electricity systems</w:t>
      </w:r>
      <w:r w:rsidR="00633130">
        <w:rPr>
          <w:rFonts w:ascii="Times New Roman" w:hAnsi="Times New Roman" w:cs="Times New Roman"/>
          <w:bCs/>
        </w:rPr>
        <w:t>.[4]</w:t>
      </w:r>
      <w:r w:rsidR="00F125CC">
        <w:rPr>
          <w:rFonts w:ascii="Times New Roman" w:hAnsi="Times New Roman" w:cs="Times New Roman"/>
          <w:bCs/>
        </w:rPr>
        <w:t xml:space="preserve"> </w:t>
      </w:r>
      <w:r w:rsidR="00727734" w:rsidRPr="00727734">
        <w:rPr>
          <w:rFonts w:ascii="Times New Roman" w:hAnsi="Times New Roman" w:cs="Times New Roman"/>
          <w:bCs/>
        </w:rPr>
        <w:t xml:space="preserve">Recent work has begun to challenge the technical premise that this firmness is physically necessary, with production demonstrations at major hyperscalers establishing three operational mechanisms: spatial migration of inference workloads across grid regions, temporal deferral of non-interactive workloads, and dynamic voltage-frequency scaling </w:t>
      </w:r>
      <w:r w:rsidR="00727734" w:rsidRPr="00727734">
        <w:rPr>
          <w:rFonts w:ascii="Times New Roman" w:hAnsi="Times New Roman" w:cs="Times New Roman"/>
          <w:bCs/>
        </w:rPr>
        <w:lastRenderedPageBreak/>
        <w:t>on residual compute</w:t>
      </w:r>
      <w:r w:rsidR="00727734">
        <w:rPr>
          <w:rFonts w:ascii="Times New Roman" w:hAnsi="Times New Roman" w:cs="Times New Roman"/>
          <w:bCs/>
        </w:rPr>
        <w:t xml:space="preserve"> </w:t>
      </w:r>
      <w:r w:rsidR="00835266" w:rsidRPr="00835266">
        <w:rPr>
          <w:rFonts w:ascii="Times New Roman" w:hAnsi="Times New Roman" w:cs="Times New Roman"/>
          <w:bCs/>
        </w:rPr>
        <w:t xml:space="preserve">(Section 2). </w:t>
      </w:r>
      <w:r w:rsidR="00727734">
        <w:rPr>
          <w:rFonts w:ascii="Times New Roman" w:hAnsi="Times New Roman" w:cs="Times New Roman"/>
          <w:bCs/>
        </w:rPr>
        <w:t>Across these analyses, the technical potential is not in dispute; what differs is the unit of analysis and the mechanism set considered.</w:t>
      </w:r>
    </w:p>
    <w:p w14:paraId="0C35E374" w14:textId="4884231D" w:rsidR="00BC3406" w:rsidRPr="00F00522" w:rsidRDefault="00AE5C56" w:rsidP="00F00522">
      <w:pPr>
        <w:rPr>
          <w:rFonts w:ascii="Times New Roman" w:hAnsi="Times New Roman" w:cs="Times New Roman"/>
          <w:bCs/>
        </w:rPr>
      </w:pPr>
      <w:r w:rsidRPr="00AE5C56">
        <w:rPr>
          <w:rFonts w:ascii="Times New Roman" w:hAnsi="Times New Roman" w:cs="Times New Roman"/>
          <w:bCs/>
        </w:rPr>
        <w:t>Here we develop a framework for valuing the composed operational flexibility of AI inference data centers as an accreditable resource adequacy asset. The framework comprises four analytical components: an eleven-parameter decomposition organized around the three operational mechanisms identified above; an empirical stress-decorrelation analysis using four years of day-ahead locational marginal pricing across five U.S. grid regions; a workload characterization grounded in 49.4 million production inference requests; and a conditional Monte Carlo simulation that conditions on observed per-hour grid states. We find that commitment depth ranges from 24% to 40% depending on facility scope, declines only modestly with fleet size, and that the binding constraints on realized grid value are institutional choices rather than physical limits.</w:t>
      </w:r>
    </w:p>
    <w:p w14:paraId="4C4E1C7D" w14:textId="4B8C2ED4" w:rsidR="00BC4F32" w:rsidRDefault="000E571A" w:rsidP="00BC4F32">
      <w:pPr>
        <w:rPr>
          <w:rFonts w:ascii="Times New Roman" w:hAnsi="Times New Roman" w:cs="Times New Roman"/>
          <w:bCs/>
          <w:sz w:val="32"/>
          <w:szCs w:val="32"/>
        </w:rPr>
      </w:pPr>
      <w:r w:rsidRPr="00257069">
        <w:rPr>
          <w:rFonts w:ascii="Times New Roman" w:hAnsi="Times New Roman" w:cs="Times New Roman"/>
          <w:b/>
          <w:sz w:val="28"/>
          <w:szCs w:val="28"/>
        </w:rPr>
        <w:t>2</w:t>
      </w:r>
      <w:r w:rsidR="001D6E1E">
        <w:rPr>
          <w:rFonts w:ascii="Times New Roman" w:hAnsi="Times New Roman" w:cs="Times New Roman"/>
          <w:b/>
          <w:sz w:val="28"/>
          <w:szCs w:val="28"/>
        </w:rPr>
        <w:t>. Framework: Decomposing composed operational flexibility</w:t>
      </w:r>
    </w:p>
    <w:p w14:paraId="07EF7B6F" w14:textId="07944237" w:rsidR="0097330A" w:rsidRPr="00A36ECE" w:rsidRDefault="009714C3" w:rsidP="001D6E1E">
      <w:pPr>
        <w:rPr>
          <w:rFonts w:ascii="Times New Roman" w:hAnsi="Times New Roman" w:cs="Times New Roman"/>
          <w:bCs/>
        </w:rPr>
      </w:pPr>
      <w:r w:rsidRPr="009714C3">
        <w:rPr>
          <w:rFonts w:ascii="Times New Roman" w:hAnsi="Times New Roman" w:cs="Times New Roman"/>
          <w:bCs/>
        </w:rPr>
        <w:t>Production demonstrations at Microsoft</w:t>
      </w:r>
      <w:r w:rsidR="00633130">
        <w:rPr>
          <w:rFonts w:ascii="Times New Roman" w:hAnsi="Times New Roman" w:cs="Times New Roman"/>
          <w:bCs/>
        </w:rPr>
        <w:t>[5]</w:t>
      </w:r>
      <w:r w:rsidRPr="009714C3">
        <w:rPr>
          <w:rFonts w:ascii="Times New Roman" w:hAnsi="Times New Roman" w:cs="Times New Roman"/>
          <w:bCs/>
        </w:rPr>
        <w:t>, Meta</w:t>
      </w:r>
      <w:r w:rsidR="00633130">
        <w:rPr>
          <w:rFonts w:ascii="Times New Roman" w:hAnsi="Times New Roman" w:cs="Times New Roman"/>
          <w:bCs/>
        </w:rPr>
        <w:t>[6]</w:t>
      </w:r>
      <w:r w:rsidRPr="009714C3">
        <w:rPr>
          <w:rFonts w:ascii="Times New Roman" w:hAnsi="Times New Roman" w:cs="Times New Roman"/>
          <w:bCs/>
        </w:rPr>
        <w:t>, Google</w:t>
      </w:r>
      <w:r w:rsidR="00633130">
        <w:rPr>
          <w:rFonts w:ascii="Times New Roman" w:hAnsi="Times New Roman" w:cs="Times New Roman"/>
          <w:bCs/>
        </w:rPr>
        <w:t>[7]</w:t>
      </w:r>
      <w:r w:rsidRPr="009714C3">
        <w:rPr>
          <w:rFonts w:ascii="Times New Roman" w:hAnsi="Times New Roman" w:cs="Times New Roman"/>
          <w:bCs/>
        </w:rPr>
        <w:t>, and Oracl</w:t>
      </w:r>
      <w:r w:rsidR="00A36ECE">
        <w:rPr>
          <w:rFonts w:ascii="Times New Roman" w:hAnsi="Times New Roman" w:cs="Times New Roman"/>
          <w:bCs/>
        </w:rPr>
        <w:t>e[8]</w:t>
      </w:r>
      <w:r w:rsidRPr="009714C3">
        <w:rPr>
          <w:rFonts w:ascii="Times New Roman" w:hAnsi="Times New Roman" w:cs="Times New Roman"/>
          <w:bCs/>
        </w:rPr>
        <w:t xml:space="preserve"> establish all three flexibility mechanisms at hyperscaler scale, including datacenter-wide power management with millisecond control latencies, intra-facility phase-disaggregated LLM inference, and 25% sustained cluster-level peak-power reduction over multi-hour windows with zero SLA violations. What this systems literature has not done is translate operational flexibility into capacity-accr</w:t>
      </w:r>
      <w:r w:rsidRPr="00A36ECE">
        <w:rPr>
          <w:rFonts w:ascii="Times New Roman" w:hAnsi="Times New Roman" w:cs="Times New Roman"/>
          <w:bCs/>
        </w:rPr>
        <w:t>editation terms that resource adequacy planning and capacity markets require.</w:t>
      </w:r>
    </w:p>
    <w:p w14:paraId="13CE1B42" w14:textId="21F4277E" w:rsidR="001D6E1E" w:rsidRPr="001D6E1E" w:rsidRDefault="00851C78" w:rsidP="001D6E1E">
      <w:pPr>
        <w:rPr>
          <w:rFonts w:ascii="Times New Roman" w:hAnsi="Times New Roman" w:cs="Times New Roman"/>
          <w:bCs/>
        </w:rPr>
      </w:pPr>
      <w:r w:rsidRPr="00A36ECE">
        <w:rPr>
          <w:rFonts w:ascii="Times New Roman" w:hAnsi="Times New Roman" w:cs="Times New Roman"/>
          <w:bCs/>
        </w:rPr>
        <w:t>Our</w:t>
      </w:r>
      <w:r w:rsidR="001D6E1E" w:rsidRPr="00A36ECE">
        <w:rPr>
          <w:rFonts w:ascii="Times New Roman" w:hAnsi="Times New Roman" w:cs="Times New Roman"/>
          <w:bCs/>
        </w:rPr>
        <w:t xml:space="preserve"> framework </w:t>
      </w:r>
      <w:r w:rsidR="00C20B6C" w:rsidRPr="00A36ECE">
        <w:rPr>
          <w:rFonts w:ascii="Times New Roman" w:hAnsi="Times New Roman" w:cs="Times New Roman"/>
          <w:bCs/>
        </w:rPr>
        <w:t>decomposes the conditions under which nameplate inference load delivers accreditable resource adequacy value, composing them into commitment depth (the megawatt-equivalent grid value per megawatt of nameplate inference load)</w:t>
      </w:r>
      <w:r w:rsidR="00D16F6D" w:rsidRPr="00A36ECE">
        <w:rPr>
          <w:rFonts w:ascii="Times New Roman" w:hAnsi="Times New Roman" w:cs="Times New Roman"/>
          <w:bCs/>
        </w:rPr>
        <w:t>.</w:t>
      </w:r>
      <w:r w:rsidR="001D6E1E" w:rsidRPr="00A36ECE">
        <w:rPr>
          <w:rFonts w:ascii="Times New Roman" w:hAnsi="Times New Roman" w:cs="Times New Roman"/>
          <w:bCs/>
        </w:rPr>
        <w:t xml:space="preserve"> </w:t>
      </w:r>
      <w:r w:rsidR="00D16F6D" w:rsidRPr="00A36ECE">
        <w:rPr>
          <w:rFonts w:ascii="Times New Roman" w:hAnsi="Times New Roman" w:cs="Times New Roman"/>
          <w:bCs/>
        </w:rPr>
        <w:t>Within each of the three mechanisms identified in Section 1, parameters compose multiplicatively. Across mechanisms, contributions add at the megawatt layer with sequential ordering</w:t>
      </w:r>
      <w:r w:rsidR="00C20B6C" w:rsidRPr="00A36ECE">
        <w:rPr>
          <w:rFonts w:ascii="Times New Roman" w:hAnsi="Times New Roman" w:cs="Times New Roman"/>
          <w:bCs/>
        </w:rPr>
        <w:t xml:space="preserve"> as defined above</w:t>
      </w:r>
      <w:r w:rsidR="00D16F6D" w:rsidRPr="00A36ECE">
        <w:rPr>
          <w:rFonts w:ascii="Times New Roman" w:hAnsi="Times New Roman" w:cs="Times New Roman"/>
          <w:bCs/>
        </w:rPr>
        <w:t>. The sequential ordering implements an explicit overlap correction: within-facility power management at the source partially substitutes for deferral when work returns post-event, so the same megawatt of non-interactive compute cannot be counted both as deferred and as DVFS-reduced.</w:t>
      </w:r>
    </w:p>
    <w:p w14:paraId="64F8616E" w14:textId="7989ADD0" w:rsidR="001D6E1E" w:rsidRPr="001D6E1E" w:rsidRDefault="001D6E1E" w:rsidP="001D6E1E">
      <w:pPr>
        <w:rPr>
          <w:rFonts w:ascii="Times New Roman" w:hAnsi="Times New Roman" w:cs="Times New Roman"/>
          <w:bCs/>
        </w:rPr>
      </w:pPr>
      <w:r w:rsidRPr="001D6E1E">
        <w:rPr>
          <w:rFonts w:ascii="Times New Roman" w:hAnsi="Times New Roman" w:cs="Times New Roman"/>
          <w:bCs/>
        </w:rPr>
        <w:t>The framework is reported under two scope scenarios reflecting the bi-modal heterogeneity of the projected 2030 data center fleet. The mixed-use scenario</w:t>
      </w:r>
      <w:r w:rsidR="0097330A">
        <w:rPr>
          <w:rFonts w:ascii="Times New Roman" w:hAnsi="Times New Roman" w:cs="Times New Roman"/>
          <w:bCs/>
        </w:rPr>
        <w:t xml:space="preserve"> </w:t>
      </w:r>
      <w:r w:rsidRPr="001D6E1E">
        <w:rPr>
          <w:rFonts w:ascii="Times New Roman" w:hAnsi="Times New Roman" w:cs="Times New Roman"/>
          <w:bCs/>
        </w:rPr>
        <w:t>applies the cascade to typical hyperscaler colocation facilit</w:t>
      </w:r>
      <w:r w:rsidR="0097330A">
        <w:rPr>
          <w:rFonts w:ascii="Times New Roman" w:hAnsi="Times New Roman" w:cs="Times New Roman"/>
          <w:bCs/>
        </w:rPr>
        <w:t>ies</w:t>
      </w:r>
      <w:r w:rsidRPr="001D6E1E">
        <w:rPr>
          <w:rFonts w:ascii="Times New Roman" w:hAnsi="Times New Roman" w:cs="Times New Roman"/>
          <w:bCs/>
        </w:rPr>
        <w:t xml:space="preserve"> for which inference is approximately 43% of IT compute, anchored in McKinsey's December 2025 projection that inference workloads will reach more than 40% of total data-center demand.</w:t>
      </w:r>
      <w:r w:rsidR="00A36ECE">
        <w:rPr>
          <w:rFonts w:ascii="Times New Roman" w:hAnsi="Times New Roman" w:cs="Times New Roman"/>
          <w:bCs/>
        </w:rPr>
        <w:t>[9]</w:t>
      </w:r>
      <w:r w:rsidR="00A36ECE" w:rsidRPr="001D6E1E">
        <w:rPr>
          <w:rFonts w:ascii="Times New Roman" w:hAnsi="Times New Roman" w:cs="Times New Roman"/>
          <w:bCs/>
        </w:rPr>
        <w:t xml:space="preserve"> </w:t>
      </w:r>
      <w:r w:rsidRPr="001D6E1E">
        <w:rPr>
          <w:rFonts w:ascii="Times New Roman" w:hAnsi="Times New Roman" w:cs="Times New Roman"/>
          <w:bCs/>
        </w:rPr>
        <w:t xml:space="preserve">The inference-dominant scenario, applies the cascade to purpose-built AI campuses for which inference exceeds 70% of IT compute, a class of facilities now emerging in industry and modeled distinctly in the IEA's 2025 </w:t>
      </w:r>
      <w:r w:rsidRPr="001D6E1E">
        <w:rPr>
          <w:rFonts w:ascii="Times New Roman" w:hAnsi="Times New Roman" w:cs="Times New Roman"/>
          <w:bCs/>
          <w:i/>
          <w:iCs/>
        </w:rPr>
        <w:t>Energy and AI</w:t>
      </w:r>
      <w:r w:rsidRPr="001D6E1E">
        <w:rPr>
          <w:rFonts w:ascii="Times New Roman" w:hAnsi="Times New Roman" w:cs="Times New Roman"/>
          <w:bCs/>
        </w:rPr>
        <w:t xml:space="preserve"> report</w:t>
      </w:r>
      <w:r w:rsidR="00A36ECE">
        <w:rPr>
          <w:rFonts w:ascii="Times New Roman" w:hAnsi="Times New Roman" w:cs="Times New Roman"/>
          <w:bCs/>
        </w:rPr>
        <w:t>[4]</w:t>
      </w:r>
      <w:r w:rsidRPr="001D6E1E">
        <w:rPr>
          <w:rFonts w:ascii="Times New Roman" w:hAnsi="Times New Roman" w:cs="Times New Roman"/>
          <w:bCs/>
        </w:rPr>
        <w:t xml:space="preserve"> and in Zhou et al.'s 2024 analysis of AI-focused HPC.</w:t>
      </w:r>
      <w:r w:rsidR="00A36ECE">
        <w:rPr>
          <w:rFonts w:ascii="Times New Roman" w:hAnsi="Times New Roman" w:cs="Times New Roman"/>
          <w:bCs/>
        </w:rPr>
        <w:t>[10]</w:t>
      </w:r>
      <w:r w:rsidRPr="001D6E1E">
        <w:rPr>
          <w:rFonts w:ascii="Times New Roman" w:hAnsi="Times New Roman" w:cs="Times New Roman"/>
          <w:bCs/>
        </w:rPr>
        <w:t xml:space="preserve"> The two scenarios are reported in parallel because the actual 2030 fleet will include both, and the difference between their commitment depths is itself a finding: the marginal flexibility gain from purpose-built siting is decomposable.</w:t>
      </w:r>
    </w:p>
    <w:p w14:paraId="5B4B2CE7" w14:textId="7473284A" w:rsidR="0065765A" w:rsidRPr="00257069" w:rsidRDefault="000E571A" w:rsidP="00271730">
      <w:pPr>
        <w:rPr>
          <w:rFonts w:ascii="Times New Roman" w:hAnsi="Times New Roman" w:cs="Times New Roman"/>
          <w:bCs/>
          <w:sz w:val="22"/>
          <w:szCs w:val="22"/>
        </w:rPr>
      </w:pPr>
      <w:r w:rsidRPr="00257069">
        <w:rPr>
          <w:rFonts w:ascii="Times New Roman" w:hAnsi="Times New Roman" w:cs="Times New Roman"/>
          <w:b/>
          <w:sz w:val="28"/>
          <w:szCs w:val="28"/>
        </w:rPr>
        <w:lastRenderedPageBreak/>
        <w:t xml:space="preserve">3. </w:t>
      </w:r>
      <w:r w:rsidR="00DE288D" w:rsidRPr="00257069">
        <w:rPr>
          <w:rFonts w:ascii="Times New Roman" w:hAnsi="Times New Roman" w:cs="Times New Roman"/>
          <w:b/>
          <w:sz w:val="28"/>
          <w:szCs w:val="28"/>
        </w:rPr>
        <w:t>Cross-region stress decorrelation</w:t>
      </w:r>
    </w:p>
    <w:p w14:paraId="39C32ED4" w14:textId="1AC5E051" w:rsidR="00DE288D" w:rsidRDefault="00DE288D" w:rsidP="00271730">
      <w:pPr>
        <w:rPr>
          <w:rFonts w:ascii="Times New Roman" w:hAnsi="Times New Roman" w:cs="Times New Roman"/>
          <w:bCs/>
        </w:rPr>
      </w:pPr>
      <w:r>
        <w:rPr>
          <w:rFonts w:ascii="Times New Roman" w:hAnsi="Times New Roman" w:cs="Times New Roman"/>
          <w:bCs/>
        </w:rPr>
        <w:t>Spatial compute migration requires that at least one destination grid region is operating under normal conditions when the source region is stressed</w:t>
      </w:r>
      <w:r w:rsidR="003A0B79">
        <w:rPr>
          <w:rFonts w:ascii="Times New Roman" w:hAnsi="Times New Roman" w:cs="Times New Roman"/>
          <w:bCs/>
        </w:rPr>
        <w:t>. We test this condition empi</w:t>
      </w:r>
      <w:r w:rsidR="00390B2B">
        <w:rPr>
          <w:rFonts w:ascii="Times New Roman" w:hAnsi="Times New Roman" w:cs="Times New Roman"/>
          <w:bCs/>
        </w:rPr>
        <w:t>ri</w:t>
      </w:r>
      <w:r w:rsidR="003A0B79">
        <w:rPr>
          <w:rFonts w:ascii="Times New Roman" w:hAnsi="Times New Roman" w:cs="Times New Roman"/>
          <w:bCs/>
        </w:rPr>
        <w:t xml:space="preserve">cally using 35,060 hours of day-ahead locational marginal pricing (DA LMP) data from January 2022 through December 2025, spanning five U.S. grid regions: PJM, ERCOT, CAISO, MISO, and NYISO. </w:t>
      </w:r>
      <w:r w:rsidR="00F30CDA" w:rsidRPr="00F30CDA">
        <w:rPr>
          <w:rFonts w:ascii="Times New Roman" w:hAnsi="Times New Roman" w:cs="Times New Roman"/>
          <w:bCs/>
        </w:rPr>
        <w:t>Within each region we identify destination pricing zones co-located with data center facilities using county-level capacity data from the U.S. Department of Energy / National Renewable Energy Laboratory Accelerating Speed to Power Data Viewer</w:t>
      </w:r>
      <w:r w:rsidR="00ED5841">
        <w:rPr>
          <w:rFonts w:ascii="Times New Roman" w:hAnsi="Times New Roman" w:cs="Times New Roman"/>
          <w:bCs/>
        </w:rPr>
        <w:t>.</w:t>
      </w:r>
      <w:r w:rsidR="00A36ECE">
        <w:rPr>
          <w:rFonts w:ascii="Times New Roman" w:hAnsi="Times New Roman" w:cs="Times New Roman"/>
          <w:bCs/>
        </w:rPr>
        <w:t>[11]</w:t>
      </w:r>
      <w:r w:rsidR="00F30CDA">
        <w:rPr>
          <w:rFonts w:ascii="Times New Roman" w:hAnsi="Times New Roman" w:cs="Times New Roman"/>
          <w:bCs/>
        </w:rPr>
        <w:t xml:space="preserve"> </w:t>
      </w:r>
      <w:r w:rsidR="003A0B79">
        <w:rPr>
          <w:rFonts w:ascii="Times New Roman" w:hAnsi="Times New Roman" w:cs="Times New Roman"/>
          <w:bCs/>
        </w:rPr>
        <w:t xml:space="preserve">Stress hours are defined as </w:t>
      </w:r>
      <w:r w:rsidR="00ED5841">
        <w:rPr>
          <w:rFonts w:ascii="Times New Roman" w:hAnsi="Times New Roman" w:cs="Times New Roman"/>
          <w:bCs/>
        </w:rPr>
        <w:t xml:space="preserve">the top 200 </w:t>
      </w:r>
      <w:r w:rsidR="003A0B79">
        <w:rPr>
          <w:rFonts w:ascii="Times New Roman" w:hAnsi="Times New Roman" w:cs="Times New Roman"/>
          <w:bCs/>
        </w:rPr>
        <w:t xml:space="preserve">DA LMP </w:t>
      </w:r>
      <w:r w:rsidR="00ED5841">
        <w:rPr>
          <w:rFonts w:ascii="Times New Roman" w:hAnsi="Times New Roman" w:cs="Times New Roman"/>
          <w:bCs/>
        </w:rPr>
        <w:t>hours per zone over the four-year window (the 99.4</w:t>
      </w:r>
      <w:r w:rsidR="00ED5841" w:rsidRPr="00ED5841">
        <w:rPr>
          <w:rFonts w:ascii="Times New Roman" w:hAnsi="Times New Roman" w:cs="Times New Roman"/>
          <w:bCs/>
          <w:vertAlign w:val="superscript"/>
        </w:rPr>
        <w:t>th</w:t>
      </w:r>
      <w:r w:rsidR="00ED5841">
        <w:rPr>
          <w:rFonts w:ascii="Times New Roman" w:hAnsi="Times New Roman" w:cs="Times New Roman"/>
          <w:bCs/>
        </w:rPr>
        <w:t xml:space="preserve"> percentile; see Methods for threshold sensitivity).</w:t>
      </w:r>
    </w:p>
    <w:p w14:paraId="67938F06" w14:textId="11FCE73E" w:rsidR="00C12FA3" w:rsidRDefault="00377EDD" w:rsidP="00271730">
      <w:pPr>
        <w:rPr>
          <w:rFonts w:ascii="Times New Roman" w:hAnsi="Times New Roman" w:cs="Times New Roman"/>
          <w:bCs/>
        </w:rPr>
      </w:pPr>
      <w:r>
        <w:rPr>
          <w:rFonts w:ascii="Times New Roman" w:hAnsi="Times New Roman" w:cs="Times New Roman"/>
          <w:bCs/>
        </w:rPr>
        <w:t xml:space="preserve">Using the ComEd zone in Northern Illinois as the primary source region, we compute </w:t>
      </w:r>
      <w:r w:rsidR="005B5E60">
        <w:rPr>
          <w:rFonts w:ascii="Times New Roman" w:hAnsi="Times New Roman" w:cs="Times New Roman"/>
          <w:bCs/>
        </w:rPr>
        <w:t xml:space="preserve">the fraction of source stress hours in which at least one cross-region destination zone exhibits a DA LMP below its stress threshold. Of the 200 observed ComEd stress hours, at least one cross-region destination </w:t>
      </w:r>
      <w:r w:rsidR="00B117B8">
        <w:rPr>
          <w:rFonts w:ascii="Times New Roman" w:hAnsi="Times New Roman" w:cs="Times New Roman"/>
          <w:bCs/>
        </w:rPr>
        <w:t>was available in 198, corresponding to a dynamic availability of 99.0%. The two failure hours occurred during the January 2024 Arctic Blast</w:t>
      </w:r>
      <w:r w:rsidR="00774BA4">
        <w:rPr>
          <w:rFonts w:ascii="Times New Roman" w:hAnsi="Times New Roman" w:cs="Times New Roman"/>
          <w:bCs/>
        </w:rPr>
        <w:t>. The decorrelation reflects the electrical topology of the North American transmission system</w:t>
      </w:r>
      <w:r w:rsidR="007D01A7">
        <w:rPr>
          <w:rFonts w:ascii="Times New Roman" w:hAnsi="Times New Roman" w:cs="Times New Roman"/>
          <w:bCs/>
        </w:rPr>
        <w:t>:</w:t>
      </w:r>
      <w:r w:rsidR="00774BA4">
        <w:rPr>
          <w:rFonts w:ascii="Times New Roman" w:hAnsi="Times New Roman" w:cs="Times New Roman"/>
          <w:bCs/>
        </w:rPr>
        <w:t xml:space="preserve"> ERCOT operates as an electrically isolated interconnection</w:t>
      </w:r>
      <w:r w:rsidR="007D01A7">
        <w:rPr>
          <w:rFonts w:ascii="Times New Roman" w:hAnsi="Times New Roman" w:cs="Times New Roman"/>
          <w:bCs/>
        </w:rPr>
        <w:t xml:space="preserve">, and </w:t>
      </w:r>
      <w:r w:rsidR="00774BA4">
        <w:rPr>
          <w:rFonts w:ascii="Times New Roman" w:hAnsi="Times New Roman" w:cs="Times New Roman"/>
          <w:bCs/>
        </w:rPr>
        <w:t>CAISO</w:t>
      </w:r>
      <w:r w:rsidR="007D01A7">
        <w:rPr>
          <w:rFonts w:ascii="Times New Roman" w:hAnsi="Times New Roman" w:cs="Times New Roman"/>
          <w:bCs/>
        </w:rPr>
        <w:t xml:space="preserve">’s </w:t>
      </w:r>
      <w:r w:rsidR="00AB44AF">
        <w:rPr>
          <w:rFonts w:ascii="Times New Roman" w:hAnsi="Times New Roman" w:cs="Times New Roman"/>
          <w:bCs/>
        </w:rPr>
        <w:t xml:space="preserve">temporal offset and weather patterns are largely independent from the Midwest. Capacity-weighted stress overlap between ComEd and cross-interconnection destinations ranges from 3.7% (ERCOT, summer) to 14.0% (CAISO, annual), with CAISO exhibiting zero summer overlap across the four-year study period (Fig. </w:t>
      </w:r>
      <w:r w:rsidR="00D85FA0">
        <w:rPr>
          <w:rFonts w:ascii="Times New Roman" w:hAnsi="Times New Roman" w:cs="Times New Roman"/>
          <w:bCs/>
        </w:rPr>
        <w:t>1</w:t>
      </w:r>
      <w:r w:rsidR="00AB44AF">
        <w:rPr>
          <w:rFonts w:ascii="Times New Roman" w:hAnsi="Times New Roman" w:cs="Times New Roman"/>
          <w:bCs/>
        </w:rPr>
        <w:t xml:space="preserve">). Same-interconnection destinations </w:t>
      </w:r>
      <w:r w:rsidR="00857CE5">
        <w:rPr>
          <w:rFonts w:ascii="Times New Roman" w:hAnsi="Times New Roman" w:cs="Times New Roman"/>
          <w:bCs/>
        </w:rPr>
        <w:t>exhibit substantially higher overlap</w:t>
      </w:r>
      <w:r w:rsidR="007B267C">
        <w:rPr>
          <w:rFonts w:ascii="Times New Roman" w:hAnsi="Times New Roman" w:cs="Times New Roman"/>
          <w:bCs/>
        </w:rPr>
        <w:t>: MISO zones range from 43% to 6</w:t>
      </w:r>
      <w:r w:rsidR="00845AA3">
        <w:rPr>
          <w:rFonts w:ascii="Times New Roman" w:hAnsi="Times New Roman" w:cs="Times New Roman"/>
          <w:bCs/>
        </w:rPr>
        <w:t>6</w:t>
      </w:r>
      <w:r w:rsidR="007B267C">
        <w:rPr>
          <w:rFonts w:ascii="Times New Roman" w:hAnsi="Times New Roman" w:cs="Times New Roman"/>
          <w:bCs/>
        </w:rPr>
        <w:t>%</w:t>
      </w:r>
      <w:r w:rsidR="00C12FA3">
        <w:rPr>
          <w:rFonts w:ascii="Times New Roman" w:hAnsi="Times New Roman" w:cs="Times New Roman"/>
          <w:bCs/>
        </w:rPr>
        <w:t>, NYISO zones from 29% to 41%, consistent with shared exposure to regional weather systems and partial electrical coupling.</w:t>
      </w:r>
      <w:r w:rsidR="008833BA">
        <w:rPr>
          <w:rFonts w:ascii="Times New Roman" w:hAnsi="Times New Roman" w:cs="Times New Roman"/>
          <w:bCs/>
        </w:rPr>
        <w:t xml:space="preserve"> </w:t>
      </w:r>
      <w:r w:rsidR="008833BA" w:rsidRPr="008833BA">
        <w:rPr>
          <w:rFonts w:ascii="Times New Roman" w:hAnsi="Times New Roman" w:cs="Times New Roman"/>
          <w:bCs/>
        </w:rPr>
        <w:t>The decorrelation finding generalizes across source zones: dynamic availability is 99.5% from PJM-DOM, 100% from ERCOT-LZ-NORTH, and 100% from CAISO-NP15 (Extended Data Table 1).</w:t>
      </w:r>
    </w:p>
    <w:p w14:paraId="45777304" w14:textId="77777777" w:rsidR="00B82F7F" w:rsidRDefault="00B82F7F" w:rsidP="00B82F7F">
      <w:pPr>
        <w:keepNext/>
        <w:jc w:val="center"/>
      </w:pPr>
      <w:r>
        <w:rPr>
          <w:rFonts w:ascii="Times New Roman" w:hAnsi="Times New Roman" w:cs="Times New Roman"/>
          <w:bCs/>
          <w:noProof/>
        </w:rPr>
        <w:lastRenderedPageBreak/>
        <w:drawing>
          <wp:inline distT="0" distB="0" distL="0" distR="0" wp14:anchorId="448A0341" wp14:editId="7F65C163">
            <wp:extent cx="3430345" cy="3935002"/>
            <wp:effectExtent l="0" t="0" r="0" b="8890"/>
            <wp:docPr id="6038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2824" name="Picture 603812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9280" cy="3945251"/>
                    </a:xfrm>
                    <a:prstGeom prst="rect">
                      <a:avLst/>
                    </a:prstGeom>
                  </pic:spPr>
                </pic:pic>
              </a:graphicData>
            </a:graphic>
          </wp:inline>
        </w:drawing>
      </w:r>
    </w:p>
    <w:p w14:paraId="57195730" w14:textId="3A12C56E" w:rsidR="00B82F7F" w:rsidRDefault="00B82F7F" w:rsidP="00B82F7F">
      <w:pPr>
        <w:pStyle w:val="Caption"/>
        <w:jc w:val="center"/>
        <w:rPr>
          <w:rFonts w:ascii="Times New Roman" w:hAnsi="Times New Roman" w:cs="Times New Roman"/>
          <w:bCs/>
        </w:rPr>
      </w:pPr>
      <w:r w:rsidRPr="00B82F7F">
        <w:rPr>
          <w:rFonts w:ascii="Times New Roman" w:hAnsi="Times New Roman" w:cs="Times New Roman"/>
          <w:bCs/>
        </w:rPr>
        <w:t xml:space="preserve">Fig. </w:t>
      </w:r>
      <w:r w:rsidR="00D85FA0">
        <w:rPr>
          <w:rFonts w:ascii="Times New Roman" w:hAnsi="Times New Roman" w:cs="Times New Roman"/>
          <w:bCs/>
        </w:rPr>
        <w:t>1</w:t>
      </w:r>
      <w:r w:rsidRPr="00B82F7F">
        <w:rPr>
          <w:rFonts w:ascii="Times New Roman" w:hAnsi="Times New Roman" w:cs="Times New Roman"/>
          <w:bCs/>
        </w:rPr>
        <w:t>. Stress overlap between ComEd and 17 cross-BA destination zones by year, 2022–2025. Each cell shows the percentage of ComEd's 50 annual stress hours in which the destination zone was simultaneously stressed. Cross-interconnection destinations (ERCOT, CAISO) exhibit overlap below 30% in all years; same-interconnection destinations (MISO, NYISO) range from 16% to 74%, consistent with shared exposure to regional weather systems. The 2024 column reflects elevated co-stress during the January 2024 Arctic Blast. CAISO coverage begins November 2022; earlier periods are treated as available per Methods.</w:t>
      </w:r>
    </w:p>
    <w:p w14:paraId="4351DB6B" w14:textId="44567275" w:rsidR="003229E9" w:rsidRPr="00257069" w:rsidRDefault="003229E9" w:rsidP="00271730">
      <w:pPr>
        <w:rPr>
          <w:rFonts w:ascii="Times New Roman" w:hAnsi="Times New Roman" w:cs="Times New Roman"/>
          <w:b/>
          <w:sz w:val="28"/>
          <w:szCs w:val="28"/>
        </w:rPr>
      </w:pPr>
      <w:r w:rsidRPr="00257069">
        <w:rPr>
          <w:rFonts w:ascii="Times New Roman" w:hAnsi="Times New Roman" w:cs="Times New Roman"/>
          <w:b/>
          <w:sz w:val="28"/>
          <w:szCs w:val="28"/>
        </w:rPr>
        <w:t xml:space="preserve">4. Workload </w:t>
      </w:r>
      <w:r w:rsidR="006A1A7E" w:rsidRPr="00257069">
        <w:rPr>
          <w:rFonts w:ascii="Times New Roman" w:hAnsi="Times New Roman" w:cs="Times New Roman"/>
          <w:b/>
          <w:sz w:val="28"/>
          <w:szCs w:val="28"/>
        </w:rPr>
        <w:t>c</w:t>
      </w:r>
      <w:r w:rsidRPr="00257069">
        <w:rPr>
          <w:rFonts w:ascii="Times New Roman" w:hAnsi="Times New Roman" w:cs="Times New Roman"/>
          <w:b/>
          <w:sz w:val="28"/>
          <w:szCs w:val="28"/>
        </w:rPr>
        <w:t>haracterization</w:t>
      </w:r>
    </w:p>
    <w:p w14:paraId="559469EF" w14:textId="4D673C5E" w:rsidR="004B51CA" w:rsidRPr="006A1A7E" w:rsidRDefault="001D6E1E" w:rsidP="006A1A7E">
      <w:pPr>
        <w:rPr>
          <w:rFonts w:ascii="Times New Roman" w:hAnsi="Times New Roman" w:cs="Times New Roman"/>
          <w:bCs/>
        </w:rPr>
      </w:pPr>
      <w:r w:rsidRPr="001D6E1E">
        <w:rPr>
          <w:rFonts w:ascii="Times New Roman" w:hAnsi="Times New Roman" w:cs="Times New Roman"/>
          <w:bCs/>
        </w:rPr>
        <w:t>The drain-within-window parameter (DRAIN_ok) captures whether active inference requests at a source facility can complete within the grid operator's emergency dispatch window. We validate drain time using two independent production inference datasets totaling 49.4 million requests over a combined 128 days of observation (see Methods for dataset descriptions). P99 drain times range from 4.5 to 12.12 seconds across model configurations and datasets, approximately two orders of magnitude below PJM's minimum dispatch window of 10 minutes</w:t>
      </w:r>
      <w:r w:rsidR="00A36ECE">
        <w:rPr>
          <w:rFonts w:ascii="Times New Roman" w:hAnsi="Times New Roman" w:cs="Times New Roman"/>
          <w:bCs/>
        </w:rPr>
        <w:t>[12]</w:t>
      </w:r>
      <w:r w:rsidRPr="001D6E1E">
        <w:rPr>
          <w:rFonts w:ascii="Times New Roman" w:hAnsi="Times New Roman" w:cs="Times New Roman"/>
          <w:bCs/>
        </w:rPr>
        <w:t>, indicating that DRAIN_ok = 0.95 is a conservative parameterization. The 5% excluded by DRAIN_ok accommodates long-running or batched inference requests, multi-turn conversational sessions with persistent state, and potential future workload types with longer completion times.</w:t>
      </w:r>
      <w:r w:rsidR="00394EB6">
        <w:rPr>
          <w:rFonts w:ascii="Times New Roman" w:hAnsi="Times New Roman" w:cs="Times New Roman"/>
          <w:bCs/>
        </w:rPr>
        <w:t xml:space="preserve"> </w:t>
      </w:r>
    </w:p>
    <w:p w14:paraId="181282BB" w14:textId="51489C3D" w:rsidR="006A1A7E" w:rsidRPr="00257069" w:rsidRDefault="006A1A7E" w:rsidP="00271730">
      <w:pPr>
        <w:rPr>
          <w:rFonts w:ascii="Times New Roman" w:hAnsi="Times New Roman" w:cs="Times New Roman"/>
          <w:b/>
          <w:sz w:val="28"/>
          <w:szCs w:val="28"/>
        </w:rPr>
      </w:pPr>
      <w:r w:rsidRPr="00257069">
        <w:rPr>
          <w:rFonts w:ascii="Times New Roman" w:hAnsi="Times New Roman" w:cs="Times New Roman"/>
          <w:b/>
          <w:sz w:val="28"/>
          <w:szCs w:val="28"/>
        </w:rPr>
        <w:t>5. Conditional Monte Carlo validation</w:t>
      </w:r>
    </w:p>
    <w:p w14:paraId="372DCF96"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We develop a conditional Monte Carlo simulation that conditions on observed per-hour grid states to capture how commitment depth depends on fleet size, destination contention, and post-</w:t>
      </w:r>
      <w:r w:rsidRPr="001D6E1E">
        <w:rPr>
          <w:rFonts w:ascii="Times New Roman" w:hAnsi="Times New Roman" w:cs="Times New Roman"/>
          <w:bCs/>
        </w:rPr>
        <w:lastRenderedPageBreak/>
        <w:t>stress recovery saturation during specific stress events. The simulation is run separately under each of the two scope scenarios; results are reported in parallel.</w:t>
      </w:r>
    </w:p>
    <w:p w14:paraId="64181462" w14:textId="77777777" w:rsidR="004D41B9" w:rsidRDefault="004D41B9" w:rsidP="001D6E1E">
      <w:pPr>
        <w:rPr>
          <w:rFonts w:ascii="Times New Roman" w:hAnsi="Times New Roman" w:cs="Times New Roman"/>
          <w:bCs/>
        </w:rPr>
      </w:pPr>
      <w:r w:rsidRPr="004D41B9">
        <w:rPr>
          <w:rFonts w:ascii="Times New Roman" w:hAnsi="Times New Roman" w:cs="Times New Roman"/>
          <w:bCs/>
        </w:rPr>
        <w:t>For a representative 500 MW inference-dominant facility, the conditional Monte Carlo yields a mean commitment depth of 40.0% under the inference-dominant scope (φ_inf = 0.70), with 5th percentile of 38.5% and conditional expected shortfall below the 5th percentile of 33.1%. Under the mixed-use scope (φ_inf = 0.43), the corresponding values are mean 24.6%, P5 23.7%, and CVaR 20.6%. The framework's conservatism at single-facility scale arises from a ratio effect: aggregate available headroom across unstressed destinations substantially exceeds the demand from a single migrating facility in the large majority of stress hours, and the deferral and DVFS mechanisms operate independently of destination contention.</w:t>
      </w:r>
    </w:p>
    <w:p w14:paraId="103B926D" w14:textId="23BAF376" w:rsidR="004D41B9" w:rsidRDefault="004D41B9" w:rsidP="001D6E1E">
      <w:pPr>
        <w:rPr>
          <w:rFonts w:ascii="Times New Roman" w:hAnsi="Times New Roman" w:cs="Times New Roman"/>
          <w:bCs/>
        </w:rPr>
      </w:pPr>
      <w:r w:rsidRPr="004D41B9">
        <w:rPr>
          <w:rFonts w:ascii="Times New Roman" w:hAnsi="Times New Roman" w:cs="Times New Roman"/>
          <w:bCs/>
        </w:rPr>
        <w:t xml:space="preserve">When extended to simultaneous migration by geographically distributed facilities, commitment depth becomes scale-dependent. We first evaluate an empirical fleet defined by the geographic distribution of PJM data center capacity across load zones, with per-hour co-stress identified from the intra-PJM coincidence matrix described in Section 3. Across the 30 ComEd stress hours where at least one other PJM zone is also stressed, the migrating fleet averages 4,729 MW (range 747–14,379 MW), with substantial variation driven by whether the Dominion zone in Northern Virginia (9,431 MW of data center capacity) is co-stressed with ComEd. This empirical fleet yields a mean commitment depth of 33.6% under inference-dominant scope and 21.1% under mixed-use, with conditional expected shortfall below the 5th percentile of 19.8% and 12.3% respectively. </w:t>
      </w:r>
      <w:r w:rsidR="00DA4458">
        <w:rPr>
          <w:rFonts w:ascii="Times New Roman" w:hAnsi="Times New Roman" w:cs="Times New Roman"/>
          <w:bCs/>
        </w:rPr>
        <w:t>M</w:t>
      </w:r>
      <w:r w:rsidRPr="004D41B9">
        <w:rPr>
          <w:rFonts w:ascii="Times New Roman" w:hAnsi="Times New Roman" w:cs="Times New Roman"/>
          <w:bCs/>
        </w:rPr>
        <w:t>apped through PJM's 92% demand-response ELCC, this fleet</w:t>
      </w:r>
      <w:r w:rsidR="00DA4458">
        <w:rPr>
          <w:rFonts w:ascii="Times New Roman" w:hAnsi="Times New Roman" w:cs="Times New Roman"/>
          <w:bCs/>
        </w:rPr>
        <w:t xml:space="preserve"> would be credited</w:t>
      </w:r>
      <w:r w:rsidRPr="004D41B9">
        <w:rPr>
          <w:rFonts w:ascii="Times New Roman" w:hAnsi="Times New Roman" w:cs="Times New Roman"/>
          <w:bCs/>
        </w:rPr>
        <w:t xml:space="preserve"> with approximately 19.4% (inference-dominant) or 12.1% (mixed-use) of accredited capacity per fleet MW.</w:t>
      </w:r>
    </w:p>
    <w:p w14:paraId="2A8166F9" w14:textId="500A15AB" w:rsidR="001D6E1E" w:rsidRPr="001D6E1E" w:rsidRDefault="007F0115" w:rsidP="001D6E1E">
      <w:pPr>
        <w:rPr>
          <w:rFonts w:ascii="Times New Roman" w:hAnsi="Times New Roman" w:cs="Times New Roman"/>
          <w:bCs/>
        </w:rPr>
      </w:pPr>
      <w:r w:rsidRPr="007F0115">
        <w:rPr>
          <w:rFonts w:ascii="Times New Roman" w:hAnsi="Times New Roman" w:cs="Times New Roman"/>
          <w:bCs/>
        </w:rPr>
        <w:t>We then evaluate commitment depth as a continuous function of fleet size using a parametric sweep from 0.5 to 15 GW. Under the inference-dominant scope, commitment depth declines from 39.8% at 1 GW to 38.5% at 10 GW</w:t>
      </w:r>
      <w:r w:rsidR="00DA4458">
        <w:rPr>
          <w:rFonts w:ascii="Times New Roman" w:hAnsi="Times New Roman" w:cs="Times New Roman"/>
          <w:bCs/>
        </w:rPr>
        <w:t>; u</w:t>
      </w:r>
      <w:r w:rsidRPr="007F0115">
        <w:rPr>
          <w:rFonts w:ascii="Times New Roman" w:hAnsi="Times New Roman" w:cs="Times New Roman"/>
          <w:bCs/>
        </w:rPr>
        <w:t>nder the mixed-use scope,</w:t>
      </w:r>
      <w:r w:rsidR="00DA4458">
        <w:rPr>
          <w:rFonts w:ascii="Times New Roman" w:hAnsi="Times New Roman" w:cs="Times New Roman"/>
          <w:bCs/>
        </w:rPr>
        <w:t xml:space="preserve"> </w:t>
      </w:r>
      <w:r w:rsidRPr="007F0115">
        <w:rPr>
          <w:rFonts w:ascii="Times New Roman" w:hAnsi="Times New Roman" w:cs="Times New Roman"/>
          <w:bCs/>
        </w:rPr>
        <w:t>from 24.6% at 1 GW to 24.1% at 10 GW. The decline is driven primarily by destination contention engaging spatial migration: the share of Monte Carlo draws that are destination-constrained rises from 4.9% at 1 GW to 25.7% at 10 GW under the inference-dominant scope, and from 3.0% to 8.5% under the mixed-use scope. Spatial contention does not exceed the 50% threshold within the swept range, with onset projected beyond 15 GW. The decline in mean commitment depth is mild because deferral and DVFS contribute additively across all fleet sizes and do not saturate within the range evaluated</w:t>
      </w:r>
      <w:r w:rsidR="00DA4458">
        <w:rPr>
          <w:rFonts w:ascii="Times New Roman" w:hAnsi="Times New Roman" w:cs="Times New Roman"/>
          <w:bCs/>
        </w:rPr>
        <w:t>. T</w:t>
      </w:r>
      <w:r w:rsidRPr="007F0115">
        <w:rPr>
          <w:rFonts w:ascii="Times New Roman" w:hAnsi="Times New Roman" w:cs="Times New Roman"/>
          <w:bCs/>
        </w:rPr>
        <w:t>he 5th percentile shows a sharper decline (from 38.1% to 25.2% under inference-dominant; from 23.6% to 16.1% under mixed-use), reflecting that destination contention binds most aggressively in the worst stress hours.</w:t>
      </w:r>
    </w:p>
    <w:p w14:paraId="7D541913" w14:textId="1B1355B4" w:rsidR="004B51CA" w:rsidRDefault="00EF5D4F" w:rsidP="004B51CA">
      <w:pPr>
        <w:keepNext/>
        <w:jc w:val="center"/>
      </w:pPr>
      <w:r>
        <w:rPr>
          <w:noProof/>
        </w:rPr>
        <w:lastRenderedPageBreak/>
        <w:drawing>
          <wp:inline distT="0" distB="0" distL="0" distR="0" wp14:anchorId="4FCB9AAE" wp14:editId="5AEEE321">
            <wp:extent cx="5943600" cy="4166235"/>
            <wp:effectExtent l="0" t="0" r="0" b="5715"/>
            <wp:docPr id="10711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4271" name="Picture 1071194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66235"/>
                    </a:xfrm>
                    <a:prstGeom prst="rect">
                      <a:avLst/>
                    </a:prstGeom>
                  </pic:spPr>
                </pic:pic>
              </a:graphicData>
            </a:graphic>
          </wp:inline>
        </w:drawing>
      </w:r>
    </w:p>
    <w:p w14:paraId="495ADBDF" w14:textId="5DC874EC" w:rsidR="001D6E1E" w:rsidRDefault="001D6E1E" w:rsidP="001D6E1E">
      <w:pPr>
        <w:rPr>
          <w:i/>
          <w:iCs/>
          <w:color w:val="0E2841" w:themeColor="text2"/>
          <w:sz w:val="18"/>
          <w:szCs w:val="18"/>
        </w:rPr>
      </w:pPr>
      <w:r w:rsidRPr="00380C0E">
        <w:rPr>
          <w:i/>
          <w:iCs/>
          <w:color w:val="0E2841" w:themeColor="text2"/>
          <w:sz w:val="18"/>
          <w:szCs w:val="18"/>
        </w:rPr>
        <w:t>Fig</w:t>
      </w:r>
      <w:r w:rsidR="00380C0E" w:rsidRPr="00380C0E">
        <w:rPr>
          <w:i/>
          <w:iCs/>
          <w:color w:val="0E2841" w:themeColor="text2"/>
          <w:sz w:val="18"/>
          <w:szCs w:val="18"/>
        </w:rPr>
        <w:t xml:space="preserve">. </w:t>
      </w:r>
      <w:r w:rsidRPr="00380C0E">
        <w:rPr>
          <w:i/>
          <w:iCs/>
          <w:color w:val="0E2841" w:themeColor="text2"/>
          <w:sz w:val="18"/>
          <w:szCs w:val="18"/>
        </w:rPr>
        <w:t>2</w:t>
      </w:r>
      <w:r w:rsidR="00380C0E" w:rsidRPr="00380C0E">
        <w:rPr>
          <w:i/>
          <w:iCs/>
          <w:color w:val="0E2841" w:themeColor="text2"/>
          <w:sz w:val="18"/>
          <w:szCs w:val="18"/>
        </w:rPr>
        <w:t>.</w:t>
      </w:r>
      <w:r w:rsidRPr="00380C0E">
        <w:rPr>
          <w:i/>
          <w:iCs/>
          <w:color w:val="0E2841" w:themeColor="text2"/>
          <w:sz w:val="18"/>
          <w:szCs w:val="18"/>
        </w:rPr>
        <w:t xml:space="preserve"> </w:t>
      </w:r>
      <w:r w:rsidR="00380C0E" w:rsidRPr="00380C0E">
        <w:rPr>
          <w:i/>
          <w:iCs/>
          <w:color w:val="0E2841" w:themeColor="text2"/>
          <w:sz w:val="18"/>
          <w:szCs w:val="18"/>
        </w:rPr>
        <w:t>Conditional Monte Carlo commitment depth distributions and scale dependence, ComEd source zone, 2022–2025. (a) Single-facility (500 MW) commitment depth distribution under inference-dominant scope (φ_inf = 0.70, primary distribution) with mixed-use scope (φ_inf = 0.43) overlaid in lower opacity. Mean 40.0% inference-dominant, 24.6% mixed-use; 5th percentiles 38.5% and 23.7%. (b) Empirical fleet commitment depth distribution across 30 ComEd stress hours where at least one other PJM zone is also stressed; migrating fleet ranges 747–14,379 MW. Mean 33.6% inference-dominant, 21.1% mixed-use. (c) Per-GW commitment depth sweep from 0.5 to 15 GW under both scopes, with mean curves and P5–P95 bands; the secondary axis (right) shows the percentage of Monte Carlo draws destination-constrained, rising from 4.9% at 1 GW to 25.7% at 10 GW under the inference-dominant scope. 2,000 draws per stress hour; full parameter specification in Methods Table M1</w:t>
      </w:r>
    </w:p>
    <w:p w14:paraId="1B126AF7" w14:textId="4CBA8F34" w:rsidR="00D81F26" w:rsidRPr="00257069" w:rsidRDefault="00453346" w:rsidP="00BF52C2">
      <w:pPr>
        <w:rPr>
          <w:rFonts w:ascii="Times New Roman" w:hAnsi="Times New Roman" w:cs="Times New Roman"/>
          <w:bCs/>
          <w:sz w:val="28"/>
          <w:szCs w:val="28"/>
        </w:rPr>
      </w:pPr>
      <w:r w:rsidRPr="00257069">
        <w:rPr>
          <w:rFonts w:ascii="Times New Roman" w:hAnsi="Times New Roman" w:cs="Times New Roman"/>
          <w:b/>
          <w:sz w:val="28"/>
          <w:szCs w:val="28"/>
        </w:rPr>
        <w:t>6. System-level implications</w:t>
      </w:r>
    </w:p>
    <w:p w14:paraId="0F4CCB48" w14:textId="4CD91B79" w:rsidR="00FA0AC3" w:rsidRDefault="00FA0AC3" w:rsidP="001930CA">
      <w:pPr>
        <w:rPr>
          <w:rFonts w:ascii="Times New Roman" w:hAnsi="Times New Roman" w:cs="Times New Roman"/>
          <w:bCs/>
        </w:rPr>
      </w:pPr>
      <w:r w:rsidRPr="00FA0AC3">
        <w:rPr>
          <w:rFonts w:ascii="Times New Roman" w:hAnsi="Times New Roman" w:cs="Times New Roman"/>
          <w:bCs/>
        </w:rPr>
        <w:t>At PJM's 92% demand-response ELCC, a 1 GW inference-dominant facility's mean commitment depth of 39.8% implies 367 MW accredited; at 10 GW fleet scale, 38.5% mean implies 3,546 MW. Mixed-use scope yields 226 MW and 2,216 MW respectively. P5-based accreditation would yield 350 MW (1 GW inference-dominant), 2,322 MW (10 GW inference-dominant), 217 MW (1 GW mixed-use), and 1,483 MW (10 GW mixed-use); the gap between mean-based and P5-based accreditation is small at single-facility scale (16 MW under the inference-dominant scope) but grows substantially at fleet scale (1,224 MW at 10 GW).</w:t>
      </w:r>
    </w:p>
    <w:p w14:paraId="670947A0" w14:textId="0E3584E2" w:rsidR="00847A3F" w:rsidRDefault="001E35CE" w:rsidP="00F064BF">
      <w:pPr>
        <w:rPr>
          <w:rFonts w:ascii="Times New Roman" w:hAnsi="Times New Roman" w:cs="Times New Roman"/>
          <w:bCs/>
        </w:rPr>
      </w:pPr>
      <w:r>
        <w:rPr>
          <w:rFonts w:ascii="Times New Roman" w:hAnsi="Times New Roman" w:cs="Times New Roman"/>
          <w:bCs/>
        </w:rPr>
        <w:t>At E3’s levelized CT cost of $180,000/MW-yr (2025 Resource Adequacy Study for Illinois)</w:t>
      </w:r>
      <w:r w:rsidR="00E34A7A">
        <w:rPr>
          <w:rFonts w:ascii="Times New Roman" w:hAnsi="Times New Roman" w:cs="Times New Roman"/>
          <w:bCs/>
        </w:rPr>
        <w:t>[13]</w:t>
      </w:r>
      <w:r w:rsidR="00196806">
        <w:rPr>
          <w:rFonts w:ascii="Times New Roman" w:hAnsi="Times New Roman" w:cs="Times New Roman"/>
          <w:bCs/>
        </w:rPr>
        <w:t>,</w:t>
      </w:r>
      <w:r>
        <w:rPr>
          <w:rFonts w:ascii="Times New Roman" w:hAnsi="Times New Roman" w:cs="Times New Roman"/>
          <w:bCs/>
        </w:rPr>
        <w:t xml:space="preserve"> </w:t>
      </w:r>
      <w:r w:rsidR="00196806">
        <w:rPr>
          <w:rFonts w:ascii="Times New Roman" w:hAnsi="Times New Roman" w:cs="Times New Roman"/>
          <w:bCs/>
        </w:rPr>
        <w:t>avoided capacity cost is approximately $66M</w:t>
      </w:r>
      <w:r w:rsidR="00FA0AC3">
        <w:rPr>
          <w:rFonts w:ascii="Times New Roman" w:hAnsi="Times New Roman" w:cs="Times New Roman"/>
          <w:bCs/>
        </w:rPr>
        <w:t>/yr</w:t>
      </w:r>
      <w:r w:rsidR="00196806">
        <w:rPr>
          <w:rFonts w:ascii="Times New Roman" w:hAnsi="Times New Roman" w:cs="Times New Roman"/>
          <w:bCs/>
        </w:rPr>
        <w:t xml:space="preserve"> for </w:t>
      </w:r>
      <w:r w:rsidR="00FA0AC3">
        <w:rPr>
          <w:rFonts w:ascii="Times New Roman" w:hAnsi="Times New Roman" w:cs="Times New Roman"/>
          <w:bCs/>
        </w:rPr>
        <w:t>a</w:t>
      </w:r>
      <w:r w:rsidR="00196806">
        <w:rPr>
          <w:rFonts w:ascii="Times New Roman" w:hAnsi="Times New Roman" w:cs="Times New Roman"/>
          <w:bCs/>
        </w:rPr>
        <w:t xml:space="preserve"> 1 GW inference-dominant facility</w:t>
      </w:r>
      <w:r w:rsidR="00FA0AC3">
        <w:rPr>
          <w:rFonts w:ascii="Times New Roman" w:hAnsi="Times New Roman" w:cs="Times New Roman"/>
          <w:bCs/>
        </w:rPr>
        <w:t>,</w:t>
      </w:r>
      <w:r w:rsidR="00196806">
        <w:rPr>
          <w:rFonts w:ascii="Times New Roman" w:hAnsi="Times New Roman" w:cs="Times New Roman"/>
          <w:bCs/>
        </w:rPr>
        <w:t xml:space="preserve"> </w:t>
      </w:r>
      <w:r w:rsidR="00196806">
        <w:rPr>
          <w:rFonts w:ascii="Times New Roman" w:hAnsi="Times New Roman" w:cs="Times New Roman"/>
          <w:bCs/>
        </w:rPr>
        <w:lastRenderedPageBreak/>
        <w:t>$638M</w:t>
      </w:r>
      <w:r w:rsidR="00FA0AC3">
        <w:rPr>
          <w:rFonts w:ascii="Times New Roman" w:hAnsi="Times New Roman" w:cs="Times New Roman"/>
          <w:bCs/>
        </w:rPr>
        <w:t>/yr</w:t>
      </w:r>
      <w:r w:rsidR="00196806">
        <w:rPr>
          <w:rFonts w:ascii="Times New Roman" w:hAnsi="Times New Roman" w:cs="Times New Roman"/>
          <w:bCs/>
        </w:rPr>
        <w:t xml:space="preserve"> for a 10 GW fleet</w:t>
      </w:r>
      <w:r w:rsidR="00FA0AC3">
        <w:rPr>
          <w:rFonts w:ascii="Times New Roman" w:hAnsi="Times New Roman" w:cs="Times New Roman"/>
          <w:bCs/>
        </w:rPr>
        <w:t xml:space="preserve">, and </w:t>
      </w:r>
      <w:r w:rsidR="00FA0AC3">
        <w:rPr>
          <w:rFonts w:ascii="Times New Roman" w:hAnsi="Times New Roman" w:cs="Times New Roman"/>
          <w:bCs/>
        </w:rPr>
        <w:t>respectively</w:t>
      </w:r>
      <w:r w:rsidR="00FA0AC3">
        <w:rPr>
          <w:rFonts w:ascii="Times New Roman" w:hAnsi="Times New Roman" w:cs="Times New Roman"/>
          <w:bCs/>
        </w:rPr>
        <w:t xml:space="preserve"> $41M/$399M under mixed-use scope.</w:t>
      </w:r>
      <w:r w:rsidR="00196806">
        <w:rPr>
          <w:rFonts w:ascii="Times New Roman" w:hAnsi="Times New Roman" w:cs="Times New Roman"/>
          <w:bCs/>
        </w:rPr>
        <w:t xml:space="preserve"> </w:t>
      </w:r>
      <w:r w:rsidR="00FA0AC3">
        <w:rPr>
          <w:rFonts w:ascii="Times New Roman" w:hAnsi="Times New Roman" w:cs="Times New Roman"/>
          <w:bCs/>
        </w:rPr>
        <w:t xml:space="preserve">From the operator’s perspective, interconnection acceleration </w:t>
      </w:r>
      <w:r w:rsidR="00A87BDC">
        <w:rPr>
          <w:rFonts w:ascii="Times New Roman" w:hAnsi="Times New Roman" w:cs="Times New Roman"/>
          <w:bCs/>
        </w:rPr>
        <w:t xml:space="preserve">could provide </w:t>
      </w:r>
      <w:r w:rsidR="00BC30CF">
        <w:rPr>
          <w:rFonts w:ascii="Times New Roman" w:hAnsi="Times New Roman" w:cs="Times New Roman"/>
          <w:bCs/>
        </w:rPr>
        <w:t>a far</w:t>
      </w:r>
      <w:r w:rsidR="00FA0AC3">
        <w:rPr>
          <w:rFonts w:ascii="Times New Roman" w:hAnsi="Times New Roman" w:cs="Times New Roman"/>
          <w:bCs/>
        </w:rPr>
        <w:t xml:space="preserve"> larger incentive: using a three-year acceleration window for a 1 GW facility, central NPV is approximately $23.1B</w:t>
      </w:r>
      <w:r w:rsidR="00A87BDC">
        <w:rPr>
          <w:rFonts w:ascii="Times New Roman" w:hAnsi="Times New Roman" w:cs="Times New Roman"/>
          <w:bCs/>
        </w:rPr>
        <w:t xml:space="preserve"> (Methods; Extended Data Table 2),</w:t>
      </w:r>
      <w:r w:rsidR="00FA0AC3">
        <w:rPr>
          <w:rFonts w:ascii="Times New Roman" w:hAnsi="Times New Roman" w:cs="Times New Roman"/>
          <w:bCs/>
        </w:rPr>
        <w:t xml:space="preserve"> </w:t>
      </w:r>
      <w:r w:rsidR="00A87BDC">
        <w:rPr>
          <w:rFonts w:ascii="Times New Roman" w:hAnsi="Times New Roman" w:cs="Times New Roman"/>
          <w:bCs/>
        </w:rPr>
        <w:t xml:space="preserve">significantly </w:t>
      </w:r>
      <w:r w:rsidR="00FA0AC3">
        <w:rPr>
          <w:rFonts w:ascii="Times New Roman" w:hAnsi="Times New Roman" w:cs="Times New Roman"/>
          <w:bCs/>
        </w:rPr>
        <w:t>excee</w:t>
      </w:r>
      <w:r w:rsidR="00A87BDC">
        <w:rPr>
          <w:rFonts w:ascii="Times New Roman" w:hAnsi="Times New Roman" w:cs="Times New Roman"/>
          <w:bCs/>
        </w:rPr>
        <w:t>ding</w:t>
      </w:r>
      <w:r w:rsidR="00FA0AC3">
        <w:rPr>
          <w:rFonts w:ascii="Times New Roman" w:hAnsi="Times New Roman" w:cs="Times New Roman"/>
          <w:bCs/>
        </w:rPr>
        <w:t xml:space="preserve"> the present value of avoided capacity payments over a comparable horizon</w:t>
      </w:r>
      <w:r w:rsidR="00A87BDC">
        <w:rPr>
          <w:rFonts w:ascii="Times New Roman" w:hAnsi="Times New Roman" w:cs="Times New Roman"/>
          <w:bCs/>
        </w:rPr>
        <w:t>. The do</w:t>
      </w:r>
      <w:r w:rsidR="00FA0AC3">
        <w:rPr>
          <w:rFonts w:ascii="Times New Roman" w:hAnsi="Times New Roman" w:cs="Times New Roman"/>
          <w:bCs/>
        </w:rPr>
        <w:t>minance ratio is robust across both scopes because IX NPV scales with foregone compute revenue while avoided capacity cost scales with commitment depth directly.</w:t>
      </w:r>
    </w:p>
    <w:p w14:paraId="228494D5" w14:textId="4ED0B2D2" w:rsidR="003E7288" w:rsidRPr="00257069" w:rsidRDefault="003E7288" w:rsidP="00F064BF">
      <w:pPr>
        <w:rPr>
          <w:rFonts w:ascii="Times New Roman" w:hAnsi="Times New Roman" w:cs="Times New Roman"/>
          <w:b/>
          <w:sz w:val="28"/>
          <w:szCs w:val="28"/>
        </w:rPr>
      </w:pPr>
      <w:r w:rsidRPr="00257069">
        <w:rPr>
          <w:rFonts w:ascii="Times New Roman" w:hAnsi="Times New Roman" w:cs="Times New Roman"/>
          <w:b/>
          <w:sz w:val="28"/>
          <w:szCs w:val="28"/>
        </w:rPr>
        <w:t>7. Discussion</w:t>
      </w:r>
    </w:p>
    <w:p w14:paraId="4FF7C31A" w14:textId="5B5A9573" w:rsidR="00874687" w:rsidRDefault="00874687" w:rsidP="00CC04C7">
      <w:pPr>
        <w:rPr>
          <w:rFonts w:ascii="Times New Roman" w:hAnsi="Times New Roman" w:cs="Times New Roman"/>
          <w:bCs/>
        </w:rPr>
      </w:pPr>
      <w:r w:rsidRPr="00874687">
        <w:rPr>
          <w:rFonts w:ascii="Times New Roman" w:hAnsi="Times New Roman" w:cs="Times New Roman"/>
          <w:bCs/>
        </w:rPr>
        <w:t xml:space="preserve">This framework yields commitment depths of 24% to 40% per MW of nameplate inference capacity, declining only modestly with fleet size because the three flexibility mechanisms differ structurally in saturation. The relevant counterfactual is not a grid without data centers but </w:t>
      </w:r>
      <w:r w:rsidR="00A507AA">
        <w:rPr>
          <w:rFonts w:ascii="Times New Roman" w:hAnsi="Times New Roman" w:cs="Times New Roman"/>
          <w:bCs/>
        </w:rPr>
        <w:t xml:space="preserve">instead </w:t>
      </w:r>
      <w:r w:rsidR="00A507AA" w:rsidRPr="00874687">
        <w:rPr>
          <w:rFonts w:ascii="Times New Roman" w:hAnsi="Times New Roman" w:cs="Times New Roman"/>
          <w:bCs/>
        </w:rPr>
        <w:t>the current planning convention</w:t>
      </w:r>
      <w:r w:rsidR="00A507AA">
        <w:rPr>
          <w:rFonts w:ascii="Times New Roman" w:hAnsi="Times New Roman" w:cs="Times New Roman"/>
          <w:bCs/>
        </w:rPr>
        <w:t xml:space="preserve"> of</w:t>
      </w:r>
      <w:r w:rsidR="00A507AA" w:rsidRPr="00874687">
        <w:rPr>
          <w:rFonts w:ascii="Times New Roman" w:hAnsi="Times New Roman" w:cs="Times New Roman"/>
          <w:bCs/>
        </w:rPr>
        <w:t xml:space="preserve"> </w:t>
      </w:r>
      <w:r w:rsidRPr="00874687">
        <w:rPr>
          <w:rFonts w:ascii="Times New Roman" w:hAnsi="Times New Roman" w:cs="Times New Roman"/>
          <w:bCs/>
        </w:rPr>
        <w:t xml:space="preserve">a grid in which data centers are treated as inflexible firm load </w:t>
      </w:r>
      <w:r w:rsidR="00A507AA">
        <w:rPr>
          <w:rFonts w:ascii="Times New Roman" w:hAnsi="Times New Roman" w:cs="Times New Roman"/>
          <w:bCs/>
        </w:rPr>
        <w:t>and</w:t>
      </w:r>
      <w:r w:rsidRPr="00874687">
        <w:rPr>
          <w:rFonts w:ascii="Times New Roman" w:hAnsi="Times New Roman" w:cs="Times New Roman"/>
          <w:bCs/>
        </w:rPr>
        <w:t xml:space="preserve"> under which every megawatt of nameplate inference capacity requires corresponding procurement of generation and reserves. To the extent that this load is demonstrably flexible, current convention results in procurement exceeding actual reliability requirements.</w:t>
      </w:r>
    </w:p>
    <w:p w14:paraId="53D2EBBE" w14:textId="45B1076E" w:rsidR="00874687" w:rsidRDefault="00F459F5" w:rsidP="00CC04C7">
      <w:pPr>
        <w:rPr>
          <w:rFonts w:ascii="Times New Roman" w:hAnsi="Times New Roman" w:cs="Times New Roman"/>
          <w:bCs/>
        </w:rPr>
      </w:pPr>
      <w:r w:rsidRPr="00F459F5">
        <w:rPr>
          <w:rFonts w:ascii="Times New Roman" w:hAnsi="Times New Roman" w:cs="Times New Roman"/>
          <w:bCs/>
        </w:rPr>
        <w:t>The concentrated uncertainty is decision-relevant rather than irreducible. DEST_absorb reflects how much GPU headroom operators choose to maintain at destination facilities, the compatibility of destination hardware with source workloads, and the aggressiveness of model weight pre-staging, each of which is an operational decision, not a physical constraint. MIG_elig Component B reflects contractual workload pinning, a commercial property that standardized DR-participation contract language could tighten. QUEUE_OK reflects whether multiple facilities defer into coordinated or uncoordinated recovery windows; aggregator-level visibility would directly reduce the fleet-scale saturation.</w:t>
      </w:r>
    </w:p>
    <w:p w14:paraId="7593278E" w14:textId="5872B52C" w:rsidR="00CC04C7" w:rsidRDefault="00F459F5" w:rsidP="00CC04C7">
      <w:pPr>
        <w:rPr>
          <w:rFonts w:ascii="Times New Roman" w:hAnsi="Times New Roman" w:cs="Times New Roman"/>
          <w:bCs/>
        </w:rPr>
      </w:pPr>
      <w:r w:rsidRPr="00F459F5">
        <w:rPr>
          <w:rFonts w:ascii="Times New Roman" w:hAnsi="Times New Roman" w:cs="Times New Roman"/>
          <w:bCs/>
        </w:rPr>
        <w:t>Sensitivity analysis confirms that the three institutional parameters drive most of the framework's residual uncertainty</w:t>
      </w:r>
      <w:r>
        <w:rPr>
          <w:rFonts w:ascii="Times New Roman" w:hAnsi="Times New Roman" w:cs="Times New Roman"/>
          <w:bCs/>
        </w:rPr>
        <w:t xml:space="preserve">. </w:t>
      </w:r>
      <w:r w:rsidR="00CC04C7" w:rsidRPr="00CC04C7">
        <w:rPr>
          <w:rFonts w:ascii="Times New Roman" w:hAnsi="Times New Roman" w:cs="Times New Roman"/>
          <w:bCs/>
        </w:rPr>
        <w:t xml:space="preserve">The two-dimensional sensitivity surface (Fig. 3a) shows mean commitment depth at 10 GW inference-dominant ranges from 32.5% to 40.0% across the plausible ranges of DEST_absorb and QUEUE_OK; the tornado chart (Fig. 3b) confirms that DEST_absorb, QUEUE_OK, and MIG_elig together account for the dominant share of fleet-scale sensitivity, while parameters with tight empirical anchoring show near-zero sensitivity. Source-side parameters do not change fleet-scale outcomes materially because the fleet is destination-constrained for spatial migration and queue-constrained for deferral. </w:t>
      </w:r>
      <w:r w:rsidR="00A87BDC" w:rsidRPr="00A87BDC">
        <w:rPr>
          <w:rFonts w:ascii="Times New Roman" w:hAnsi="Times New Roman" w:cs="Times New Roman"/>
          <w:bCs/>
        </w:rPr>
        <w:t>DEST_absorb is the most directly actionable, requiring no change in hardware or workload composition.</w:t>
      </w:r>
      <w:r w:rsidR="00CC04C7" w:rsidRPr="00CC04C7">
        <w:rPr>
          <w:rFonts w:ascii="Times New Roman" w:hAnsi="Times New Roman" w:cs="Times New Roman"/>
          <w:bCs/>
        </w:rPr>
        <w:t xml:space="preserve"> The IEA 2025 Energy and AI report and Knittel et al.'s capacity-expansion modeling each independently identify these institutional levers as the binding constraint, arrived at through methodologies distinct from the bottom-up cascade developed here; the cascade complements both by providing endogenous determination of which flexibility levels are physically defensible and by addressing the spatial direction Zhou et al. identified as future work.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4808"/>
      </w:tblGrid>
      <w:tr w:rsidR="00F459F5" w14:paraId="42F3BA89" w14:textId="77777777" w:rsidTr="008B4284">
        <w:tc>
          <w:tcPr>
            <w:tcW w:w="4552" w:type="dxa"/>
          </w:tcPr>
          <w:p w14:paraId="5DDB8EBE" w14:textId="77777777" w:rsidR="00F459F5" w:rsidRDefault="00F459F5" w:rsidP="008B4284">
            <w:pPr>
              <w:keepNext/>
            </w:pPr>
            <w:r>
              <w:rPr>
                <w:noProof/>
              </w:rPr>
              <w:lastRenderedPageBreak/>
              <w:drawing>
                <wp:inline distT="0" distB="0" distL="0" distR="0" wp14:anchorId="1B47EDEB" wp14:editId="317F032C">
                  <wp:extent cx="2842546" cy="2149523"/>
                  <wp:effectExtent l="0" t="0" r="0" b="3175"/>
                  <wp:docPr id="511272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2131" name="Picture 5112721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4431" cy="2181196"/>
                          </a:xfrm>
                          <a:prstGeom prst="rect">
                            <a:avLst/>
                          </a:prstGeom>
                        </pic:spPr>
                      </pic:pic>
                    </a:graphicData>
                  </a:graphic>
                </wp:inline>
              </w:drawing>
            </w:r>
          </w:p>
          <w:p w14:paraId="4B000470" w14:textId="77777777" w:rsidR="00F459F5" w:rsidRDefault="00F459F5" w:rsidP="008B4284">
            <w:pPr>
              <w:pStyle w:val="Caption"/>
              <w:rPr>
                <w:rFonts w:ascii="Times New Roman" w:hAnsi="Times New Roman" w:cs="Times New Roman"/>
                <w:bCs/>
              </w:rPr>
            </w:pPr>
            <w:r w:rsidRPr="00380C0E">
              <w:t>Fig. 3a. Two-dimensional sensitivity surface: mean commitment depth at 10 GW fleet scale under inference-dominant scope, swept across the plausible ranges of DEST_absorb (Uniform[0.15, 0.55]) and QUEUE_OK (Uniform[0.65, 0.98]). Other parameters held at central values; DEST_avail observed per-hour from the empirical pricing data. Commitment depth ranges from 32.5% (joint-pessimistic corner) to 40.0% (joint-optimistic corner). Crosshairs mark central values (DEST_absorb = 0.30, QUEUE_OK = 0.85).</w:t>
            </w:r>
          </w:p>
        </w:tc>
        <w:tc>
          <w:tcPr>
            <w:tcW w:w="4808" w:type="dxa"/>
          </w:tcPr>
          <w:p w14:paraId="5AB7085D" w14:textId="77777777" w:rsidR="00F459F5" w:rsidRDefault="00F459F5" w:rsidP="008B4284">
            <w:pPr>
              <w:keepNext/>
            </w:pPr>
            <w:r>
              <w:rPr>
                <w:noProof/>
              </w:rPr>
              <w:drawing>
                <wp:inline distT="0" distB="0" distL="0" distR="0" wp14:anchorId="70A98EAA" wp14:editId="33D30E3D">
                  <wp:extent cx="3002507" cy="2093415"/>
                  <wp:effectExtent l="0" t="0" r="7620" b="2540"/>
                  <wp:docPr id="1940475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75014" name="Picture 19404750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2248" cy="2107179"/>
                          </a:xfrm>
                          <a:prstGeom prst="rect">
                            <a:avLst/>
                          </a:prstGeom>
                        </pic:spPr>
                      </pic:pic>
                    </a:graphicData>
                  </a:graphic>
                </wp:inline>
              </w:drawing>
            </w:r>
          </w:p>
          <w:p w14:paraId="3AC8C328" w14:textId="77777777" w:rsidR="00F459F5" w:rsidRDefault="00F459F5" w:rsidP="008B4284">
            <w:pPr>
              <w:pStyle w:val="Caption"/>
              <w:rPr>
                <w:rFonts w:ascii="Times New Roman" w:hAnsi="Times New Roman" w:cs="Times New Roman"/>
                <w:bCs/>
              </w:rPr>
            </w:pPr>
            <w:r w:rsidRPr="00380C0E">
              <w:t>Fig. 3b. Tornado chart of one-at-a-time parameter sensitivity at 10 GW fleet scale under inference-dominant scope. Each bar shows the change in mean commitment depth when the named parameter is swept from its lower to upper bound while all other parameters are held at central values. DEST_absorb, QUEUE_OK, and MIG_elig together account for the dominant share of fleet-scale sensitivity; parameters with tight empirical anchoring (DRAIN_ok, DEST_avail, NET_OK, DVFS_reliability) show near-zero sensitivity. φ_inf is excluded because the two-scope reporting throughout the paper surfaces this sensitivity directly.</w:t>
            </w:r>
          </w:p>
        </w:tc>
      </w:tr>
    </w:tbl>
    <w:p w14:paraId="79A882A0" w14:textId="77777777" w:rsidR="00874687" w:rsidRPr="00CC04C7" w:rsidRDefault="00874687" w:rsidP="00874687">
      <w:pPr>
        <w:rPr>
          <w:rFonts w:ascii="Times New Roman" w:hAnsi="Times New Roman" w:cs="Times New Roman"/>
          <w:bCs/>
        </w:rPr>
      </w:pPr>
      <w:r w:rsidRPr="00CC04C7">
        <w:rPr>
          <w:rFonts w:ascii="Times New Roman" w:hAnsi="Times New Roman" w:cs="Times New Roman"/>
          <w:bCs/>
        </w:rPr>
        <w:t xml:space="preserve">The scale dependence identified in Section 5 implies that accreditation should distinguish between individual facility commitments and fleet-level contributions, and between the three mechanisms. Aggregation of spatial-migration commitments across operators could allocate destination headroom more efficiently than uncoordinated facility-level </w:t>
      </w:r>
      <w:r>
        <w:rPr>
          <w:rFonts w:ascii="Times New Roman" w:hAnsi="Times New Roman" w:cs="Times New Roman"/>
          <w:bCs/>
        </w:rPr>
        <w:t>allocation</w:t>
      </w:r>
      <w:r w:rsidRPr="00CC04C7">
        <w:rPr>
          <w:rFonts w:ascii="Times New Roman" w:hAnsi="Times New Roman" w:cs="Times New Roman"/>
          <w:bCs/>
        </w:rPr>
        <w:t xml:space="preserve">; aggregation of deferral commitments could prevent post-stress queue saturation through coordinated recovery-window utilization. DVFS commitments require no inter-facility coordination and can be accredited at the facility level. The three mechanisms differ structurally in saturation: DVFS contributes additively across all fleet sizes, deferral remains nearly constant, and only spatial migration shows scale-dependent decline. </w:t>
      </w:r>
      <w:r>
        <w:rPr>
          <w:rFonts w:ascii="Times New Roman" w:hAnsi="Times New Roman" w:cs="Times New Roman"/>
          <w:bCs/>
        </w:rPr>
        <w:t>O</w:t>
      </w:r>
      <w:r w:rsidRPr="009B57B0">
        <w:rPr>
          <w:rFonts w:ascii="Times New Roman" w:hAnsi="Times New Roman" w:cs="Times New Roman"/>
          <w:bCs/>
        </w:rPr>
        <w:t>perators can credibly bid based on the mean at single-facility scale where the distribution is sharply concentrated near 40% inference-dominant; at fleet scale, the wider mean-vs-tail gap requires explicit accreditation choices between the two metrics.</w:t>
      </w:r>
    </w:p>
    <w:p w14:paraId="50A8262A" w14:textId="1AC1AA83" w:rsidR="00874687" w:rsidRPr="00CC04C7" w:rsidRDefault="00874687" w:rsidP="00874687">
      <w:pPr>
        <w:rPr>
          <w:rFonts w:ascii="Times New Roman" w:hAnsi="Times New Roman" w:cs="Times New Roman"/>
          <w:bCs/>
        </w:rPr>
      </w:pPr>
      <w:r w:rsidRPr="00CC04C7">
        <w:rPr>
          <w:rFonts w:ascii="Times New Roman" w:hAnsi="Times New Roman" w:cs="Times New Roman"/>
          <w:bCs/>
        </w:rPr>
        <w:t xml:space="preserve">Production precedent for AI-inference-specific demand response is not hypothetical. Google's 2025 agreements with the Tennessee Valley Authority and Indiana Michigan Power </w:t>
      </w:r>
      <w:r w:rsidRPr="009B57B0">
        <w:rPr>
          <w:rFonts w:ascii="Times New Roman" w:hAnsi="Times New Roman" w:cs="Times New Roman"/>
          <w:bCs/>
        </w:rPr>
        <w:t>explicitly target machine-learning workloads</w:t>
      </w:r>
      <w:r w:rsidRPr="00CC04C7">
        <w:rPr>
          <w:rFonts w:ascii="Times New Roman" w:hAnsi="Times New Roman" w:cs="Times New Roman"/>
          <w:bCs/>
        </w:rPr>
        <w:t>, following a demonstration with Omaha Public Power District in which Google reduced ML workload power demand during three grid stress events.</w:t>
      </w:r>
      <w:r w:rsidR="00E34A7A">
        <w:rPr>
          <w:rFonts w:ascii="Times New Roman" w:hAnsi="Times New Roman" w:cs="Times New Roman"/>
          <w:bCs/>
        </w:rPr>
        <w:t>[14]</w:t>
      </w:r>
      <w:r w:rsidR="00E34A7A" w:rsidRPr="00CC04C7">
        <w:rPr>
          <w:rFonts w:ascii="Times New Roman" w:hAnsi="Times New Roman" w:cs="Times New Roman"/>
          <w:bCs/>
        </w:rPr>
        <w:t xml:space="preserve"> </w:t>
      </w:r>
      <w:r w:rsidRPr="00CC04C7">
        <w:rPr>
          <w:rFonts w:ascii="Times New Roman" w:hAnsi="Times New Roman" w:cs="Times New Roman"/>
          <w:bCs/>
        </w:rPr>
        <w:t xml:space="preserve">Google's published framing acknowledges both the potential and the binding constraint on the framework's commitment depth: </w:t>
      </w:r>
      <w:r w:rsidRPr="009B57B0">
        <w:rPr>
          <w:rFonts w:ascii="Times New Roman" w:hAnsi="Times New Roman" w:cs="Times New Roman"/>
          <w:bCs/>
        </w:rPr>
        <w:t>high reliability requirements for production services.</w:t>
      </w:r>
      <w:r w:rsidRPr="00CC04C7">
        <w:rPr>
          <w:rFonts w:ascii="Times New Roman" w:hAnsi="Times New Roman" w:cs="Times New Roman"/>
          <w:bCs/>
        </w:rPr>
        <w:t xml:space="preserve"> The IEA's 2025 estimate of approximately USD 700 per MWh of energy shifted clarifies what the cascade's decomposition implies for mechanism design: composed flexibility </w:t>
      </w:r>
      <w:r w:rsidRPr="00CC04C7">
        <w:rPr>
          <w:rFonts w:ascii="Times New Roman" w:hAnsi="Times New Roman" w:cs="Times New Roman"/>
          <w:bCs/>
        </w:rPr>
        <w:lastRenderedPageBreak/>
        <w:t>has capacity-adequacy value at the hours when capacity is scarce, not energy-market value at the hours when energy is cheap, and policy frameworks should target the former.</w:t>
      </w:r>
    </w:p>
    <w:p w14:paraId="461DA0A4" w14:textId="5DCD04C7" w:rsidR="00874687" w:rsidRDefault="00874687" w:rsidP="00874687">
      <w:pPr>
        <w:rPr>
          <w:rFonts w:ascii="Times New Roman" w:hAnsi="Times New Roman" w:cs="Times New Roman"/>
          <w:bCs/>
        </w:rPr>
      </w:pPr>
      <w:r w:rsidRPr="00CC04C7">
        <w:rPr>
          <w:rFonts w:ascii="Times New Roman" w:hAnsi="Times New Roman" w:cs="Times New Roman"/>
          <w:bCs/>
        </w:rPr>
        <w:t xml:space="preserve">The framework proposed here reallocates reliability risk. Under current practice, the grid operator bears the full obligation to procure capacity at nameplate rating, with procurement costs allocated to retail ratepayers. Under this framework, the data center operator assumes responsibility for managing a portion of its own power availability through three composable mechanisms. </w:t>
      </w:r>
      <w:r w:rsidRPr="009B57B0">
        <w:rPr>
          <w:rFonts w:ascii="Times New Roman" w:hAnsi="Times New Roman" w:cs="Times New Roman"/>
          <w:bCs/>
        </w:rPr>
        <w:t>The cross-region decorrelation demonstrated in Section 3 is a physical property of the North American transmission system; within-facility power management precedent and multi-region infrastructure are established at major hyperscalers.</w:t>
      </w:r>
      <w:r w:rsidRPr="00CC04C7">
        <w:rPr>
          <w:rFonts w:ascii="Times New Roman" w:hAnsi="Times New Roman" w:cs="Times New Roman"/>
          <w:bCs/>
        </w:rPr>
        <w:t xml:space="preserve"> What remains is institutional mechanism design: flexible interconnection frameworks for facilities in the interconnection queue and accredited demand response participation for operating facilities, mutually exclusive and sequenced by grid position. </w:t>
      </w:r>
      <w:r w:rsidRPr="008833BA">
        <w:rPr>
          <w:rFonts w:ascii="Times New Roman" w:hAnsi="Times New Roman" w:cs="Times New Roman"/>
          <w:bCs/>
        </w:rPr>
        <w:t>The U.S. Department of Energy has explicitly called for the development of a flexibility taxonomy and framework to guide implementation; the framework developed here addresses that gap.</w:t>
      </w:r>
      <w:r w:rsidRPr="00CC04C7">
        <w:rPr>
          <w:rFonts w:ascii="Times New Roman" w:hAnsi="Times New Roman" w:cs="Times New Roman"/>
          <w:bCs/>
        </w:rPr>
        <w:t xml:space="preserve"> Direct empirical measurement of the dominant parameters would sharpen quantitative predictions, but the institutional gap is the binding constraint on realized value.</w:t>
      </w:r>
    </w:p>
    <w:p w14:paraId="29F750EE" w14:textId="2B938F8B" w:rsidR="00715142" w:rsidRDefault="00874687" w:rsidP="00F064BF">
      <w:pPr>
        <w:rPr>
          <w:rFonts w:ascii="Times New Roman" w:hAnsi="Times New Roman" w:cs="Times New Roman"/>
          <w:b/>
          <w:sz w:val="32"/>
          <w:szCs w:val="32"/>
        </w:rPr>
      </w:pPr>
      <w:r w:rsidRPr="00A87BDC">
        <w:rPr>
          <w:rFonts w:ascii="Times New Roman" w:hAnsi="Times New Roman" w:cs="Times New Roman"/>
          <w:bCs/>
        </w:rPr>
        <w:t xml:space="preserve">Several limitations qualify these results. </w:t>
      </w:r>
      <w:r>
        <w:rPr>
          <w:rFonts w:ascii="Times New Roman" w:hAnsi="Times New Roman" w:cs="Times New Roman"/>
          <w:bCs/>
        </w:rPr>
        <w:t>D</w:t>
      </w:r>
      <w:r w:rsidRPr="00A87BDC">
        <w:rPr>
          <w:rFonts w:ascii="Times New Roman" w:hAnsi="Times New Roman" w:cs="Times New Roman"/>
          <w:bCs/>
        </w:rPr>
        <w:t xml:space="preserve">estination compute absorption (DEST_absorb), the unpinned fraction of migration eligibility (MIG_elig Component B), and post-stress queue absorption at fleet scale (QUEUE_OK) </w:t>
      </w:r>
      <w:r>
        <w:rPr>
          <w:rFonts w:ascii="Times New Roman" w:hAnsi="Times New Roman" w:cs="Times New Roman"/>
          <w:bCs/>
        </w:rPr>
        <w:t xml:space="preserve">dominate model uncertainty and </w:t>
      </w:r>
      <w:r w:rsidRPr="00A87BDC">
        <w:rPr>
          <w:rFonts w:ascii="Times New Roman" w:hAnsi="Times New Roman" w:cs="Times New Roman"/>
          <w:bCs/>
        </w:rPr>
        <w:t>are not directly observable in public data. The literature dispute on destination utilization is particularly material, with credible estimates spanning from LBNL's 40% modeling assumption to the IEA's reported 90% for accelerated servers. The cascade and conditional Monte Carlo do not provide a precise universal estimate; rather, they show that once cross-region migration feasibility and dispatch-window compliance are established empirically (Sections 3 and 4), the remaining uncertainty concentrates in a small set of operational and institutional choices. Two further caveats apply: the system-level calculations apply PJM's 92% ELCC for demand response, but the conditional Monte Carlo tail profile suggests a full sequential reliability determination would yield a different value; and while drain-time consistency across the two production datasets provides partial cross-validation, generalization to other providers, model architectures, and deployment configurations remains open.</w:t>
      </w:r>
    </w:p>
    <w:p w14:paraId="63B73762" w14:textId="77777777" w:rsidR="00715142" w:rsidRDefault="00715142" w:rsidP="00F064BF">
      <w:pPr>
        <w:rPr>
          <w:rFonts w:ascii="Times New Roman" w:hAnsi="Times New Roman" w:cs="Times New Roman"/>
          <w:b/>
          <w:sz w:val="32"/>
          <w:szCs w:val="32"/>
        </w:rPr>
      </w:pPr>
    </w:p>
    <w:p w14:paraId="3038A43B" w14:textId="77777777" w:rsidR="00920A69" w:rsidRDefault="00920A69" w:rsidP="00F064BF">
      <w:pPr>
        <w:rPr>
          <w:rFonts w:ascii="Times New Roman" w:hAnsi="Times New Roman" w:cs="Times New Roman"/>
          <w:b/>
          <w:sz w:val="32"/>
          <w:szCs w:val="32"/>
        </w:rPr>
      </w:pPr>
    </w:p>
    <w:p w14:paraId="345839C4" w14:textId="77777777" w:rsidR="00920A69" w:rsidRDefault="00920A69" w:rsidP="00F064BF">
      <w:pPr>
        <w:rPr>
          <w:rFonts w:ascii="Times New Roman" w:hAnsi="Times New Roman" w:cs="Times New Roman"/>
          <w:b/>
          <w:sz w:val="32"/>
          <w:szCs w:val="32"/>
        </w:rPr>
      </w:pPr>
    </w:p>
    <w:p w14:paraId="7E9F9FE6" w14:textId="77777777" w:rsidR="00920A69" w:rsidRDefault="00920A69" w:rsidP="00F064BF">
      <w:pPr>
        <w:rPr>
          <w:rFonts w:ascii="Times New Roman" w:hAnsi="Times New Roman" w:cs="Times New Roman"/>
          <w:b/>
          <w:sz w:val="32"/>
          <w:szCs w:val="32"/>
        </w:rPr>
      </w:pPr>
    </w:p>
    <w:p w14:paraId="6C8F4D39" w14:textId="77777777" w:rsidR="00920A69" w:rsidRDefault="00920A69" w:rsidP="00F064BF">
      <w:pPr>
        <w:rPr>
          <w:rFonts w:ascii="Times New Roman" w:hAnsi="Times New Roman" w:cs="Times New Roman"/>
          <w:b/>
          <w:sz w:val="32"/>
          <w:szCs w:val="32"/>
        </w:rPr>
      </w:pPr>
    </w:p>
    <w:p w14:paraId="3305255B" w14:textId="4CC63FED" w:rsidR="002922E6" w:rsidRPr="00257069" w:rsidRDefault="002922E6" w:rsidP="00F064BF">
      <w:pPr>
        <w:rPr>
          <w:rFonts w:ascii="Times New Roman" w:hAnsi="Times New Roman" w:cs="Times New Roman"/>
          <w:bCs/>
        </w:rPr>
      </w:pPr>
      <w:r w:rsidRPr="00257069">
        <w:rPr>
          <w:rFonts w:ascii="Times New Roman" w:hAnsi="Times New Roman" w:cs="Times New Roman"/>
          <w:b/>
          <w:sz w:val="32"/>
          <w:szCs w:val="32"/>
        </w:rPr>
        <w:lastRenderedPageBreak/>
        <w:t>Methods</w:t>
      </w:r>
    </w:p>
    <w:p w14:paraId="6D0A8592" w14:textId="77777777" w:rsidR="00715142" w:rsidRDefault="001D6E1E" w:rsidP="001D6E1E">
      <w:pPr>
        <w:spacing w:before="240" w:after="180"/>
        <w:rPr>
          <w:rFonts w:ascii="Times New Roman" w:eastAsia="Calibri" w:hAnsi="Times New Roman" w:cs="Times New Roman"/>
          <w:b/>
          <w:bCs/>
        </w:rPr>
      </w:pPr>
      <w:r w:rsidRPr="001D6E1E">
        <w:rPr>
          <w:rFonts w:ascii="Times New Roman" w:eastAsia="Calibri" w:hAnsi="Times New Roman" w:cs="Times New Roman"/>
          <w:b/>
          <w:bCs/>
        </w:rPr>
        <w:t>Framework structure</w:t>
      </w:r>
    </w:p>
    <w:p w14:paraId="07C83AF7" w14:textId="0A3F564A" w:rsidR="001C649C" w:rsidRPr="00715142" w:rsidRDefault="001C649C" w:rsidP="001D6E1E">
      <w:pPr>
        <w:spacing w:before="240" w:after="180"/>
        <w:rPr>
          <w:rFonts w:ascii="Times New Roman" w:eastAsia="Calibri" w:hAnsi="Times New Roman" w:cs="Times New Roman"/>
        </w:rPr>
      </w:pPr>
      <w:r w:rsidRPr="001C649C">
        <w:rPr>
          <w:rFonts w:ascii="Times New Roman" w:eastAsia="Calibri" w:hAnsi="Times New Roman" w:cs="Times New Roman"/>
        </w:rPr>
        <w:t xml:space="preserve">The framework decomposes accreditable system slack — the fraction of nameplate inference load simultaneously flexible, operationally committable, and capacity-accreditable during a grid dispatch event — into three composable mechanisms (spatial migration, temporal deferral of non-interactive workloads, and DVFS on residual compute), each itself a small mini-cascade of multiplicatively-composed parameters representing the conditions that must hold for one MW of that mechanism's contribution to realize. The three mini-cascades compose additively at the megawatt layer with sequential ordering </w:t>
      </w:r>
      <w:r w:rsidR="00023319">
        <w:rPr>
          <w:rFonts w:ascii="Times New Roman" w:eastAsia="Calibri" w:hAnsi="Times New Roman" w:cs="Times New Roman"/>
        </w:rPr>
        <w:t>of</w:t>
      </w:r>
      <w:r w:rsidRPr="001C649C">
        <w:rPr>
          <w:rFonts w:ascii="Times New Roman" w:eastAsia="Calibri" w:hAnsi="Times New Roman" w:cs="Times New Roman"/>
        </w:rPr>
        <w:t xml:space="preserve"> spatial first, deferral on residual after spatial, DVFS on residual after both and an explicit overlap correction reflecting that DVFS at the source partially substitutes for deferral when work returns post-event.</w:t>
      </w:r>
    </w:p>
    <w:p w14:paraId="1104B6D9" w14:textId="278A407A" w:rsidR="001D6E1E" w:rsidRPr="001D6E1E" w:rsidRDefault="002E5E67" w:rsidP="00877A4C">
      <w:pPr>
        <w:spacing w:before="240" w:after="180"/>
        <w:rPr>
          <w:rFonts w:ascii="Times New Roman" w:eastAsia="Calibri" w:hAnsi="Times New Roman" w:cs="Times New Roman"/>
        </w:rPr>
      </w:pPr>
      <w:r w:rsidRPr="002E5E67">
        <w:rPr>
          <w:rFonts w:ascii="Times New Roman" w:eastAsia="Calibri" w:hAnsi="Times New Roman" w:cs="Times New Roman"/>
        </w:rPr>
        <w:t>The framework is reported under two scope scenarios reflecting the bi-modal heterogeneity of the projected 2030 data-center fleet: a mixed-use facility (φ_inf,mixed = 0.43, McKinsey December 2025) and an inference-dominant facility (φ_inf,dominant = 0.70, anchored in IEA 2025 and Zhou et al. 2024).</w:t>
      </w:r>
    </w:p>
    <w:p w14:paraId="5689EB7D" w14:textId="7FEB3120" w:rsidR="00877A4C" w:rsidRPr="00190400" w:rsidRDefault="001D6E1E" w:rsidP="00877A4C">
      <w:pPr>
        <w:spacing w:before="240" w:after="180"/>
        <w:rPr>
          <w:rFonts w:ascii="Times New Roman" w:hAnsi="Times New Roman" w:cs="Times New Roman"/>
        </w:rPr>
      </w:pPr>
      <w:r>
        <w:rPr>
          <w:rFonts w:ascii="Times New Roman" w:eastAsia="Calibri" w:hAnsi="Times New Roman" w:cs="Times New Roman"/>
          <w:b/>
          <w:bCs/>
        </w:rPr>
        <w:t>P</w:t>
      </w:r>
      <w:r w:rsidR="00877A4C" w:rsidRPr="00190400">
        <w:rPr>
          <w:rFonts w:ascii="Times New Roman" w:eastAsia="Calibri" w:hAnsi="Times New Roman" w:cs="Times New Roman"/>
          <w:b/>
          <w:bCs/>
        </w:rPr>
        <w:t>arameter specifications.</w:t>
      </w:r>
    </w:p>
    <w:p w14:paraId="7E1BE149" w14:textId="2048F857" w:rsidR="00923425" w:rsidRDefault="002E5E67" w:rsidP="00877A4C">
      <w:pPr>
        <w:spacing w:before="120" w:after="120" w:line="300" w:lineRule="auto"/>
        <w:rPr>
          <w:rFonts w:ascii="Times New Roman" w:eastAsia="Calibri" w:hAnsi="Times New Roman" w:cs="Times New Roman"/>
        </w:rPr>
        <w:sectPr w:rsidR="00923425">
          <w:endnotePr>
            <w:numFmt w:val="decimal"/>
          </w:endnotePr>
          <w:pgSz w:w="12240" w:h="15840"/>
          <w:pgMar w:top="1440" w:right="1440" w:bottom="1440" w:left="1440" w:header="720" w:footer="720" w:gutter="0"/>
          <w:cols w:space="720"/>
          <w:docGrid w:linePitch="360"/>
        </w:sectPr>
      </w:pPr>
      <w:r w:rsidRPr="002E5E67">
        <w:rPr>
          <w:rFonts w:ascii="Times New Roman" w:eastAsia="Calibri" w:hAnsi="Times New Roman" w:cs="Times New Roman"/>
        </w:rPr>
        <w:t xml:space="preserve">Specifications for all eleven framework parameters are reported in Table M1, organized into four groups: scope scalar (1 parameter), spatial mini-cascade (6 parameters), deferral mini-cascade (3 parameters), and DVFS mini-cascade (2 parameters). </w:t>
      </w:r>
    </w:p>
    <w:p w14:paraId="3F64CDB3" w14:textId="42CE80A9" w:rsidR="00877A4C" w:rsidRPr="00190400" w:rsidRDefault="00877A4C" w:rsidP="00877A4C">
      <w:pPr>
        <w:spacing w:before="240" w:after="120"/>
        <w:rPr>
          <w:rFonts w:ascii="Times New Roman" w:hAnsi="Times New Roman" w:cs="Times New Roman"/>
        </w:rPr>
      </w:pPr>
      <w:r w:rsidRPr="00190400">
        <w:rPr>
          <w:rFonts w:ascii="Times New Roman" w:eastAsia="Calibri" w:hAnsi="Times New Roman" w:cs="Times New Roman"/>
          <w:b/>
          <w:bCs/>
          <w:i/>
          <w:iCs/>
        </w:rPr>
        <w:lastRenderedPageBreak/>
        <w:t>Table M1. Cascade parameter specifications.</w:t>
      </w:r>
    </w:p>
    <w:tbl>
      <w:tblPr>
        <w:tblW w:w="13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5"/>
        <w:gridCol w:w="936"/>
        <w:gridCol w:w="1404"/>
        <w:gridCol w:w="810"/>
        <w:gridCol w:w="1980"/>
        <w:gridCol w:w="4066"/>
        <w:gridCol w:w="2919"/>
      </w:tblGrid>
      <w:tr w:rsidR="00710748" w:rsidRPr="00A025CD" w14:paraId="35144E17" w14:textId="77777777" w:rsidTr="00023319">
        <w:trPr>
          <w:trHeight w:val="243"/>
        </w:trPr>
        <w:tc>
          <w:tcPr>
            <w:tcW w:w="1075"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193417C8" w14:textId="162B955D" w:rsidR="001D6E1E" w:rsidRPr="00A025CD" w:rsidRDefault="001D6E1E" w:rsidP="00A025CD">
            <w:pPr>
              <w:spacing w:line="240" w:lineRule="auto"/>
              <w:rPr>
                <w:rFonts w:ascii="Times New Roman" w:hAnsi="Times New Roman" w:cs="Times New Roman"/>
                <w:sz w:val="16"/>
                <w:szCs w:val="16"/>
              </w:rPr>
            </w:pPr>
            <w:r>
              <w:rPr>
                <w:rFonts w:ascii="Times New Roman" w:eastAsia="Calibri" w:hAnsi="Times New Roman" w:cs="Times New Roman"/>
                <w:b/>
                <w:bCs/>
                <w:sz w:val="16"/>
                <w:szCs w:val="16"/>
              </w:rPr>
              <w:t>Mechanism</w:t>
            </w:r>
          </w:p>
        </w:tc>
        <w:tc>
          <w:tcPr>
            <w:tcW w:w="936" w:type="dxa"/>
            <w:tcBorders>
              <w:top w:val="single" w:sz="4" w:space="0" w:color="666666"/>
              <w:left w:val="single" w:sz="4" w:space="0" w:color="666666"/>
              <w:bottom w:val="single" w:sz="4" w:space="0" w:color="666666"/>
              <w:right w:val="single" w:sz="4" w:space="0" w:color="666666"/>
            </w:tcBorders>
            <w:shd w:val="clear" w:color="auto" w:fill="E8E8E8"/>
          </w:tcPr>
          <w:p w14:paraId="0C546E9C" w14:textId="1C72DD51" w:rsidR="001D6E1E" w:rsidRPr="00A025CD" w:rsidRDefault="001D6E1E" w:rsidP="001D6E1E">
            <w:pPr>
              <w:spacing w:line="240" w:lineRule="auto"/>
              <w:jc w:val="center"/>
              <w:rPr>
                <w:rFonts w:ascii="Times New Roman" w:eastAsia="Calibri" w:hAnsi="Times New Roman" w:cs="Times New Roman"/>
                <w:b/>
                <w:bCs/>
                <w:sz w:val="16"/>
                <w:szCs w:val="16"/>
              </w:rPr>
            </w:pPr>
            <w:r>
              <w:rPr>
                <w:rFonts w:ascii="Times New Roman" w:eastAsia="Calibri" w:hAnsi="Times New Roman" w:cs="Times New Roman"/>
                <w:b/>
                <w:bCs/>
                <w:sz w:val="16"/>
                <w:szCs w:val="16"/>
              </w:rPr>
              <w:t>Parameter</w:t>
            </w:r>
          </w:p>
        </w:tc>
        <w:tc>
          <w:tcPr>
            <w:tcW w:w="1404"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7E811FA1" w14:textId="59B192AA" w:rsidR="001D6E1E" w:rsidRPr="00A025CD" w:rsidRDefault="001D6E1E"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Symbol</w:t>
            </w:r>
          </w:p>
        </w:tc>
        <w:tc>
          <w:tcPr>
            <w:tcW w:w="81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3AA76ABC"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Central</w:t>
            </w:r>
          </w:p>
        </w:tc>
        <w:tc>
          <w:tcPr>
            <w:tcW w:w="198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3B682E4"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Distribution</w:t>
            </w:r>
          </w:p>
        </w:tc>
        <w:tc>
          <w:tcPr>
            <w:tcW w:w="4066"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BC84170"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Empirical basis</w:t>
            </w:r>
          </w:p>
        </w:tc>
        <w:tc>
          <w:tcPr>
            <w:tcW w:w="2919"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5C835302" w14:textId="77777777" w:rsidR="001D6E1E" w:rsidRPr="00E33BC8" w:rsidRDefault="001D6E1E" w:rsidP="00A025CD">
            <w:pPr>
              <w:spacing w:line="240" w:lineRule="auto"/>
              <w:rPr>
                <w:rFonts w:ascii="Times New Roman" w:hAnsi="Times New Roman" w:cs="Times New Roman"/>
                <w:sz w:val="16"/>
                <w:szCs w:val="16"/>
              </w:rPr>
            </w:pPr>
            <w:r w:rsidRPr="00E33BC8">
              <w:rPr>
                <w:rFonts w:ascii="Times New Roman" w:eastAsia="Calibri" w:hAnsi="Times New Roman" w:cs="Times New Roman"/>
                <w:b/>
                <w:bCs/>
                <w:sz w:val="16"/>
                <w:szCs w:val="16"/>
              </w:rPr>
              <w:t>Key sources</w:t>
            </w:r>
          </w:p>
        </w:tc>
      </w:tr>
      <w:tr w:rsidR="00710748" w:rsidRPr="00A025CD" w14:paraId="077803C4"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704A471" w14:textId="70CB65FA"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Scope scalar</w:t>
            </w:r>
          </w:p>
        </w:tc>
        <w:tc>
          <w:tcPr>
            <w:tcW w:w="936" w:type="dxa"/>
            <w:tcBorders>
              <w:top w:val="single" w:sz="4" w:space="0" w:color="666666"/>
              <w:left w:val="single" w:sz="4" w:space="0" w:color="666666"/>
              <w:bottom w:val="single" w:sz="4" w:space="0" w:color="666666"/>
              <w:right w:val="single" w:sz="4" w:space="0" w:color="666666"/>
            </w:tcBorders>
          </w:tcPr>
          <w:p w14:paraId="67C2E42E" w14:textId="636A5173" w:rsidR="001D6E1E" w:rsidRPr="00A025CD" w:rsidRDefault="005657DD" w:rsidP="00FA589C">
            <w:pPr>
              <w:rPr>
                <w:rFonts w:ascii="Times New Roman" w:eastAsia="Calibri" w:hAnsi="Times New Roman" w:cs="Times New Roman"/>
                <w:sz w:val="16"/>
                <w:szCs w:val="16"/>
              </w:rPr>
            </w:pPr>
            <w:r>
              <w:rPr>
                <w:rFonts w:ascii="Times New Roman" w:eastAsia="Calibri" w:hAnsi="Times New Roman" w:cs="Times New Roman"/>
                <w:sz w:val="16"/>
                <w:szCs w:val="16"/>
              </w:rPr>
              <w:t>Mixed-use inference share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2565F5" w14:textId="25014361" w:rsidR="001D6E1E" w:rsidRPr="00A025CD" w:rsidRDefault="005657DD" w:rsidP="00036805">
            <w:pPr>
              <w:rPr>
                <w:rFonts w:ascii="Times New Roman" w:hAnsi="Times New Roman" w:cs="Times New Roman"/>
                <w:sz w:val="16"/>
                <w:szCs w:val="16"/>
              </w:rPr>
            </w:pPr>
            <w:r w:rsidRPr="005657DD">
              <w:rPr>
                <w:rFonts w:ascii="Times New Roman" w:eastAsia="Calibri" w:hAnsi="Times New Roman" w:cs="Times New Roman"/>
                <w:sz w:val="16"/>
                <w:szCs w:val="16"/>
              </w:rPr>
              <w:t>φ_inf,mixed</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C538DB" w14:textId="3D082AE3"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43</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222DCA8" w14:textId="4E8C9DCD"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Uniform[0.30,0.50]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781496" w14:textId="1358109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McKinsey Dec 2025 base case: 93.3 GW inference / 219 GW total in 2030; "more than 40 percent of data center demand"</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BAAC7D" w14:textId="14030B83"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w:t>
            </w:r>
            <w:r w:rsidR="00DC42BA">
              <w:rPr>
                <w:rFonts w:ascii="Times New Roman" w:eastAsia="Calibri" w:hAnsi="Times New Roman" w:cs="Times New Roman"/>
                <w:sz w:val="16"/>
                <w:szCs w:val="16"/>
              </w:rPr>
              <w:t>[9]</w:t>
            </w:r>
          </w:p>
        </w:tc>
      </w:tr>
      <w:tr w:rsidR="00710748" w:rsidRPr="00A025CD" w14:paraId="1D16C180"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2352D34" w14:textId="43E3A366"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Scope scalar</w:t>
            </w:r>
          </w:p>
        </w:tc>
        <w:tc>
          <w:tcPr>
            <w:tcW w:w="936" w:type="dxa"/>
            <w:tcBorders>
              <w:top w:val="single" w:sz="4" w:space="0" w:color="666666"/>
              <w:left w:val="single" w:sz="4" w:space="0" w:color="666666"/>
              <w:bottom w:val="single" w:sz="4" w:space="0" w:color="666666"/>
              <w:right w:val="single" w:sz="4" w:space="0" w:color="666666"/>
            </w:tcBorders>
          </w:tcPr>
          <w:p w14:paraId="5B1C405E" w14:textId="584FA31E"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Inference-dominant scope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13E3CD" w14:textId="1940DC6D" w:rsidR="001D6E1E" w:rsidRPr="00A025CD" w:rsidRDefault="005657DD" w:rsidP="00036805">
            <w:pPr>
              <w:rPr>
                <w:rFonts w:ascii="Times New Roman" w:hAnsi="Times New Roman" w:cs="Times New Roman"/>
                <w:sz w:val="16"/>
                <w:szCs w:val="16"/>
              </w:rPr>
            </w:pPr>
            <w:r w:rsidRPr="005657DD">
              <w:rPr>
                <w:rFonts w:ascii="Times New Roman" w:eastAsia="Calibri" w:hAnsi="Times New Roman" w:cs="Times New Roman"/>
                <w:sz w:val="16"/>
                <w:szCs w:val="16"/>
              </w:rPr>
              <w:t>φ_inf,</w:t>
            </w:r>
            <w:r>
              <w:rPr>
                <w:rFonts w:ascii="Times New Roman" w:eastAsia="Calibri" w:hAnsi="Times New Roman" w:cs="Times New Roman"/>
                <w:sz w:val="16"/>
                <w:szCs w:val="16"/>
              </w:rPr>
              <w:t>dominant</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F172D5B" w14:textId="77777777"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0.70</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33B588" w14:textId="7DB8D802"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Uniform[0.60, 0.</w:t>
            </w:r>
            <w:r w:rsidR="003A1A7B" w:rsidRPr="003A1A7B">
              <w:rPr>
                <w:rFonts w:ascii="Times New Roman" w:eastAsia="Calibri" w:hAnsi="Times New Roman" w:cs="Times New Roman"/>
                <w:sz w:val="16"/>
                <w:szCs w:val="16"/>
              </w:rPr>
              <w:t>85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5C7E219" w14:textId="578A46C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Scenario construction; AI-focused HPC class per IEA and Zhou et al.; threshold below which facility no longer inference-dominant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99BB1" w14:textId="5C528697"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IEA (2025)</w:t>
            </w:r>
            <w:r w:rsidR="00DC42BA">
              <w:rPr>
                <w:rFonts w:ascii="Times New Roman" w:eastAsia="Calibri" w:hAnsi="Times New Roman" w:cs="Times New Roman"/>
                <w:sz w:val="16"/>
                <w:szCs w:val="16"/>
              </w:rPr>
              <w:t>[4]</w:t>
            </w:r>
            <w:r w:rsidRPr="00E33BC8">
              <w:rPr>
                <w:rFonts w:ascii="Times New Roman" w:eastAsia="Calibri" w:hAnsi="Times New Roman" w:cs="Times New Roman"/>
                <w:sz w:val="16"/>
                <w:szCs w:val="16"/>
              </w:rPr>
              <w:t>; Zhou et al. (2024)</w:t>
            </w:r>
            <w:r w:rsidR="00DC42BA">
              <w:rPr>
                <w:rFonts w:ascii="Times New Roman" w:eastAsia="Calibri" w:hAnsi="Times New Roman" w:cs="Times New Roman"/>
                <w:sz w:val="16"/>
                <w:szCs w:val="16"/>
              </w:rPr>
              <w:t>[10]</w:t>
            </w:r>
          </w:p>
        </w:tc>
      </w:tr>
      <w:tr w:rsidR="00710748" w:rsidRPr="00A025CD" w14:paraId="68D925AB"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0A0A12" w14:textId="1B190E7B"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BFFDF40" w14:textId="77F679A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Migration eligibility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30FB5A" w14:textId="2A7DBA8E"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MIG_elig</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32788FB" w14:textId="78AE48CE"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65</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EBEE47E" w14:textId="0B59529B"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4</w:t>
            </w:r>
            <w:r w:rsidRPr="003A1A7B">
              <w:rPr>
                <w:rFonts w:ascii="Times New Roman" w:eastAsia="Calibri" w:hAnsi="Times New Roman" w:cs="Times New Roman"/>
                <w:sz w:val="16"/>
                <w:szCs w:val="16"/>
              </w:rPr>
              <w:t>5, 0.</w:t>
            </w:r>
            <w:r w:rsidR="003A1A7B" w:rsidRPr="003A1A7B">
              <w:rPr>
                <w:rFonts w:ascii="Times New Roman" w:eastAsia="Calibri" w:hAnsi="Times New Roman" w:cs="Times New Roman"/>
                <w:sz w:val="16"/>
                <w:szCs w:val="16"/>
              </w:rPr>
              <w:t>8</w:t>
            </w:r>
            <w:r w:rsidRPr="003A1A7B">
              <w:rPr>
                <w:rFonts w:ascii="Times New Roman" w:eastAsia="Calibri" w:hAnsi="Times New Roman" w:cs="Times New Roman"/>
                <w:sz w:val="16"/>
                <w:szCs w:val="16"/>
              </w:rPr>
              <w:t>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C509169" w14:textId="3401C350"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Architectural portability (McKinsey atomizability) × unpinned (no published measurement; bounded by enterprise contractual restrictions)</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9E7489A" w14:textId="589BDDB8"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w:t>
            </w:r>
            <w:r w:rsidR="00DC42BA">
              <w:rPr>
                <w:rFonts w:ascii="Times New Roman" w:eastAsia="Calibri" w:hAnsi="Times New Roman" w:cs="Times New Roman"/>
                <w:sz w:val="16"/>
                <w:szCs w:val="16"/>
              </w:rPr>
              <w:t>[9]</w:t>
            </w:r>
            <w:r w:rsidRPr="00E33BC8">
              <w:rPr>
                <w:rFonts w:ascii="Times New Roman" w:eastAsia="Calibri" w:hAnsi="Times New Roman" w:cs="Times New Roman"/>
                <w:sz w:val="16"/>
                <w:szCs w:val="16"/>
              </w:rPr>
              <w:t>; Patel et al.</w:t>
            </w:r>
            <w:r w:rsidR="003729C7">
              <w:rPr>
                <w:rFonts w:ascii="Times New Roman" w:eastAsia="Calibri" w:hAnsi="Times New Roman" w:cs="Times New Roman"/>
                <w:sz w:val="16"/>
                <w:szCs w:val="16"/>
              </w:rPr>
              <w:t>[15]</w:t>
            </w:r>
            <w:r w:rsidRPr="00E33BC8">
              <w:rPr>
                <w:rFonts w:ascii="Times New Roman" w:eastAsia="Calibri" w:hAnsi="Times New Roman" w:cs="Times New Roman"/>
                <w:sz w:val="16"/>
                <w:szCs w:val="16"/>
              </w:rPr>
              <w:t>, ISCA (2024); Zhong et al., OSDI (2024)</w:t>
            </w:r>
            <w:r w:rsidR="00DC42BA">
              <w:rPr>
                <w:rFonts w:ascii="Times New Roman" w:eastAsia="Calibri" w:hAnsi="Times New Roman" w:cs="Times New Roman"/>
                <w:sz w:val="16"/>
                <w:szCs w:val="16"/>
              </w:rPr>
              <w:t>[1</w:t>
            </w:r>
            <w:r w:rsidR="00482036">
              <w:rPr>
                <w:rFonts w:ascii="Times New Roman" w:eastAsia="Calibri" w:hAnsi="Times New Roman" w:cs="Times New Roman"/>
                <w:sz w:val="16"/>
                <w:szCs w:val="16"/>
              </w:rPr>
              <w:t>6</w:t>
            </w:r>
            <w:r w:rsidR="00DC42BA">
              <w:rPr>
                <w:rFonts w:ascii="Times New Roman" w:eastAsia="Calibri" w:hAnsi="Times New Roman" w:cs="Times New Roman"/>
                <w:sz w:val="16"/>
                <w:szCs w:val="16"/>
              </w:rPr>
              <w:t>]</w:t>
            </w:r>
            <w:r w:rsidRPr="00E33BC8">
              <w:rPr>
                <w:rFonts w:ascii="Times New Roman" w:eastAsia="Calibri" w:hAnsi="Times New Roman" w:cs="Times New Roman"/>
                <w:sz w:val="16"/>
                <w:szCs w:val="16"/>
              </w:rPr>
              <w:t>; Qin et al. (2024)</w:t>
            </w:r>
            <w:r w:rsidR="00DC42BA">
              <w:rPr>
                <w:rFonts w:ascii="Times New Roman" w:eastAsia="Calibri" w:hAnsi="Times New Roman" w:cs="Times New Roman"/>
                <w:sz w:val="16"/>
                <w:szCs w:val="16"/>
              </w:rPr>
              <w:t>[1</w:t>
            </w:r>
            <w:r w:rsidR="00482036">
              <w:rPr>
                <w:rFonts w:ascii="Times New Roman" w:eastAsia="Calibri" w:hAnsi="Times New Roman" w:cs="Times New Roman"/>
                <w:sz w:val="16"/>
                <w:szCs w:val="16"/>
              </w:rPr>
              <w:t>7</w:t>
            </w:r>
            <w:r w:rsidR="00DC42BA">
              <w:rPr>
                <w:rFonts w:ascii="Times New Roman" w:eastAsia="Calibri" w:hAnsi="Times New Roman" w:cs="Times New Roman"/>
                <w:sz w:val="16"/>
                <w:szCs w:val="16"/>
              </w:rPr>
              <w:t>]</w:t>
            </w:r>
          </w:p>
        </w:tc>
      </w:tr>
      <w:tr w:rsidR="00710748" w:rsidRPr="00A025CD" w14:paraId="39E0592A"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86F646" w14:textId="1720B168"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09A37DC2" w14:textId="3536C0B6"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Drain within window</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A2BD82" w14:textId="57C27D46"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DRAIN_ok</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74D1B97" w14:textId="60C735A4" w:rsidR="001D6E1E" w:rsidRPr="003A1A7B" w:rsidRDefault="003A1A7B" w:rsidP="00036805">
            <w:pPr>
              <w:rPr>
                <w:rFonts w:ascii="Times New Roman" w:hAnsi="Times New Roman" w:cs="Times New Roman"/>
                <w:sz w:val="16"/>
                <w:szCs w:val="16"/>
              </w:rPr>
            </w:pPr>
            <w:r>
              <w:rPr>
                <w:rFonts w:ascii="Times New Roman" w:eastAsia="Calibri" w:hAnsi="Times New Roman" w:cs="Times New Roman"/>
                <w:sz w:val="16"/>
                <w:szCs w:val="16"/>
              </w:rPr>
              <w:t>0.9</w:t>
            </w:r>
            <w:r w:rsidR="00817783">
              <w:rPr>
                <w:rFonts w:ascii="Times New Roman" w:eastAsia="Calibri" w:hAnsi="Times New Roman" w:cs="Times New Roman"/>
                <w:sz w:val="16"/>
                <w:szCs w:val="16"/>
              </w:rPr>
              <w:t>5</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2830F9" w14:textId="4D4323A1"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Uniform[0.90,0.98]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4EB6E04" w14:textId="15D66214"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P99 drain times 4.5–12.1 s vs. 10-minute minimum dispatch window</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6E853B7" w14:textId="1817AF46" w:rsidR="001D6E1E" w:rsidRPr="00E33BC8" w:rsidRDefault="001D6E1E" w:rsidP="00036805">
            <w:pPr>
              <w:rPr>
                <w:rFonts w:ascii="Times New Roman" w:hAnsi="Times New Roman" w:cs="Times New Roman"/>
                <w:sz w:val="16"/>
                <w:szCs w:val="16"/>
              </w:rPr>
            </w:pPr>
            <w:r w:rsidRPr="00E33BC8">
              <w:rPr>
                <w:rFonts w:ascii="Times New Roman" w:eastAsia="Calibri" w:hAnsi="Times New Roman" w:cs="Times New Roman"/>
                <w:sz w:val="16"/>
                <w:szCs w:val="16"/>
              </w:rPr>
              <w:t xml:space="preserve">This paper, Section </w:t>
            </w:r>
            <w:r w:rsidR="00E33BC8" w:rsidRPr="00E33BC8">
              <w:rPr>
                <w:rFonts w:ascii="Times New Roman" w:eastAsia="Calibri" w:hAnsi="Times New Roman" w:cs="Times New Roman"/>
                <w:sz w:val="16"/>
                <w:szCs w:val="16"/>
              </w:rPr>
              <w:t>4</w:t>
            </w:r>
          </w:p>
        </w:tc>
      </w:tr>
      <w:tr w:rsidR="00710748" w:rsidRPr="00A025CD" w14:paraId="469CBED1"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C9773F" w14:textId="3A778AF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3475D5FC" w14:textId="74F9289E"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region availability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1F0A7AB" w14:textId="411E0998"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DEST_avail</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85D27A8" w14:textId="27728384"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Observed</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C73E62" w14:textId="33817FD7"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Per-hour from data</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EB11416" w14:textId="1B3862DE" w:rsidR="001D6E1E"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200 ComEd stress hours × unstressed-destination capacities from day-ahead LMP across five RTOs; capacity-weighted any-destination availability 94.5%</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5C6BB4" w14:textId="672500B7" w:rsidR="001D6E1E" w:rsidRPr="00093498" w:rsidRDefault="00E33BC8" w:rsidP="00552814">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This paper, Section 3; IEA (2025)</w:t>
            </w:r>
            <w:r w:rsidR="00FA589C">
              <w:rPr>
                <w:rFonts w:ascii="Times New Roman" w:eastAsia="Calibri" w:hAnsi="Times New Roman" w:cs="Times New Roman"/>
                <w:sz w:val="16"/>
                <w:szCs w:val="16"/>
              </w:rPr>
              <w:t>[4]</w:t>
            </w:r>
          </w:p>
        </w:tc>
      </w:tr>
      <w:tr w:rsidR="00710748" w:rsidRPr="00A025CD" w14:paraId="50F58CC2"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513D75" w14:textId="3FBECCE9"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9E26A05" w14:textId="76AD214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compute absorption</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5AF69B2" w14:textId="6E846936" w:rsidR="001D6E1E" w:rsidRPr="00A025CD" w:rsidRDefault="001D6E1E" w:rsidP="00036805">
            <w:pPr>
              <w:rPr>
                <w:rFonts w:ascii="Times New Roman" w:hAnsi="Times New Roman" w:cs="Times New Roman"/>
                <w:sz w:val="16"/>
                <w:szCs w:val="16"/>
              </w:rPr>
            </w:pPr>
            <w:r w:rsidRPr="00A025CD">
              <w:rPr>
                <w:rFonts w:ascii="Times New Roman" w:eastAsia="Calibri" w:hAnsi="Times New Roman" w:cs="Times New Roman"/>
                <w:sz w:val="16"/>
                <w:szCs w:val="16"/>
              </w:rPr>
              <w:t>D</w:t>
            </w:r>
            <w:r w:rsidR="005657DD">
              <w:rPr>
                <w:rFonts w:ascii="Times New Roman" w:eastAsia="Calibri" w:hAnsi="Times New Roman" w:cs="Times New Roman"/>
                <w:sz w:val="16"/>
                <w:szCs w:val="16"/>
              </w:rPr>
              <w:t>EST_absorp</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76DAB5" w14:textId="4775129B"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0.30</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B13423" w14:textId="0D85CADF"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Uniform[0.15,0.55]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829E925" w14:textId="0A911DCD"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Headroom × hardware compatibility × pre-staging; literature dispute on utilization (LBNL 40%, IEA 90%, Knittel 80%, Zhou 70-80%, Guidi 75%, Uptime &lt;40%)</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E226C0" w14:textId="4A4DE831"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Shehabi et al., LBNL (2024)</w:t>
            </w:r>
            <w:r w:rsidR="003729C7">
              <w:rPr>
                <w:rFonts w:ascii="Times New Roman" w:eastAsia="Calibri" w:hAnsi="Times New Roman" w:cs="Times New Roman"/>
                <w:sz w:val="16"/>
                <w:szCs w:val="16"/>
              </w:rPr>
              <w:t>[3]</w:t>
            </w:r>
            <w:r w:rsidRPr="00E33BC8">
              <w:rPr>
                <w:rFonts w:ascii="Times New Roman" w:eastAsia="Calibri" w:hAnsi="Times New Roman" w:cs="Times New Roman"/>
                <w:sz w:val="16"/>
                <w:szCs w:val="16"/>
              </w:rPr>
              <w:t>; IEA (2025)</w:t>
            </w:r>
            <w:r w:rsidR="00FA589C">
              <w:rPr>
                <w:rFonts w:ascii="Times New Roman" w:eastAsia="Calibri" w:hAnsi="Times New Roman" w:cs="Times New Roman"/>
                <w:sz w:val="16"/>
                <w:szCs w:val="16"/>
              </w:rPr>
              <w:t>[4]</w:t>
            </w:r>
            <w:r w:rsidRPr="00E33BC8">
              <w:rPr>
                <w:rFonts w:ascii="Times New Roman" w:eastAsia="Calibri" w:hAnsi="Times New Roman" w:cs="Times New Roman"/>
                <w:sz w:val="16"/>
                <w:szCs w:val="16"/>
              </w:rPr>
              <w:t>; Zhou et al. (2024)</w:t>
            </w:r>
            <w:r w:rsidR="00FA589C">
              <w:rPr>
                <w:rFonts w:ascii="Times New Roman" w:eastAsia="Calibri" w:hAnsi="Times New Roman" w:cs="Times New Roman"/>
                <w:sz w:val="16"/>
                <w:szCs w:val="16"/>
              </w:rPr>
              <w:t>[10]</w:t>
            </w:r>
            <w:r w:rsidRPr="00E33BC8">
              <w:rPr>
                <w:rFonts w:ascii="Times New Roman" w:eastAsia="Calibri" w:hAnsi="Times New Roman" w:cs="Times New Roman"/>
                <w:sz w:val="16"/>
                <w:szCs w:val="16"/>
              </w:rPr>
              <w:t>; Knittel et al. (2025)</w:t>
            </w:r>
            <w:r w:rsidR="00FA589C">
              <w:rPr>
                <w:rFonts w:ascii="Times New Roman" w:eastAsia="Calibri" w:hAnsi="Times New Roman" w:cs="Times New Roman"/>
                <w:sz w:val="16"/>
                <w:szCs w:val="16"/>
              </w:rPr>
              <w:t>[1</w:t>
            </w:r>
            <w:r w:rsidR="00482036">
              <w:rPr>
                <w:rFonts w:ascii="Times New Roman" w:eastAsia="Calibri" w:hAnsi="Times New Roman" w:cs="Times New Roman"/>
                <w:sz w:val="16"/>
                <w:szCs w:val="16"/>
              </w:rPr>
              <w:t>8</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NVIDIA CUDA documentation</w:t>
            </w:r>
            <w:r w:rsidR="00FA589C">
              <w:rPr>
                <w:rFonts w:ascii="Times New Roman" w:eastAsia="Calibri" w:hAnsi="Times New Roman" w:cs="Times New Roman"/>
                <w:sz w:val="16"/>
                <w:szCs w:val="16"/>
              </w:rPr>
              <w:t>[</w:t>
            </w:r>
            <w:r w:rsidR="00482036">
              <w:rPr>
                <w:rFonts w:ascii="Times New Roman" w:eastAsia="Calibri" w:hAnsi="Times New Roman" w:cs="Times New Roman"/>
                <w:sz w:val="16"/>
                <w:szCs w:val="16"/>
              </w:rPr>
              <w:t>19</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NVIDIA Run:ai Model Streamer (2025)</w:t>
            </w:r>
            <w:r w:rsidR="00FA589C">
              <w:rPr>
                <w:rFonts w:ascii="Times New Roman" w:eastAsia="Calibri" w:hAnsi="Times New Roman" w:cs="Times New Roman"/>
                <w:sz w:val="16"/>
                <w:szCs w:val="16"/>
              </w:rPr>
              <w:t>[</w:t>
            </w:r>
            <w:r w:rsidR="00482036">
              <w:rPr>
                <w:rFonts w:ascii="Times New Roman" w:eastAsia="Calibri" w:hAnsi="Times New Roman" w:cs="Times New Roman"/>
                <w:sz w:val="16"/>
                <w:szCs w:val="16"/>
              </w:rPr>
              <w:t>20</w:t>
            </w:r>
            <w:r w:rsidR="00FA589C">
              <w:rPr>
                <w:rFonts w:ascii="Times New Roman" w:eastAsia="Calibri" w:hAnsi="Times New Roman" w:cs="Times New Roman"/>
                <w:sz w:val="16"/>
                <w:szCs w:val="16"/>
              </w:rPr>
              <w:t>]</w:t>
            </w:r>
          </w:p>
        </w:tc>
      </w:tr>
      <w:tr w:rsidR="00710748" w:rsidRPr="00A025CD" w14:paraId="1F487BF8"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725D5CD" w14:textId="69D2F287"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 xml:space="preserve">Spatial </w:t>
            </w:r>
          </w:p>
        </w:tc>
        <w:tc>
          <w:tcPr>
            <w:tcW w:w="936" w:type="dxa"/>
            <w:tcBorders>
              <w:top w:val="single" w:sz="4" w:space="0" w:color="666666"/>
              <w:left w:val="single" w:sz="4" w:space="0" w:color="666666"/>
              <w:bottom w:val="single" w:sz="4" w:space="0" w:color="666666"/>
              <w:right w:val="single" w:sz="4" w:space="0" w:color="666666"/>
            </w:tcBorders>
          </w:tcPr>
          <w:p w14:paraId="7EF75135" w14:textId="3F9303C7"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Network adequacy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18805D3" w14:textId="68AFC3C2"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NET_ok</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A5415F0" w14:textId="10C02514"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98</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6DA916C" w14:textId="16E2951C"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95</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A09BD7D" w14:textId="1D4E9FA9"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Hyperscaler wavelength purchases on a single carrier grew 133% from 18.2 Tb (2020) to 42.4 Tb (2024); Azure inter-region P50 latencies; B4 globally-deployed WAN</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2B75BC6" w14:textId="502ADC3F" w:rsidR="001D6E1E"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Jain et al., ACM SIGCOMM (2013)</w:t>
            </w:r>
            <w:r w:rsidR="00FA589C">
              <w:rPr>
                <w:rFonts w:ascii="Times New Roman" w:eastAsia="Calibri" w:hAnsi="Times New Roman" w:cs="Times New Roman"/>
                <w:sz w:val="16"/>
                <w:szCs w:val="16"/>
              </w:rPr>
              <w:t>[2</w:t>
            </w:r>
            <w:r w:rsidR="00482036">
              <w:rPr>
                <w:rFonts w:ascii="Times New Roman" w:eastAsia="Calibri" w:hAnsi="Times New Roman" w:cs="Times New Roman"/>
                <w:sz w:val="16"/>
                <w:szCs w:val="16"/>
              </w:rPr>
              <w:t>1</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Zayo (2025)</w:t>
            </w:r>
            <w:r w:rsidR="00FA589C">
              <w:rPr>
                <w:rFonts w:ascii="Times New Roman" w:eastAsia="Calibri" w:hAnsi="Times New Roman" w:cs="Times New Roman"/>
                <w:sz w:val="16"/>
                <w:szCs w:val="16"/>
              </w:rPr>
              <w:t>[2</w:t>
            </w:r>
            <w:r w:rsidR="00482036">
              <w:rPr>
                <w:rFonts w:ascii="Times New Roman" w:eastAsia="Calibri" w:hAnsi="Times New Roman" w:cs="Times New Roman"/>
                <w:sz w:val="16"/>
                <w:szCs w:val="16"/>
              </w:rPr>
              <w:t>2</w:t>
            </w:r>
            <w:r w:rsidR="00FA589C">
              <w:rPr>
                <w:rFonts w:ascii="Times New Roman" w:eastAsia="Calibri" w:hAnsi="Times New Roman" w:cs="Times New Roman"/>
                <w:sz w:val="16"/>
                <w:szCs w:val="16"/>
              </w:rPr>
              <w:t>]</w:t>
            </w:r>
          </w:p>
        </w:tc>
      </w:tr>
      <w:tr w:rsidR="00710748" w:rsidRPr="00A025CD" w14:paraId="33089705"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AC8A60C" w14:textId="79E3EE7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43D77C1D" w14:textId="1ADF8DE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Orchestration reliability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E96E2BE" w14:textId="3FBC900D"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ORCH_ok</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D855855" w14:textId="432B5A5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95</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F9A8F65" w14:textId="2A8E8492"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88</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7BD95A" w14:textId="14091F97"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Within-facility production precedent at three hyperscalers; cross-facility-grid-dispatch interface novel; load balancer SLAs ≥99.99%</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4E2C5C" w14:textId="6C74D7A1"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Zhang et al., ISCA (2021)</w:t>
            </w:r>
            <w:r w:rsidR="00FA589C">
              <w:rPr>
                <w:rFonts w:ascii="Times New Roman" w:eastAsia="Calibri" w:hAnsi="Times New Roman" w:cs="Times New Roman"/>
                <w:sz w:val="16"/>
                <w:szCs w:val="16"/>
              </w:rPr>
              <w:t>[5]</w:t>
            </w:r>
            <w:r w:rsidRPr="00E33BC8">
              <w:rPr>
                <w:rFonts w:ascii="Times New Roman" w:eastAsia="Calibri" w:hAnsi="Times New Roman" w:cs="Times New Roman"/>
                <w:sz w:val="16"/>
                <w:szCs w:val="16"/>
              </w:rPr>
              <w:t>; Wu et al., ISCA (2016)</w:t>
            </w:r>
            <w:r w:rsidR="00FA589C">
              <w:rPr>
                <w:rFonts w:ascii="Times New Roman" w:eastAsia="Calibri" w:hAnsi="Times New Roman" w:cs="Times New Roman"/>
                <w:sz w:val="16"/>
                <w:szCs w:val="16"/>
              </w:rPr>
              <w:t>[2</w:t>
            </w:r>
            <w:r w:rsidR="00482036">
              <w:rPr>
                <w:rFonts w:ascii="Times New Roman" w:eastAsia="Calibri" w:hAnsi="Times New Roman" w:cs="Times New Roman"/>
                <w:sz w:val="16"/>
                <w:szCs w:val="16"/>
              </w:rPr>
              <w:t>3</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Li et al., OSDI (2020)</w:t>
            </w:r>
            <w:r w:rsidR="00FA589C">
              <w:rPr>
                <w:rFonts w:ascii="Times New Roman" w:eastAsia="Calibri" w:hAnsi="Times New Roman" w:cs="Times New Roman"/>
                <w:sz w:val="16"/>
                <w:szCs w:val="16"/>
              </w:rPr>
              <w:t>[7]</w:t>
            </w:r>
            <w:r w:rsidRPr="00E33BC8">
              <w:rPr>
                <w:rFonts w:ascii="Times New Roman" w:eastAsia="Calibri" w:hAnsi="Times New Roman" w:cs="Times New Roman"/>
                <w:sz w:val="16"/>
                <w:szCs w:val="16"/>
              </w:rPr>
              <w:t>; American Public Power Association (2025)</w:t>
            </w:r>
            <w:r w:rsidR="00FA589C">
              <w:rPr>
                <w:rFonts w:ascii="Times New Roman" w:eastAsia="Calibri" w:hAnsi="Times New Roman" w:cs="Times New Roman"/>
                <w:sz w:val="16"/>
                <w:szCs w:val="16"/>
              </w:rPr>
              <w:t>[2</w:t>
            </w:r>
            <w:r w:rsidR="00482036">
              <w:rPr>
                <w:rFonts w:ascii="Times New Roman" w:eastAsia="Calibri" w:hAnsi="Times New Roman" w:cs="Times New Roman"/>
                <w:sz w:val="16"/>
                <w:szCs w:val="16"/>
              </w:rPr>
              <w:t>4</w:t>
            </w:r>
            <w:r w:rsidR="00FA589C">
              <w:rPr>
                <w:rFonts w:ascii="Times New Roman" w:eastAsia="Calibri" w:hAnsi="Times New Roman" w:cs="Times New Roman"/>
                <w:sz w:val="16"/>
                <w:szCs w:val="16"/>
              </w:rPr>
              <w:t>]</w:t>
            </w:r>
          </w:p>
        </w:tc>
      </w:tr>
      <w:tr w:rsidR="00710748" w:rsidRPr="00A025CD" w14:paraId="552F74BB"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966D3C" w14:textId="7C9269B5"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lastRenderedPageBreak/>
              <w:t>Deferral</w:t>
            </w:r>
          </w:p>
        </w:tc>
        <w:tc>
          <w:tcPr>
            <w:tcW w:w="936" w:type="dxa"/>
            <w:tcBorders>
              <w:top w:val="single" w:sz="4" w:space="0" w:color="666666"/>
              <w:left w:val="single" w:sz="4" w:space="0" w:color="666666"/>
              <w:bottom w:val="single" w:sz="4" w:space="0" w:color="666666"/>
              <w:right w:val="single" w:sz="4" w:space="0" w:color="666666"/>
            </w:tcBorders>
          </w:tcPr>
          <w:p w14:paraId="5AFBCC22" w14:textId="37D2BE0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NIW compute share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E98F83" w14:textId="39E356D1"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NIW_share</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3339AF" w14:textId="7A64A89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28 (B)</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B389EAE" w14:textId="2A90B897" w:rsidR="001D6E1E" w:rsidRPr="00710748"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 xml:space="preserve">Ensemble-dependent;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A: Uniform[0.10, 0.20]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Uniform[0.22, 0.35]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C: Uniform[0.32, 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2C4438" w14:textId="20DE2730"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SageServe O365 Copilot production traces: IW-F + IW-N = 72% of requests/TPS, NIW = 28%</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41C500" w14:textId="7CB744A4" w:rsidR="001D6E1E" w:rsidRPr="00093498" w:rsidRDefault="00E33BC8" w:rsidP="00036805">
            <w:pPr>
              <w:rPr>
                <w:rFonts w:ascii="Times New Roman" w:hAnsi="Times New Roman" w:cs="Times New Roman"/>
                <w:sz w:val="16"/>
                <w:szCs w:val="16"/>
                <w:highlight w:val="yellow"/>
              </w:rPr>
            </w:pPr>
            <w:r w:rsidRPr="00E33BC8">
              <w:rPr>
                <w:rFonts w:ascii="Times New Roman" w:hAnsi="Times New Roman" w:cs="Times New Roman"/>
                <w:sz w:val="16"/>
                <w:szCs w:val="16"/>
              </w:rPr>
              <w:t>Jaiswal et al. (2025)</w:t>
            </w:r>
            <w:r w:rsidR="00DC42BA">
              <w:rPr>
                <w:rFonts w:ascii="Times New Roman" w:hAnsi="Times New Roman" w:cs="Times New Roman"/>
                <w:sz w:val="16"/>
                <w:szCs w:val="16"/>
              </w:rPr>
              <w:t>[</w:t>
            </w:r>
            <w:r w:rsidR="00482036">
              <w:rPr>
                <w:rFonts w:ascii="Times New Roman" w:hAnsi="Times New Roman" w:cs="Times New Roman"/>
                <w:sz w:val="16"/>
                <w:szCs w:val="16"/>
              </w:rPr>
              <w:t>25</w:t>
            </w:r>
            <w:r w:rsidR="00DC42BA">
              <w:rPr>
                <w:rFonts w:ascii="Times New Roman" w:hAnsi="Times New Roman" w:cs="Times New Roman"/>
                <w:sz w:val="16"/>
                <w:szCs w:val="16"/>
              </w:rPr>
              <w:t>]</w:t>
            </w:r>
          </w:p>
        </w:tc>
      </w:tr>
      <w:tr w:rsidR="00093498" w:rsidRPr="00A025CD" w14:paraId="1CE70ED2"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203B769" w14:textId="55D91543"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3A01F86" w14:textId="17A51BEB"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Window feasibility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E60C21" w14:textId="3264D37B"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WINDOW_ok</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46C2D86" w14:textId="6708FC8E" w:rsidR="00093498"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0.95</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1B37DB" w14:textId="6CFDB230" w:rsidR="00093498"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Uniform[0.80, 0.99] (scope-dependent)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AC604" w14:textId="222767DE" w:rsidR="00093498"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24-hour NIW deadline vs. 6-hour PJM emergency DR profile; production precedent in Google-TVA agreement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9CB7227" w14:textId="03D95559" w:rsidR="00093498"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Jaiswal et al. (2025)</w:t>
            </w:r>
            <w:r w:rsidR="00DC42BA">
              <w:rPr>
                <w:rFonts w:ascii="Times New Roman" w:eastAsia="Calibri" w:hAnsi="Times New Roman" w:cs="Times New Roman"/>
                <w:sz w:val="16"/>
                <w:szCs w:val="16"/>
              </w:rPr>
              <w:t>[</w:t>
            </w:r>
            <w:r w:rsidR="00482036">
              <w:rPr>
                <w:rFonts w:ascii="Times New Roman" w:eastAsia="Calibri" w:hAnsi="Times New Roman" w:cs="Times New Roman"/>
                <w:sz w:val="16"/>
                <w:szCs w:val="16"/>
              </w:rPr>
              <w:t>25</w:t>
            </w:r>
            <w:r w:rsidR="00DC42BA">
              <w:rPr>
                <w:rFonts w:ascii="Times New Roman" w:eastAsia="Calibri" w:hAnsi="Times New Roman" w:cs="Times New Roman"/>
                <w:sz w:val="16"/>
                <w:szCs w:val="16"/>
              </w:rPr>
              <w:t>]</w:t>
            </w:r>
            <w:r w:rsidRPr="00E33BC8">
              <w:rPr>
                <w:rFonts w:ascii="Times New Roman" w:eastAsia="Calibri" w:hAnsi="Times New Roman" w:cs="Times New Roman"/>
                <w:sz w:val="16"/>
                <w:szCs w:val="16"/>
              </w:rPr>
              <w:t>; American Public Power Association (2025)</w:t>
            </w:r>
            <w:r w:rsidR="00DC42BA">
              <w:rPr>
                <w:rFonts w:ascii="Times New Roman" w:eastAsia="Calibri" w:hAnsi="Times New Roman" w:cs="Times New Roman"/>
                <w:sz w:val="16"/>
                <w:szCs w:val="16"/>
              </w:rPr>
              <w:t>[</w:t>
            </w:r>
            <w:r w:rsidR="00FA589C">
              <w:rPr>
                <w:rFonts w:ascii="Times New Roman" w:eastAsia="Calibri" w:hAnsi="Times New Roman" w:cs="Times New Roman"/>
                <w:sz w:val="16"/>
                <w:szCs w:val="16"/>
              </w:rPr>
              <w:t>2</w:t>
            </w:r>
            <w:r w:rsidR="00482036">
              <w:rPr>
                <w:rFonts w:ascii="Times New Roman" w:eastAsia="Calibri" w:hAnsi="Times New Roman" w:cs="Times New Roman"/>
                <w:sz w:val="16"/>
                <w:szCs w:val="16"/>
              </w:rPr>
              <w:t>4</w:t>
            </w:r>
            <w:r w:rsidR="00DC42BA">
              <w:rPr>
                <w:rFonts w:ascii="Times New Roman" w:eastAsia="Calibri" w:hAnsi="Times New Roman" w:cs="Times New Roman"/>
                <w:sz w:val="16"/>
                <w:szCs w:val="16"/>
              </w:rPr>
              <w:t>]</w:t>
            </w:r>
          </w:p>
        </w:tc>
      </w:tr>
      <w:tr w:rsidR="00710748" w:rsidRPr="00A025CD" w14:paraId="05C28441"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9DFAC9" w14:textId="1ED326BC"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743D7E7" w14:textId="6F0288AB"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Post-stress queue absorption</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FAAA41E" w14:textId="7CF57A2B" w:rsidR="001D6E1E" w:rsidRPr="00A025CD" w:rsidRDefault="00093498" w:rsidP="00036805">
            <w:pPr>
              <w:rPr>
                <w:rFonts w:ascii="Times New Roman" w:hAnsi="Times New Roman" w:cs="Times New Roman"/>
                <w:sz w:val="16"/>
                <w:szCs w:val="16"/>
              </w:rPr>
            </w:pPr>
            <w:r>
              <w:rPr>
                <w:rFonts w:ascii="Times New Roman" w:hAnsi="Times New Roman" w:cs="Times New Roman"/>
                <w:sz w:val="16"/>
                <w:szCs w:val="16"/>
              </w:rPr>
              <w:t>QUEUE_ok</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670E74" w14:textId="2AD94942"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85</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CA26636" w14:textId="6D1E9D87"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Uniform[0.65, 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D37F8F1" w14:textId="014DDA41" w:rsidR="001D6E1E"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DynamoLLM peak-to-valley ratios 3.3× to 34.6× at single-facility scale; fleet-scale saturation extrapolation novel</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755E86E" w14:textId="0BBC1F4B"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Stojkovic et al., HPCA (2025)</w:t>
            </w:r>
            <w:r w:rsidR="00FA589C">
              <w:rPr>
                <w:rFonts w:ascii="Times New Roman" w:eastAsia="Calibri" w:hAnsi="Times New Roman" w:cs="Times New Roman"/>
                <w:sz w:val="16"/>
                <w:szCs w:val="16"/>
              </w:rPr>
              <w:t>[</w:t>
            </w:r>
            <w:r w:rsidR="00900941">
              <w:rPr>
                <w:rFonts w:ascii="Times New Roman" w:eastAsia="Calibri" w:hAnsi="Times New Roman" w:cs="Times New Roman"/>
                <w:sz w:val="16"/>
                <w:szCs w:val="16"/>
              </w:rPr>
              <w:t>6</w:t>
            </w:r>
            <w:r w:rsidR="00FA589C">
              <w:rPr>
                <w:rFonts w:ascii="Times New Roman" w:eastAsia="Calibri" w:hAnsi="Times New Roman" w:cs="Times New Roman"/>
                <w:sz w:val="16"/>
                <w:szCs w:val="16"/>
              </w:rPr>
              <w:t>]</w:t>
            </w:r>
          </w:p>
        </w:tc>
      </w:tr>
      <w:tr w:rsidR="005657DD" w:rsidRPr="00A025CD" w14:paraId="0C15B68B"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7B88878" w14:textId="3A9F406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5D584C44" w14:textId="280A4FE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Sustained peak-power reduction</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F72C364" w14:textId="2100C057" w:rsidR="005657DD" w:rsidRPr="00A025CD"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DVFS_headroom</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0BEA261" w14:textId="202565F9"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0.25 (B)</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C682EEA" w14:textId="22D401BC" w:rsidR="005657DD"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 xml:space="preserve">Ensemble-dependent ±0.07; A: 0.18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0.25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C: 0.32</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DCB261" w14:textId="60DB69A5"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25% sustained cluster-level peak power reduction over 3 hours; corroborated by Patel 21% inference headroom and Dynamo Fig. 13 knee</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B41852" w14:textId="203C2DE1"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Colangelo et al. (2026)</w:t>
            </w:r>
            <w:r w:rsidR="00FA589C">
              <w:rPr>
                <w:rFonts w:ascii="Times New Roman" w:eastAsia="Calibri" w:hAnsi="Times New Roman" w:cs="Times New Roman"/>
                <w:sz w:val="16"/>
                <w:szCs w:val="16"/>
              </w:rPr>
              <w:t>[8]</w:t>
            </w:r>
            <w:r w:rsidRPr="00E33BC8">
              <w:rPr>
                <w:rFonts w:ascii="Times New Roman" w:eastAsia="Calibri" w:hAnsi="Times New Roman" w:cs="Times New Roman"/>
                <w:sz w:val="16"/>
                <w:szCs w:val="16"/>
              </w:rPr>
              <w:t>; Patel et al., ASPLOS (2024)</w:t>
            </w:r>
            <w:r w:rsidR="00FA589C">
              <w:rPr>
                <w:rFonts w:ascii="Times New Roman" w:eastAsia="Calibri" w:hAnsi="Times New Roman" w:cs="Times New Roman"/>
                <w:sz w:val="16"/>
                <w:szCs w:val="16"/>
              </w:rPr>
              <w:t>[</w:t>
            </w:r>
            <w:r w:rsidR="00482036">
              <w:rPr>
                <w:rFonts w:ascii="Times New Roman" w:eastAsia="Calibri" w:hAnsi="Times New Roman" w:cs="Times New Roman"/>
                <w:sz w:val="16"/>
                <w:szCs w:val="16"/>
              </w:rPr>
              <w:t>26</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Wu et al., ISCA (2016)</w:t>
            </w:r>
            <w:r w:rsidR="00FA589C">
              <w:rPr>
                <w:rFonts w:ascii="Times New Roman" w:eastAsia="Calibri" w:hAnsi="Times New Roman" w:cs="Times New Roman"/>
                <w:sz w:val="16"/>
                <w:szCs w:val="16"/>
              </w:rPr>
              <w:t>[2</w:t>
            </w:r>
            <w:r w:rsidR="00482036">
              <w:rPr>
                <w:rFonts w:ascii="Times New Roman" w:eastAsia="Calibri" w:hAnsi="Times New Roman" w:cs="Times New Roman"/>
                <w:sz w:val="16"/>
                <w:szCs w:val="16"/>
              </w:rPr>
              <w:t>3</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Kakolyris et al., IEEE CAL (2024)</w:t>
            </w:r>
            <w:r w:rsidR="00FA589C">
              <w:rPr>
                <w:rFonts w:ascii="Times New Roman" w:eastAsia="Calibri" w:hAnsi="Times New Roman" w:cs="Times New Roman"/>
                <w:sz w:val="16"/>
                <w:szCs w:val="16"/>
              </w:rPr>
              <w:t>[2</w:t>
            </w:r>
            <w:r w:rsidR="00482036">
              <w:rPr>
                <w:rFonts w:ascii="Times New Roman" w:eastAsia="Calibri" w:hAnsi="Times New Roman" w:cs="Times New Roman"/>
                <w:sz w:val="16"/>
                <w:szCs w:val="16"/>
              </w:rPr>
              <w:t>7</w:t>
            </w:r>
            <w:r w:rsidR="00FA589C">
              <w:rPr>
                <w:rFonts w:ascii="Times New Roman" w:eastAsia="Calibri" w:hAnsi="Times New Roman" w:cs="Times New Roman"/>
                <w:sz w:val="16"/>
                <w:szCs w:val="16"/>
              </w:rPr>
              <w:t>]</w:t>
            </w:r>
          </w:p>
        </w:tc>
      </w:tr>
      <w:tr w:rsidR="005657DD" w:rsidRPr="00A025CD" w14:paraId="33A3E88A" w14:textId="77777777" w:rsidTr="00023319">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77266C1" w14:textId="72CA863A"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3ADCCAF6" w14:textId="05F6B9B6"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Within-window SLO compliance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6318D5" w14:textId="541815FD" w:rsidR="005657DD"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DVFS_reliabilit</w:t>
            </w:r>
            <w:r w:rsidR="00093498">
              <w:rPr>
                <w:rFonts w:ascii="Times New Roman" w:eastAsia="Calibri" w:hAnsi="Times New Roman" w:cs="Times New Roman"/>
                <w:sz w:val="16"/>
                <w:szCs w:val="16"/>
              </w:rPr>
              <w:t>y</w:t>
            </w:r>
          </w:p>
        </w:tc>
        <w:tc>
          <w:tcPr>
            <w:tcW w:w="81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BBC7892" w14:textId="612B5D7C"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0.98</w:t>
            </w:r>
          </w:p>
        </w:tc>
        <w:tc>
          <w:tcPr>
            <w:tcW w:w="198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6A6709" w14:textId="15BDF1C7" w:rsidR="005657DD"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Uniform[0.95, 0.995]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4FF909F" w14:textId="156CF08D"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zero SLA violations across 33 experiments / 212 jobs; corroborated by Thunderbolt and Flex production precedent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5C0120" w14:textId="51920081"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Colangelo et al. (2026)</w:t>
            </w:r>
            <w:r w:rsidR="00FA589C">
              <w:rPr>
                <w:rFonts w:ascii="Times New Roman" w:eastAsia="Calibri" w:hAnsi="Times New Roman" w:cs="Times New Roman"/>
                <w:sz w:val="16"/>
                <w:szCs w:val="16"/>
              </w:rPr>
              <w:t>[8]</w:t>
            </w:r>
            <w:r w:rsidRPr="00E33BC8">
              <w:rPr>
                <w:rFonts w:ascii="Times New Roman" w:eastAsia="Calibri" w:hAnsi="Times New Roman" w:cs="Times New Roman"/>
                <w:sz w:val="16"/>
                <w:szCs w:val="16"/>
              </w:rPr>
              <w:t>; Li et al., OSDI (2020)</w:t>
            </w:r>
            <w:r w:rsidR="00FA589C">
              <w:rPr>
                <w:rFonts w:ascii="Times New Roman" w:eastAsia="Calibri" w:hAnsi="Times New Roman" w:cs="Times New Roman"/>
                <w:sz w:val="16"/>
                <w:szCs w:val="16"/>
              </w:rPr>
              <w:t>[7]</w:t>
            </w:r>
            <w:r w:rsidRPr="00E33BC8">
              <w:rPr>
                <w:rFonts w:ascii="Times New Roman" w:eastAsia="Calibri" w:hAnsi="Times New Roman" w:cs="Times New Roman"/>
                <w:sz w:val="16"/>
                <w:szCs w:val="16"/>
              </w:rPr>
              <w:t>; Zhang et al., ISCA (2021)</w:t>
            </w:r>
            <w:r w:rsidR="00FA589C">
              <w:rPr>
                <w:rFonts w:ascii="Times New Roman" w:eastAsia="Calibri" w:hAnsi="Times New Roman" w:cs="Times New Roman"/>
                <w:sz w:val="16"/>
                <w:szCs w:val="16"/>
              </w:rPr>
              <w:t>[5]</w:t>
            </w:r>
          </w:p>
        </w:tc>
      </w:tr>
    </w:tbl>
    <w:p w14:paraId="4FDF57A9" w14:textId="77777777" w:rsidR="00877A4C" w:rsidRDefault="00877A4C" w:rsidP="00877A4C">
      <w:pPr>
        <w:spacing w:before="120" w:after="120" w:line="300" w:lineRule="auto"/>
        <w:rPr>
          <w:rFonts w:ascii="Times New Roman" w:eastAsia="Calibri" w:hAnsi="Times New Roman" w:cs="Times New Roman"/>
          <w:b/>
          <w:bCs/>
        </w:rPr>
        <w:sectPr w:rsidR="00877A4C" w:rsidSect="00877A4C">
          <w:pgSz w:w="15840" w:h="12240" w:orient="landscape"/>
          <w:pgMar w:top="1440" w:right="1440" w:bottom="1440" w:left="1440" w:header="720" w:footer="720" w:gutter="0"/>
          <w:cols w:space="720"/>
          <w:docGrid w:linePitch="360"/>
        </w:sectPr>
      </w:pPr>
    </w:p>
    <w:p w14:paraId="4BE0B5C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lastRenderedPageBreak/>
        <w:t>Composition formulas</w:t>
      </w:r>
    </w:p>
    <w:p w14:paraId="06AB9ED8"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The three mini-cascades compose multiplicatively within mechanism and additively across mechanisms with sequential ordering:</w:t>
      </w:r>
    </w:p>
    <w:p w14:paraId="00F97361"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Spatial mechanism:</w:t>
      </w:r>
    </w:p>
    <w:p w14:paraId="7CCBF879" w14:textId="47C57D57" w:rsidR="00C74245" w:rsidRPr="00C74245" w:rsidRDefault="002A3C16" w:rsidP="00C74245">
      <w:pPr>
        <w:rPr>
          <w:rFonts w:ascii="Times New Roman" w:hAnsi="Times New Roman" w:cs="Times New Roman"/>
          <w:bCs/>
        </w:rPr>
      </w:pPr>
      <m:oMathPara>
        <m:oMath>
          <m:r>
            <w:rPr>
              <w:rFonts w:ascii="Cambria Math" w:hAnsi="Cambria Math" w:cs="Times New Roman"/>
            </w:rPr>
            <m:t>M_spatial = (nameplate × (1/PUE) × φ_inf,scope) × (MIG_elig × DRAIN_ok × DEST_avail × DEST_absorb × NET_ok × ORCH_ok)</m:t>
          </m:r>
        </m:oMath>
      </m:oMathPara>
    </w:p>
    <w:p w14:paraId="3808288E"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Deferral mechanism (sequential, on residual after spatial):</w:t>
      </w:r>
    </w:p>
    <w:p w14:paraId="2C089280" w14:textId="1E2ED3A4" w:rsidR="00C74245" w:rsidRPr="00C74245" w:rsidRDefault="002A3C16"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NI</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share</m:t>
                  </m:r>
                </m:sub>
              </m:sSub>
              <m:r>
                <w:rPr>
                  <w:rFonts w:ascii="Cambria Math" w:hAnsi="Cambria Math" w:cs="Times New Roman"/>
                </w:rPr>
                <m:t>× WINDO</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ok</m:t>
                  </m:r>
                </m:sub>
              </m:sSub>
              <m:r>
                <w:rPr>
                  <w:rFonts w:ascii="Cambria Math" w:hAnsi="Cambria Math" w:cs="Times New Roman"/>
                </w:rPr>
                <m:t>× QUEU</m:t>
              </m:r>
              <m:sSub>
                <m:sSubPr>
                  <m:ctrlPr>
                    <w:rPr>
                      <w:rFonts w:ascii="Cambria Math" w:hAnsi="Cambria Math" w:cs="Times New Roman"/>
                      <w:bCs/>
                      <w:i/>
                    </w:rPr>
                  </m:ctrlPr>
                </m:sSubPr>
                <m:e>
                  <m:r>
                    <w:rPr>
                      <w:rFonts w:ascii="Cambria Math" w:hAnsi="Cambria Math" w:cs="Times New Roman"/>
                    </w:rPr>
                    <m:t>E</m:t>
                  </m:r>
                </m:e>
                <m:sub>
                  <m:r>
                    <w:rPr>
                      <w:rFonts w:ascii="Cambria Math" w:hAnsi="Cambria Math" w:cs="Times New Roman"/>
                    </w:rPr>
                    <m:t>ok</m:t>
                  </m:r>
                </m:sub>
              </m:sSub>
            </m:e>
          </m:d>
        </m:oMath>
      </m:oMathPara>
    </w:p>
    <w:p w14:paraId="5FE8F3D7"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DVFS mechanism (sequential, on residual after spatial + deferral):</w:t>
      </w:r>
    </w:p>
    <w:p w14:paraId="06DF79EB" w14:textId="21AB001E" w:rsidR="00C74245" w:rsidRPr="00C74245" w:rsidRDefault="002A3C16"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DVFS</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r>
                <w:rPr>
                  <w:rFonts w:ascii="Cambria Math" w:hAnsi="Cambria Math" w:cs="Times New Roman"/>
                </w:rPr>
                <m:t xml:space="preserve">-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headroom</m:t>
                  </m:r>
                </m:sub>
              </m:sSub>
              <m:r>
                <w:rPr>
                  <w:rFonts w:ascii="Cambria Math" w:hAnsi="Cambria Math" w:cs="Times New Roman"/>
                </w:rPr>
                <m:t>× 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reliability</m:t>
                  </m:r>
                </m:sub>
              </m:sSub>
            </m:e>
          </m:d>
        </m:oMath>
      </m:oMathPara>
    </w:p>
    <w:p w14:paraId="4654D4AF"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Total commitment depth per facility MW:</w:t>
      </w:r>
    </w:p>
    <w:p w14:paraId="3F700CC6" w14:textId="29AAD3D5" w:rsidR="00C74245" w:rsidRPr="00C74245" w:rsidRDefault="002A3C16" w:rsidP="00C74245">
      <w:pPr>
        <w:rPr>
          <w:rFonts w:ascii="Times New Roman" w:hAnsi="Times New Roman" w:cs="Times New Roman"/>
          <w:bCs/>
        </w:rPr>
      </w:pPr>
      <m:oMathPara>
        <m:oMath>
          <m:r>
            <w:rPr>
              <w:rFonts w:ascii="Cambria Math" w:hAnsi="Cambria Math" w:cs="Times New Roman"/>
            </w:rPr>
            <m:t>Commitment depth = (M_spatial + M_defer + M_DVFS) / nameplate</m:t>
          </m:r>
        </m:oMath>
      </m:oMathPara>
    </w:p>
    <w:p w14:paraId="35A5B7A8" w14:textId="77777777" w:rsidR="002E5E67" w:rsidRDefault="002E5E67" w:rsidP="00C74245">
      <w:pPr>
        <w:rPr>
          <w:rFonts w:ascii="Times New Roman" w:hAnsi="Times New Roman" w:cs="Times New Roman"/>
          <w:bCs/>
        </w:rPr>
      </w:pPr>
    </w:p>
    <w:p w14:paraId="452774A0" w14:textId="3858C1C8" w:rsidR="00C74245" w:rsidRPr="00C74245" w:rsidRDefault="002E5E67" w:rsidP="00C74245">
      <w:pPr>
        <w:rPr>
          <w:rFonts w:ascii="Times New Roman" w:hAnsi="Times New Roman" w:cs="Times New Roman"/>
          <w:bCs/>
        </w:rPr>
      </w:pPr>
      <w:r w:rsidRPr="002E5E67">
        <w:rPr>
          <w:rFonts w:ascii="Times New Roman" w:hAnsi="Times New Roman" w:cs="Times New Roman"/>
          <w:bCs/>
        </w:rPr>
        <w:t>The sequential ordering implements the overlap correction between DVFS and deferral. Colangelo et al.'s observation that 25% peak-power reduction translates to only 5% energy reduction confirms that DVFS at the source partially substitutes for deferral</w:t>
      </w:r>
      <w:r w:rsidR="000350AC">
        <w:rPr>
          <w:rFonts w:ascii="Times New Roman" w:hAnsi="Times New Roman" w:cs="Times New Roman"/>
          <w:bCs/>
        </w:rPr>
        <w:t>[8]</w:t>
      </w:r>
      <w:r w:rsidRPr="002E5E67">
        <w:rPr>
          <w:rFonts w:ascii="Times New Roman" w:hAnsi="Times New Roman" w:cs="Times New Roman"/>
          <w:bCs/>
        </w:rPr>
        <w:t>; the sequential ordering ensures the same megawatt of</w:t>
      </w:r>
      <w:r w:rsidR="000350AC">
        <w:rPr>
          <w:rFonts w:ascii="Times New Roman" w:hAnsi="Times New Roman" w:cs="Times New Roman"/>
          <w:bCs/>
        </w:rPr>
        <w:t xml:space="preserve"> non-interactive</w:t>
      </w:r>
      <w:r w:rsidRPr="002E5E67">
        <w:rPr>
          <w:rFonts w:ascii="Times New Roman" w:hAnsi="Times New Roman" w:cs="Times New Roman"/>
          <w:bCs/>
        </w:rPr>
        <w:t xml:space="preserve"> </w:t>
      </w:r>
      <w:r w:rsidR="000350AC">
        <w:rPr>
          <w:rFonts w:ascii="Times New Roman" w:hAnsi="Times New Roman" w:cs="Times New Roman"/>
          <w:bCs/>
        </w:rPr>
        <w:t>work</w:t>
      </w:r>
      <w:r w:rsidRPr="002E5E67">
        <w:rPr>
          <w:rFonts w:ascii="Times New Roman" w:hAnsi="Times New Roman" w:cs="Times New Roman"/>
          <w:bCs/>
        </w:rPr>
        <w:t>load</w:t>
      </w:r>
      <w:r w:rsidR="000350AC">
        <w:rPr>
          <w:rFonts w:ascii="Times New Roman" w:hAnsi="Times New Roman" w:cs="Times New Roman"/>
          <w:bCs/>
        </w:rPr>
        <w:t xml:space="preserve"> (NIW)</w:t>
      </w:r>
      <w:r w:rsidRPr="002E5E67">
        <w:rPr>
          <w:rFonts w:ascii="Times New Roman" w:hAnsi="Times New Roman" w:cs="Times New Roman"/>
          <w:bCs/>
        </w:rPr>
        <w:t xml:space="preserve"> is either deferred or DVFS-reduced, not both.</w:t>
      </w:r>
      <w:r w:rsidR="000350AC">
        <w:rPr>
          <w:rFonts w:ascii="Times New Roman" w:hAnsi="Times New Roman" w:cs="Times New Roman"/>
          <w:bCs/>
        </w:rPr>
        <w:t xml:space="preserve"> </w:t>
      </w:r>
      <w:r w:rsidR="00C74245" w:rsidRPr="00C74245">
        <w:rPr>
          <w:rFonts w:ascii="Times New Roman" w:hAnsi="Times New Roman" w:cs="Times New Roman"/>
          <w:bCs/>
        </w:rPr>
        <w:t>The PUE assumption (1.3) is applied at the megawatt-translation layer inside the spatial composition formula above. Translations to facility-metered quantities in Section 6 therefore do not require an additional PUE step; commitment depth is reported as a fraction of facility nameplate directly.</w:t>
      </w:r>
    </w:p>
    <w:p w14:paraId="15B203E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Conditional Monte Carlo simulation</w:t>
      </w:r>
    </w:p>
    <w:p w14:paraId="694B9BD6"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For each of the 200 ComEd stress hours, the conditional Monte Carlo simulation identifies the set of unstressed destination zones from DA LMP flags (the DEST_avail observation) and uses their realized capacities directly. For each unstressed destination, available headroom is computed as destination capacity × DEST_absorb. Migrating demand from the source facility or fleet is allocated across destinations in proportion to available headroom; when aggregate demand exceeds aggregate headroom, destinations fill to their individual capacities and the unallocated demand contributes nothing to the spatial mechanism (but the deferral and DVFS mechanisms still contribute on the residual).</w:t>
      </w:r>
    </w:p>
    <w:p w14:paraId="14A65D6D"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The conditional MC uses the following parameter scheme:</w:t>
      </w:r>
    </w:p>
    <w:p w14:paraId="4D5ADBAA"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lastRenderedPageBreak/>
        <w:t>Observed per-hour from empirical data (1 parameter):</w:t>
      </w:r>
      <w:r w:rsidRPr="00C74245">
        <w:rPr>
          <w:rFonts w:ascii="Times New Roman" w:hAnsi="Times New Roman" w:cs="Times New Roman"/>
          <w:bCs/>
        </w:rPr>
        <w:t xml:space="preserve"> DEST_avail. The simulation conditions on the empirical realization rather than drawing from a distribution; this is the "conditional" in conditional Monte Carlo.</w:t>
      </w:r>
    </w:p>
    <w:p w14:paraId="31A9E406"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Drawn independently per iteration from specified distributions (3 parameters):</w:t>
      </w:r>
      <w:r w:rsidRPr="00C74245">
        <w:rPr>
          <w:rFonts w:ascii="Times New Roman" w:hAnsi="Times New Roman" w:cs="Times New Roman"/>
          <w:bCs/>
        </w:rPr>
        <w:t xml:space="preserve"> DEST_absorb (Uniform[0.15, 0.55]), QUEUE_ok (Uniform[0.65, 0.98]), and one of NIW_share / DVFS_headroom per ensemble specification. These represent the residual absorption uncertainty the operator cannot observe at commitment time.</w:t>
      </w:r>
    </w:p>
    <w:p w14:paraId="5D9D76CC"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Held fixed at central values (7 parameters):</w:t>
      </w:r>
      <w:r w:rsidRPr="00C74245">
        <w:rPr>
          <w:rFonts w:ascii="Times New Roman" w:hAnsi="Times New Roman" w:cs="Times New Roman"/>
          <w:bCs/>
        </w:rPr>
        <w:t xml:space="preserve"> φ_inf at the scope-scenario value (run separately for mixed-use and inference-dominant), MIG_elig = 0.65, DRAIN_ok = 0.95, NET_ok = 0.98, ORCH_ok = 0.95, WINDOW_ok = 0.95, DVFS_reliability = 0.98. These are either scope-defining (φ_inf), known by-construction software properties (DRAIN_ok), or high-confidence infrastructure SLAs (NET_ok, ORCH_ok, DVFS_reliability).</w:t>
      </w:r>
    </w:p>
    <w:p w14:paraId="364B2471" w14:textId="1A99E9C2" w:rsidR="00C74245" w:rsidRPr="00C74245" w:rsidRDefault="006C38FF" w:rsidP="00C74245">
      <w:pPr>
        <w:rPr>
          <w:rFonts w:ascii="Times New Roman" w:hAnsi="Times New Roman" w:cs="Times New Roman"/>
          <w:bCs/>
        </w:rPr>
      </w:pPr>
      <w:r w:rsidRPr="006C38FF">
        <w:rPr>
          <w:rFonts w:ascii="Times New Roman" w:hAnsi="Times New Roman" w:cs="Times New Roman"/>
          <w:bCs/>
        </w:rPr>
        <w:t>We additionally ran the conditional MC with PJM Dominion as the source zone as a robustness check; results are reported in Extended Data Table 3.</w:t>
      </w:r>
    </w:p>
    <w:p w14:paraId="3CC8E07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Variance decomposition</w:t>
      </w:r>
    </w:p>
    <w:p w14:paraId="015717F6" w14:textId="3B48542B" w:rsidR="00C74245" w:rsidRDefault="00C74245" w:rsidP="00C74245">
      <w:pPr>
        <w:rPr>
          <w:rFonts w:ascii="Times New Roman" w:hAnsi="Times New Roman" w:cs="Times New Roman"/>
          <w:bCs/>
        </w:rPr>
      </w:pPr>
      <w:r w:rsidRPr="00C74245">
        <w:rPr>
          <w:rFonts w:ascii="Times New Roman" w:hAnsi="Times New Roman" w:cs="Times New Roman"/>
          <w:bCs/>
        </w:rPr>
        <w:t xml:space="preserve">The unconditional cascade Monte Carlo (N = 50,000) draws all variable parameters independently from their specified distributions, computes the multiplicative-within-mechanism and additive-across-mechanism composition, and applies the commitment depth formula. </w:t>
      </w:r>
      <w:r w:rsidR="006C38FF" w:rsidRPr="006C38FF">
        <w:rPr>
          <w:rFonts w:ascii="Times New Roman" w:hAnsi="Times New Roman" w:cs="Times New Roman"/>
          <w:bCs/>
        </w:rPr>
        <w:t>φ_inf is held at one of the two scope-scenario centrals (run separately for each scope); all eleven non-scope parameters are drawn independently from their specified ranges.</w:t>
      </w:r>
      <w:r w:rsidRPr="00C74245">
        <w:rPr>
          <w:rFonts w:ascii="Times New Roman" w:hAnsi="Times New Roman" w:cs="Times New Roman"/>
          <w:bCs/>
        </w:rPr>
        <w:t xml:space="preserve"> Variance attribution uses the η² correlation ratio, computed by digitizing each variable parameter into 20 quantile bins and measuring the between-bin variance of cascade output as a fraction of total variance.</w:t>
      </w:r>
    </w:p>
    <w:p w14:paraId="024DEA5A" w14:textId="274BC5E5" w:rsidR="006C38FF" w:rsidRPr="00C74245" w:rsidRDefault="006C38FF" w:rsidP="00C74245">
      <w:pPr>
        <w:rPr>
          <w:rFonts w:ascii="Times New Roman" w:hAnsi="Times New Roman" w:cs="Times New Roman"/>
          <w:bCs/>
        </w:rPr>
      </w:pPr>
      <w:r w:rsidRPr="006C38FF">
        <w:rPr>
          <w:rFonts w:ascii="Times New Roman" w:hAnsi="Times New Roman" w:cs="Times New Roman"/>
          <w:bCs/>
        </w:rPr>
        <w:t xml:space="preserve">Variance attribution under inference-dominant scope identifies five parameters that together account for over 96% of cascade output variance: DEST_absorb (η² = 0.43, 44% of total), DVFS_headroom (0.22, 22%), MIG_elig (0.13, 13%), NIW_share (0.10, 10%), and QUEUE_ok (0.07, 8%). The remaining six parameters together contribute under 4% of variance, reflecting their tighter empirical anchoring (DRAIN_ok, DEST_avail, NET_ok, DVFS_reliability) or narrower operational ranges (WINDOW_ok, ORCH_ok). Of the dominant contributors, three are </w:t>
      </w:r>
      <w:r w:rsidR="000350AC">
        <w:rPr>
          <w:rFonts w:ascii="Times New Roman" w:hAnsi="Times New Roman" w:cs="Times New Roman"/>
          <w:bCs/>
        </w:rPr>
        <w:t>weak or moderate grounding estimates</w:t>
      </w:r>
      <w:r w:rsidRPr="006C38FF">
        <w:rPr>
          <w:rFonts w:ascii="Times New Roman" w:hAnsi="Times New Roman" w:cs="Times New Roman"/>
          <w:bCs/>
        </w:rPr>
        <w:t xml:space="preserve"> (DEST_absorb, MIG_elig Component B, QUEUE_ok), and two reflect ensemble-construction uncertainty rather than measurement (DVFS_headroom, NIW_share).</w:t>
      </w:r>
    </w:p>
    <w:p w14:paraId="58668099"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Stress threshold definition</w:t>
      </w:r>
    </w:p>
    <w:p w14:paraId="6F6065B9" w14:textId="538C3FA2"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Stress hours are defined as the top 50 hours per year per zone (approximately the 99.4th percentile of each zone's four-year distribution), yielding 200 ComEd stress hours over the January 2022 through December 2025 observation period. Sensitivity analysis at alternative thresholds confirms the headline any-destination availability finding is stable: 99.0% at the </w:t>
      </w:r>
      <w:r w:rsidRPr="00C74245">
        <w:rPr>
          <w:rFonts w:ascii="Times New Roman" w:hAnsi="Times New Roman" w:cs="Times New Roman"/>
          <w:bCs/>
        </w:rPr>
        <w:lastRenderedPageBreak/>
        <w:t>baseline, varying by at most 1.25 percentage points at the top 25 and top 100 hours per year specifications. The capacity-weighted overlap declines monotonically with threshold tightness (23.9% at top 100/year, 21.6% at baseline, 15.2% at top 25/year), indicating that cross-region decorrelation strengthens at more extreme stress intensities (Extended Data Fig. 1).</w:t>
      </w:r>
    </w:p>
    <w:p w14:paraId="602B59A0"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Workload datasets</w:t>
      </w:r>
    </w:p>
    <w:p w14:paraId="7A1A2CDB" w14:textId="7E6F2C5E" w:rsidR="00C74245" w:rsidRPr="00C74245" w:rsidRDefault="00C74245" w:rsidP="00C74245">
      <w:pPr>
        <w:rPr>
          <w:rFonts w:ascii="Times New Roman" w:hAnsi="Times New Roman" w:cs="Times New Roman"/>
          <w:bCs/>
        </w:rPr>
      </w:pPr>
      <w:r w:rsidRPr="00C74245">
        <w:rPr>
          <w:rFonts w:ascii="Times New Roman" w:hAnsi="Times New Roman" w:cs="Times New Roman"/>
          <w:bCs/>
        </w:rPr>
        <w:t>We analyzed 44.1 million production LLM inference requests across two Azure services (Coding and Conversation) drawn from the DynamoLLM trace release on the Azure Public Dataset repository, spanning seven days in May 2024. The underlying traces were characterized for energy-management purposes by Stojkovic et al.</w:t>
      </w:r>
      <w:r w:rsidR="000350AC">
        <w:rPr>
          <w:rFonts w:ascii="Times New Roman" w:hAnsi="Times New Roman" w:cs="Times New Roman"/>
          <w:bCs/>
        </w:rPr>
        <w:t>[6]</w:t>
      </w:r>
      <w:r w:rsidRPr="00C74245">
        <w:rPr>
          <w:rFonts w:ascii="Times New Roman" w:hAnsi="Times New Roman" w:cs="Times New Roman"/>
          <w:bCs/>
        </w:rPr>
        <w:t xml:space="preserve"> We separately analyzed the BurstGPT dataset (arXiv v3 release)</w:t>
      </w:r>
      <w:r w:rsidR="000350AC">
        <w:rPr>
          <w:rFonts w:ascii="Times New Roman" w:hAnsi="Times New Roman" w:cs="Times New Roman"/>
          <w:bCs/>
        </w:rPr>
        <w:t>[28]</w:t>
      </w:r>
      <w:r w:rsidRPr="00C74245">
        <w:rPr>
          <w:rFonts w:ascii="Times New Roman" w:hAnsi="Times New Roman" w:cs="Times New Roman"/>
          <w:bCs/>
        </w:rPr>
        <w:t>, comprising 5.29 million requests from Azure OpenAI regional endpoints over 121 days of continuous observation. Both datasets represent production inference traffic. Drain times are computed as generated tokens divided by a central generation rate of 60 tokens per second, with sensitivity across 30–120 tokens/sec reported in Extended Data Fig. 2.</w:t>
      </w:r>
    </w:p>
    <w:p w14:paraId="5937D6AD" w14:textId="4178B0F7" w:rsidR="00C74245" w:rsidRPr="00C74245" w:rsidRDefault="00C74245" w:rsidP="00C74245">
      <w:pPr>
        <w:rPr>
          <w:rFonts w:ascii="Times New Roman" w:hAnsi="Times New Roman" w:cs="Times New Roman"/>
          <w:bCs/>
        </w:rPr>
      </w:pPr>
      <w:r w:rsidRPr="00C74245">
        <w:rPr>
          <w:rFonts w:ascii="Times New Roman" w:hAnsi="Times New Roman" w:cs="Times New Roman"/>
          <w:bCs/>
        </w:rPr>
        <w:t>The two datasets differ in temporal structure</w:t>
      </w:r>
      <w:r w:rsidR="000350AC">
        <w:rPr>
          <w:rFonts w:ascii="Times New Roman" w:hAnsi="Times New Roman" w:cs="Times New Roman"/>
          <w:bCs/>
        </w:rPr>
        <w:t>.</w:t>
      </w:r>
      <w:r w:rsidRPr="00C74245">
        <w:rPr>
          <w:rFonts w:ascii="Times New Roman" w:hAnsi="Times New Roman" w:cs="Times New Roman"/>
          <w:bCs/>
        </w:rPr>
        <w:t xml:space="preserve"> DynamoLLM shows strong diurnal variation (3.3× peak-to-trough for conversational workloads, 34.6× for coding workloads) while BurstGPT exhibits near-continuous 24-hour activity with minimal weekly periodicity. The DynamoLLM peak-to-valley structure provides the empirical anchor for the QUEUE_ok parameter at single-facility scale (the post-stress recovery hours have meaningful absorption headroom because peak-to-valley ratios are wide). This divergence reflects differing user populations and does not affect the DRAIN_ok parameterization, which depends on per-request drain time rather than aggregate traffic volume.</w:t>
      </w:r>
    </w:p>
    <w:p w14:paraId="4E339445"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Per-GW parametric sweep</w:t>
      </w:r>
    </w:p>
    <w:p w14:paraId="03756F24" w14:textId="3199ED68" w:rsidR="00C74245" w:rsidRPr="00C74245" w:rsidRDefault="00F407A0" w:rsidP="00C74245">
      <w:pPr>
        <w:rPr>
          <w:rFonts w:ascii="Times New Roman" w:hAnsi="Times New Roman" w:cs="Times New Roman"/>
          <w:bCs/>
        </w:rPr>
      </w:pPr>
      <w:r w:rsidRPr="00F407A0">
        <w:rPr>
          <w:rFonts w:ascii="Times New Roman" w:hAnsi="Times New Roman" w:cs="Times New Roman"/>
          <w:bCs/>
        </w:rPr>
        <w:t>The fleet-level analysis evaluates commitment depth as a continuous function of fleet size from 0.5 to 15 GW under each scope scenario. At each fleet size, the migrating demand in each stress hour is fleet_MW × (1/PUE) × φ_inf,scope × MIG_elig × DRAIN_ok (the source-side spatial-cascade product, evaluated at central values for the fixed parameters). This demand competes for the same per-hour destination headroom computed in the conditional MC. The same DEST_absorb / QUEUE_ok / ensemble draws are reused across all fleet sizes to isolate the scale effect from Monte Carlo variance. The sweep identifies the spatial contention onset — the fleet size at which more than 50% of draw-hour combinations are destination-constrained for spatial migration. Within the swept range, spatial contention does not exceed the 50% threshold under either scope scenario, with onset projected beyond 15 GW.</w:t>
      </w:r>
    </w:p>
    <w:p w14:paraId="4B35687B"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Sensitivity analysis</w:t>
      </w:r>
    </w:p>
    <w:p w14:paraId="5AF61D8F"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two-dimensional sensitivity surface evaluates fleet commitment depth at 10 GW across a 10×10 grid of DEST_absorb and QUEUE_ok values, under the inference-dominant scope. Other parameters are held at the conditional MC central values, and DEST_avail is observed per-hour </w:t>
      </w:r>
      <w:r w:rsidRPr="00C74245">
        <w:rPr>
          <w:rFonts w:ascii="Times New Roman" w:hAnsi="Times New Roman" w:cs="Times New Roman"/>
          <w:bCs/>
        </w:rPr>
        <w:lastRenderedPageBreak/>
        <w:t>from the empirical pricing data as in the base conditional MC. Each grid point computes deterministic hour-by-hour commitment depth under these fixed parameter choices.</w:t>
      </w:r>
    </w:p>
    <w:p w14:paraId="51106D0F" w14:textId="18116D84"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tornado chart quantifies one-at-a-time sensitivity at 10 GW fleet size across the variable parameters under the inference-dominant scope, sweeping each from its lower to upper bound while holding all others at central values. </w:t>
      </w:r>
      <w:r w:rsidR="00EF2942" w:rsidRPr="00EF2942">
        <w:rPr>
          <w:rFonts w:ascii="Times New Roman" w:hAnsi="Times New Roman" w:cs="Times New Roman"/>
          <w:bCs/>
        </w:rPr>
        <w:t>φ_inf is excluded; the two-scope reporting captures its sensitivity.</w:t>
      </w:r>
      <w:r w:rsidRPr="00C74245">
        <w:rPr>
          <w:rFonts w:ascii="Times New Roman" w:hAnsi="Times New Roman" w:cs="Times New Roman"/>
          <w:bCs/>
        </w:rPr>
        <w:t xml:space="preserve"> </w:t>
      </w:r>
      <w:r w:rsidR="00EF2942" w:rsidRPr="00EF2942">
        <w:rPr>
          <w:rFonts w:ascii="Times New Roman" w:hAnsi="Times New Roman" w:cs="Times New Roman"/>
          <w:bCs/>
        </w:rPr>
        <w:t>DEST_avail is swept parametrically rather than observed per-hour for direct comparability with other parameters</w:t>
      </w:r>
      <w:r w:rsidRPr="00C74245">
        <w:rPr>
          <w:rFonts w:ascii="Times New Roman" w:hAnsi="Times New Roman" w:cs="Times New Roman"/>
          <w:bCs/>
        </w:rPr>
        <w:t>.</w:t>
      </w:r>
    </w:p>
    <w:p w14:paraId="7E34C17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System-level calculations</w:t>
      </w:r>
    </w:p>
    <w:p w14:paraId="140A972C" w14:textId="2424C535" w:rsidR="00BE4AEC" w:rsidRPr="00F407A0" w:rsidRDefault="00B140BA" w:rsidP="00A42F23">
      <w:pPr>
        <w:rPr>
          <w:rFonts w:ascii="Times New Roman" w:hAnsi="Times New Roman" w:cs="Times New Roman"/>
          <w:bCs/>
        </w:rPr>
      </w:pPr>
      <w:r w:rsidRPr="00B140BA">
        <w:rPr>
          <w:rFonts w:ascii="Times New Roman" w:hAnsi="Times New Roman" w:cs="Times New Roman"/>
          <w:bCs/>
        </w:rPr>
        <w:t>The 92% ELCC applied to committed MW follows PJM precedent for demand response resources</w:t>
      </w:r>
      <w:r w:rsidR="00B717CE">
        <w:rPr>
          <w:rFonts w:ascii="Times New Roman" w:hAnsi="Times New Roman" w:cs="Times New Roman"/>
          <w:bCs/>
        </w:rPr>
        <w:t>[12]</w:t>
      </w:r>
      <w:r w:rsidRPr="00B140BA">
        <w:rPr>
          <w:rFonts w:ascii="Times New Roman" w:hAnsi="Times New Roman" w:cs="Times New Roman"/>
          <w:bCs/>
        </w:rPr>
        <w:t>. Avoided capacity cost is computed using the levelized CT cost of $180,000/MW-yr from the E3 2025 Resource Adequacy Study for Illinois</w:t>
      </w:r>
      <w:r w:rsidR="00B717CE">
        <w:rPr>
          <w:rFonts w:ascii="Times New Roman" w:hAnsi="Times New Roman" w:cs="Times New Roman"/>
          <w:bCs/>
        </w:rPr>
        <w:t>[13]</w:t>
      </w:r>
      <w:r w:rsidRPr="00B140BA">
        <w:rPr>
          <w:rFonts w:ascii="Times New Roman" w:hAnsi="Times New Roman" w:cs="Times New Roman"/>
          <w:bCs/>
        </w:rPr>
        <w:t>. Interconnection acceleration NPV is computed using H100 GPU spot rates of $2.20/GPU-hour (Silicon Data GPU Rental Index, January 2026)</w:t>
      </w:r>
      <w:r w:rsidR="00B717CE">
        <w:rPr>
          <w:rFonts w:ascii="Times New Roman" w:hAnsi="Times New Roman" w:cs="Times New Roman"/>
          <w:bCs/>
        </w:rPr>
        <w:t>[29]</w:t>
      </w:r>
      <w:r w:rsidRPr="00B140BA">
        <w:rPr>
          <w:rFonts w:ascii="Times New Roman" w:hAnsi="Times New Roman" w:cs="Times New Roman"/>
          <w:bCs/>
        </w:rPr>
        <w:t>, 603 H100s per MW grid capacity (derived from 10.2 kW × 8 GPUs × 1.3 PUE), 80% utilization, and a 10% weighted average cost of capital. The central case applies a three-year acceleration window; conservative (two-year) and optimistic (four-year) values are reported in Extended Data Table 2</w:t>
      </w:r>
      <w:r w:rsidR="00C74245" w:rsidRPr="00C74245">
        <w:rPr>
          <w:rFonts w:ascii="Times New Roman" w:hAnsi="Times New Roman" w:cs="Times New Roman"/>
          <w:bCs/>
        </w:rPr>
        <w:t>.</w:t>
      </w:r>
    </w:p>
    <w:p w14:paraId="3BCDB6A8" w14:textId="77777777" w:rsidR="0098133A" w:rsidRPr="00C74245" w:rsidRDefault="0098133A" w:rsidP="0098133A">
      <w:pPr>
        <w:rPr>
          <w:rFonts w:ascii="Times New Roman" w:hAnsi="Times New Roman" w:cs="Times New Roman"/>
          <w:bCs/>
          <w:sz w:val="28"/>
          <w:szCs w:val="28"/>
        </w:rPr>
      </w:pPr>
      <w:r w:rsidRPr="00C74245">
        <w:rPr>
          <w:rFonts w:ascii="Times New Roman" w:hAnsi="Times New Roman" w:cs="Times New Roman"/>
          <w:b/>
          <w:bCs/>
          <w:sz w:val="28"/>
          <w:szCs w:val="28"/>
        </w:rPr>
        <w:t>Data and Code Availability</w:t>
      </w:r>
    </w:p>
    <w:p w14:paraId="5CFA752F" w14:textId="67DCADD4" w:rsidR="00F30CDA" w:rsidRPr="00C74245" w:rsidRDefault="00F30CDA" w:rsidP="00FB45F0">
      <w:pPr>
        <w:rPr>
          <w:rFonts w:ascii="Times New Roman" w:hAnsi="Times New Roman" w:cs="Times New Roman"/>
          <w:bCs/>
        </w:rPr>
      </w:pPr>
      <w:r w:rsidRPr="00C74245">
        <w:rPr>
          <w:rFonts w:ascii="Times New Roman" w:hAnsi="Times New Roman" w:cs="Times New Roman"/>
          <w:bCs/>
        </w:rPr>
        <w:t>Day-ahead locational marginal pricing data are publicly available from the respective RTO market portals: PJM Data Miner 2 (https://dataminer2.pjm.com), ERCOT Market Information System (https://www.ercot.com/mp/data-products), CAISO OASIS (http://oasis.caiso.com), MISO Market Reports (https://www.misoenergy.org/markets-and-operations/real-time--market-data), and NYISO Custom Reports (https://www.nyiso.com/custom-reports). The Microsoft Azure LLM Inference Dataset 2024 (DynamoLLM traces) is publicly available at https://github.com/Azure/AzurePublicDataset under AzureLLMInferenceDataset2024. The BurstGPT dataset is publicly available at https://github.com/HPMLL/BurstGPT. Data center location data are from the U.S. Department of Energy / National Renewable Energy Laboratory Accelerating Speed to Power Data Viewer (</w:t>
      </w:r>
      <w:r w:rsidR="00170FFE" w:rsidRPr="00C74245">
        <w:rPr>
          <w:rFonts w:ascii="Times New Roman" w:hAnsi="Times New Roman" w:cs="Times New Roman"/>
          <w:bCs/>
        </w:rPr>
        <w:t>https://maps.nrel.gov/speed-to-power</w:t>
      </w:r>
      <w:r w:rsidRPr="00C74245">
        <w:rPr>
          <w:rFonts w:ascii="Times New Roman" w:hAnsi="Times New Roman" w:cs="Times New Roman"/>
          <w:bCs/>
        </w:rPr>
        <w:t>)</w:t>
      </w:r>
      <w:r w:rsidR="00170FFE" w:rsidRPr="00C74245">
        <w:rPr>
          <w:rFonts w:ascii="Times New Roman" w:hAnsi="Times New Roman" w:cs="Times New Roman"/>
          <w:bCs/>
        </w:rPr>
        <w:t>, accessed via its public backend API</w:t>
      </w:r>
      <w:r w:rsidRPr="00C74245">
        <w:rPr>
          <w:rFonts w:ascii="Times New Roman" w:hAnsi="Times New Roman" w:cs="Times New Roman"/>
          <w:bCs/>
        </w:rPr>
        <w:t>. Analysis code and processed datasets are available at https://github.com/ctdunlap32/data-center-flexibility-resource-adequacy.</w:t>
      </w:r>
    </w:p>
    <w:p w14:paraId="1E0AC5B8" w14:textId="6C5D93C2" w:rsidR="00FB45F0" w:rsidRPr="00C74245" w:rsidRDefault="00FB45F0" w:rsidP="00FB45F0">
      <w:pPr>
        <w:rPr>
          <w:rFonts w:ascii="Times New Roman" w:hAnsi="Times New Roman" w:cs="Times New Roman"/>
          <w:bCs/>
          <w:sz w:val="28"/>
          <w:szCs w:val="28"/>
        </w:rPr>
      </w:pPr>
      <w:r w:rsidRPr="00C74245">
        <w:rPr>
          <w:rFonts w:ascii="Times New Roman" w:hAnsi="Times New Roman" w:cs="Times New Roman"/>
          <w:b/>
          <w:bCs/>
          <w:sz w:val="28"/>
          <w:szCs w:val="28"/>
        </w:rPr>
        <w:t>Acknowledgments</w:t>
      </w:r>
    </w:p>
    <w:p w14:paraId="17B8A959" w14:textId="3CA8A173" w:rsidR="0098133A" w:rsidRPr="00C74245" w:rsidRDefault="00FF6FF9" w:rsidP="0098133A">
      <w:pPr>
        <w:rPr>
          <w:rFonts w:ascii="Times New Roman" w:hAnsi="Times New Roman" w:cs="Times New Roman"/>
          <w:bCs/>
        </w:rPr>
      </w:pPr>
      <w:r w:rsidRPr="00C74245">
        <w:rPr>
          <w:rFonts w:ascii="Times New Roman" w:hAnsi="Times New Roman" w:cs="Times New Roman"/>
          <w:bCs/>
        </w:rPr>
        <w:t>The author thanks Robert Rosner for advisory support. This research was supported by the Bartlett Fellowship at</w:t>
      </w:r>
      <w:r w:rsidR="00C85773" w:rsidRPr="00C74245">
        <w:rPr>
          <w:rFonts w:ascii="Times New Roman" w:hAnsi="Times New Roman" w:cs="Times New Roman"/>
          <w:bCs/>
        </w:rPr>
        <w:t xml:space="preserve"> the Energy Policy Institute at Chicago</w:t>
      </w:r>
      <w:r w:rsidRPr="00C74245">
        <w:rPr>
          <w:rFonts w:ascii="Times New Roman" w:hAnsi="Times New Roman" w:cs="Times New Roman"/>
          <w:bCs/>
        </w:rPr>
        <w:t xml:space="preserve"> </w:t>
      </w:r>
      <w:r w:rsidR="00C85773" w:rsidRPr="00C74245">
        <w:rPr>
          <w:rFonts w:ascii="Times New Roman" w:hAnsi="Times New Roman" w:cs="Times New Roman"/>
          <w:bCs/>
        </w:rPr>
        <w:t>(</w:t>
      </w:r>
      <w:r w:rsidRPr="00C74245">
        <w:rPr>
          <w:rFonts w:ascii="Times New Roman" w:hAnsi="Times New Roman" w:cs="Times New Roman"/>
          <w:bCs/>
        </w:rPr>
        <w:t>EPIC</w:t>
      </w:r>
      <w:r w:rsidR="00C85773" w:rsidRPr="00C74245">
        <w:rPr>
          <w:rFonts w:ascii="Times New Roman" w:hAnsi="Times New Roman" w:cs="Times New Roman"/>
          <w:bCs/>
        </w:rPr>
        <w:t>)</w:t>
      </w:r>
      <w:r w:rsidRPr="00C74245">
        <w:rPr>
          <w:rFonts w:ascii="Times New Roman" w:hAnsi="Times New Roman" w:cs="Times New Roman"/>
          <w:bCs/>
        </w:rPr>
        <w:t xml:space="preserve">. The author used Anthropic's Claude for assistance with structural organization, literature search, computational code development, and prose drafting. </w:t>
      </w:r>
      <w:r w:rsidR="00C85773" w:rsidRPr="00C74245">
        <w:rPr>
          <w:rFonts w:ascii="Times New Roman" w:hAnsi="Times New Roman" w:cs="Times New Roman"/>
          <w:bCs/>
        </w:rPr>
        <w:t>All analytical design, empirical methodology, results, interpretation, and final editorial decisions are the author’s own</w:t>
      </w:r>
      <w:r w:rsidRPr="00C74245">
        <w:rPr>
          <w:rFonts w:ascii="Times New Roman" w:hAnsi="Times New Roman" w:cs="Times New Roman"/>
          <w:bCs/>
        </w:rPr>
        <w:t>.</w:t>
      </w:r>
    </w:p>
    <w:p w14:paraId="26D928A5" w14:textId="77777777" w:rsidR="001C53D0" w:rsidRDefault="001C53D0" w:rsidP="0059191C">
      <w:pPr>
        <w:rPr>
          <w:rFonts w:ascii="Times New Roman" w:hAnsi="Times New Roman" w:cs="Times New Roman"/>
          <w:b/>
          <w:bCs/>
          <w:sz w:val="28"/>
          <w:szCs w:val="28"/>
          <w:highlight w:val="yellow"/>
        </w:rPr>
      </w:pPr>
    </w:p>
    <w:p w14:paraId="0C04142D" w14:textId="14D0BC6C" w:rsidR="0059191C" w:rsidRPr="001C53D0" w:rsidRDefault="00C85773" w:rsidP="0059191C">
      <w:pPr>
        <w:rPr>
          <w:rFonts w:ascii="Times New Roman" w:hAnsi="Times New Roman" w:cs="Times New Roman"/>
          <w:bCs/>
          <w:sz w:val="28"/>
          <w:szCs w:val="28"/>
        </w:rPr>
      </w:pPr>
      <w:r w:rsidRPr="001C53D0">
        <w:rPr>
          <w:rFonts w:ascii="Times New Roman" w:hAnsi="Times New Roman" w:cs="Times New Roman"/>
          <w:b/>
          <w:bCs/>
          <w:sz w:val="28"/>
          <w:szCs w:val="28"/>
        </w:rPr>
        <w:lastRenderedPageBreak/>
        <w:t>R</w:t>
      </w:r>
      <w:r w:rsidR="0059191C" w:rsidRPr="001C53D0">
        <w:rPr>
          <w:rFonts w:ascii="Times New Roman" w:hAnsi="Times New Roman" w:cs="Times New Roman"/>
          <w:b/>
          <w:bCs/>
          <w:sz w:val="28"/>
          <w:szCs w:val="28"/>
        </w:rPr>
        <w:t>eferences</w:t>
      </w:r>
    </w:p>
    <w:p w14:paraId="49D48F83" w14:textId="55D7469B" w:rsidR="001C53D0" w:rsidRPr="001C53D0" w:rsidRDefault="001C53D0" w:rsidP="001C53D0">
      <w:pPr>
        <w:rPr>
          <w:rFonts w:ascii="Times New Roman" w:hAnsi="Times New Roman" w:cs="Times New Roman"/>
          <w:bCs/>
        </w:rPr>
      </w:pPr>
      <w:r>
        <w:rPr>
          <w:rFonts w:ascii="Times New Roman" w:hAnsi="Times New Roman" w:cs="Times New Roman"/>
          <w:bCs/>
        </w:rPr>
        <w:t>[1]</w:t>
      </w:r>
      <w:r w:rsidRPr="001C53D0">
        <w:rPr>
          <w:rFonts w:ascii="Times New Roman" w:hAnsi="Times New Roman" w:cs="Times New Roman"/>
          <w:bCs/>
        </w:rPr>
        <w:t xml:space="preserve"> PJM Interconnection, 2027/2028 Base Residual Auction Report (Valley Forge, PA: PJM Interconnection, December 17, 2025).</w:t>
      </w:r>
    </w:p>
    <w:p w14:paraId="7A927D69" w14:textId="0E1A9FBE" w:rsidR="001C53D0" w:rsidRPr="001C53D0" w:rsidRDefault="001C53D0" w:rsidP="001C53D0">
      <w:pPr>
        <w:rPr>
          <w:rFonts w:ascii="Times New Roman" w:hAnsi="Times New Roman" w:cs="Times New Roman"/>
          <w:bCs/>
        </w:rPr>
      </w:pPr>
      <w:r>
        <w:rPr>
          <w:rFonts w:ascii="Times New Roman" w:hAnsi="Times New Roman" w:cs="Times New Roman"/>
          <w:bCs/>
        </w:rPr>
        <w:t xml:space="preserve">[2] </w:t>
      </w:r>
      <w:r w:rsidRPr="001C53D0">
        <w:rPr>
          <w:rFonts w:ascii="Times New Roman" w:hAnsi="Times New Roman" w:cs="Times New Roman"/>
          <w:bCs/>
        </w:rPr>
        <w:t>PJM Interconnection, 2026 Long-Term Load Forecast Report (Valley Forge, PA: PJM Interconnection, January 14, 2026), Tables B-9 and B-9b.</w:t>
      </w:r>
    </w:p>
    <w:p w14:paraId="60E229C4" w14:textId="771C236F" w:rsidR="001C53D0" w:rsidRPr="001C53D0" w:rsidRDefault="001C53D0" w:rsidP="001C53D0">
      <w:pPr>
        <w:rPr>
          <w:rFonts w:ascii="Times New Roman" w:hAnsi="Times New Roman" w:cs="Times New Roman"/>
          <w:bCs/>
        </w:rPr>
      </w:pPr>
      <w:r>
        <w:rPr>
          <w:rFonts w:ascii="Times New Roman" w:hAnsi="Times New Roman" w:cs="Times New Roman"/>
          <w:bCs/>
        </w:rPr>
        <w:t>[3]</w:t>
      </w:r>
      <w:r w:rsidRPr="001C53D0">
        <w:rPr>
          <w:rFonts w:ascii="Times New Roman" w:hAnsi="Times New Roman" w:cs="Times New Roman"/>
          <w:bCs/>
        </w:rPr>
        <w:t xml:space="preserve"> Lawrence Berkeley National Laboratory, Queued Up: 2025 Edition, Characteristics of Power Plants Seeking Transmission Interconnection As of the End of 2024. (Berkeley, CA: LBNL, 2025).</w:t>
      </w:r>
    </w:p>
    <w:p w14:paraId="5F693186" w14:textId="695B8577" w:rsidR="001C53D0" w:rsidRPr="001C53D0" w:rsidRDefault="001C53D0" w:rsidP="001C53D0">
      <w:pPr>
        <w:rPr>
          <w:rFonts w:ascii="Times New Roman" w:hAnsi="Times New Roman" w:cs="Times New Roman"/>
          <w:bCs/>
        </w:rPr>
      </w:pPr>
      <w:r>
        <w:rPr>
          <w:rFonts w:ascii="Times New Roman" w:hAnsi="Times New Roman" w:cs="Times New Roman"/>
          <w:bCs/>
        </w:rPr>
        <w:t xml:space="preserve">[4] </w:t>
      </w:r>
      <w:r w:rsidRPr="001C53D0">
        <w:rPr>
          <w:rFonts w:ascii="Times New Roman" w:hAnsi="Times New Roman" w:cs="Times New Roman"/>
          <w:bCs/>
        </w:rPr>
        <w:t>International Energy Agency. Energy and AI. World Energy Outlook Special Report (2025).</w:t>
      </w:r>
    </w:p>
    <w:p w14:paraId="619DBC0B" w14:textId="0C6930A2" w:rsidR="001C53D0" w:rsidRPr="001C53D0" w:rsidRDefault="001C53D0" w:rsidP="001C53D0">
      <w:pPr>
        <w:rPr>
          <w:rFonts w:ascii="Times New Roman" w:hAnsi="Times New Roman" w:cs="Times New Roman"/>
          <w:bCs/>
        </w:rPr>
      </w:pPr>
      <w:r>
        <w:rPr>
          <w:rFonts w:ascii="Times New Roman" w:hAnsi="Times New Roman" w:cs="Times New Roman"/>
          <w:bCs/>
        </w:rPr>
        <w:t>[5]</w:t>
      </w:r>
      <w:r w:rsidRPr="001C53D0">
        <w:rPr>
          <w:rFonts w:ascii="Times New Roman" w:hAnsi="Times New Roman" w:cs="Times New Roman"/>
          <w:bCs/>
        </w:rPr>
        <w:t xml:space="preserve"> Zhang, C., et al. Flex: High-availability datacenters with zero reserved power. ISCA (2021).</w:t>
      </w:r>
    </w:p>
    <w:p w14:paraId="7B43CE14" w14:textId="23F51667" w:rsidR="001C53D0" w:rsidRPr="001C53D0" w:rsidRDefault="001C53D0" w:rsidP="001C53D0">
      <w:pPr>
        <w:rPr>
          <w:rFonts w:ascii="Times New Roman" w:hAnsi="Times New Roman" w:cs="Times New Roman"/>
          <w:bCs/>
        </w:rPr>
      </w:pPr>
      <w:r>
        <w:rPr>
          <w:rFonts w:ascii="Times New Roman" w:hAnsi="Times New Roman" w:cs="Times New Roman"/>
          <w:bCs/>
        </w:rPr>
        <w:t>[6]</w:t>
      </w:r>
      <w:r w:rsidRPr="001C53D0">
        <w:rPr>
          <w:rFonts w:ascii="Times New Roman" w:hAnsi="Times New Roman" w:cs="Times New Roman"/>
          <w:bCs/>
        </w:rPr>
        <w:t xml:space="preserve"> Stojkovic, J., Zhang, C., Goiri, Í., Torrellas, J., &amp; Choukse, E. DynamoLLM: Designing LLM Inference Clusters for Performance and Energy Efficiency. Proc. HPCA 2025, pp. 1348–1362</w:t>
      </w:r>
    </w:p>
    <w:p w14:paraId="7345DE88" w14:textId="56CFEF0B" w:rsidR="001C53D0" w:rsidRPr="001C53D0" w:rsidRDefault="001C53D0" w:rsidP="001C53D0">
      <w:pPr>
        <w:rPr>
          <w:rFonts w:ascii="Times New Roman" w:hAnsi="Times New Roman" w:cs="Times New Roman"/>
          <w:bCs/>
        </w:rPr>
      </w:pPr>
      <w:r>
        <w:rPr>
          <w:rFonts w:ascii="Times New Roman" w:hAnsi="Times New Roman" w:cs="Times New Roman"/>
          <w:bCs/>
        </w:rPr>
        <w:t xml:space="preserve">[7] </w:t>
      </w:r>
      <w:r w:rsidRPr="001C53D0">
        <w:rPr>
          <w:rFonts w:ascii="Times New Roman" w:hAnsi="Times New Roman" w:cs="Times New Roman"/>
          <w:bCs/>
        </w:rPr>
        <w:t>Li, L., et al. Thunderbolt: Throughput-optimized, quality-of-service-aware power capping at scale. OSDI (2020)</w:t>
      </w:r>
    </w:p>
    <w:p w14:paraId="39A368A6" w14:textId="7E135DAA" w:rsidR="00A36ECE" w:rsidRDefault="00A36ECE" w:rsidP="001C53D0">
      <w:pPr>
        <w:rPr>
          <w:rFonts w:ascii="Times New Roman" w:hAnsi="Times New Roman" w:cs="Times New Roman"/>
          <w:bCs/>
        </w:rPr>
      </w:pPr>
      <w:r>
        <w:rPr>
          <w:rFonts w:ascii="Times New Roman" w:hAnsi="Times New Roman" w:cs="Times New Roman"/>
          <w:bCs/>
        </w:rPr>
        <w:t xml:space="preserve">[8] </w:t>
      </w:r>
      <w:r w:rsidRPr="001C53D0">
        <w:rPr>
          <w:rFonts w:ascii="Times New Roman" w:hAnsi="Times New Roman" w:cs="Times New Roman"/>
          <w:bCs/>
        </w:rPr>
        <w:t>Colangelo, P., Coskun, A. K., Megrue, J., Roberts, C., Sengupta, S., Sivaram, V., Tiao, E., Vijaykar, A., Williams, C., Wilson, D. C., Records, B., MacFarland, Z., Dreiling, D., Morey, N., Ratnayake, A., &amp; Vairamohan, B. AI data centres as grid-interactive assets. Nature Energy 11, 254–261 (2026). https://doi.org/10.1038/s41560-025-01927-1.</w:t>
      </w:r>
    </w:p>
    <w:p w14:paraId="043777CF" w14:textId="42A352D7" w:rsidR="00A36ECE" w:rsidRDefault="001C53D0" w:rsidP="001C53D0">
      <w:pPr>
        <w:rPr>
          <w:rFonts w:ascii="Times New Roman" w:hAnsi="Times New Roman" w:cs="Times New Roman"/>
          <w:bCs/>
        </w:rPr>
      </w:pPr>
      <w:r>
        <w:rPr>
          <w:rFonts w:ascii="Times New Roman" w:hAnsi="Times New Roman" w:cs="Times New Roman"/>
          <w:bCs/>
        </w:rPr>
        <w:t>[</w:t>
      </w:r>
      <w:r w:rsidR="00A36ECE">
        <w:rPr>
          <w:rFonts w:ascii="Times New Roman" w:hAnsi="Times New Roman" w:cs="Times New Roman"/>
          <w:bCs/>
        </w:rPr>
        <w:t>9</w:t>
      </w:r>
      <w:r>
        <w:rPr>
          <w:rFonts w:ascii="Times New Roman" w:hAnsi="Times New Roman" w:cs="Times New Roman"/>
          <w:bCs/>
        </w:rPr>
        <w:t>]</w:t>
      </w:r>
      <w:r w:rsidRPr="001C53D0">
        <w:rPr>
          <w:rFonts w:ascii="Times New Roman" w:hAnsi="Times New Roman" w:cs="Times New Roman"/>
          <w:bCs/>
        </w:rPr>
        <w:t xml:space="preserve"> </w:t>
      </w:r>
      <w:r w:rsidR="00A36ECE" w:rsidRPr="001C53D0">
        <w:rPr>
          <w:rFonts w:ascii="Times New Roman" w:hAnsi="Times New Roman" w:cs="Times New Roman"/>
          <w:bCs/>
        </w:rPr>
        <w:t>M Arora, C., Sorel, M., Sachdeva, P., Bhan, A., He, J., Shaw, N., Garg, R., &amp; Ravishankar, S. The next big shifts in AI workloads and hyperscaler strategies. McKinsey &amp; Company, Technology, Media &amp; Telecommunications Practice (December 2025).</w:t>
      </w:r>
    </w:p>
    <w:p w14:paraId="027D1DB1" w14:textId="6AFF9C19" w:rsidR="00A36ECE" w:rsidRDefault="00A36ECE" w:rsidP="001C53D0">
      <w:pPr>
        <w:rPr>
          <w:rFonts w:ascii="Times New Roman" w:hAnsi="Times New Roman" w:cs="Times New Roman"/>
          <w:bCs/>
        </w:rPr>
      </w:pPr>
      <w:r>
        <w:rPr>
          <w:rFonts w:ascii="Times New Roman" w:hAnsi="Times New Roman" w:cs="Times New Roman"/>
          <w:bCs/>
        </w:rPr>
        <w:t xml:space="preserve">[10] </w:t>
      </w:r>
      <w:r w:rsidRPr="001C53D0">
        <w:rPr>
          <w:rFonts w:ascii="Times New Roman" w:hAnsi="Times New Roman" w:cs="Times New Roman"/>
          <w:bCs/>
        </w:rPr>
        <w:t>Zhou, X., et al. AI-Focused HPC Data Centers Can Provide More Power Grid Flexibility and at Lower Cost. arXiv:2410.17435 (2024).</w:t>
      </w:r>
    </w:p>
    <w:p w14:paraId="2A1222B8" w14:textId="73549A59" w:rsidR="001C53D0" w:rsidRPr="001C53D0" w:rsidRDefault="001C53D0" w:rsidP="001C53D0">
      <w:pPr>
        <w:rPr>
          <w:rFonts w:ascii="Times New Roman" w:hAnsi="Times New Roman" w:cs="Times New Roman"/>
          <w:bCs/>
        </w:rPr>
      </w:pPr>
      <w:r>
        <w:rPr>
          <w:rFonts w:ascii="Times New Roman" w:hAnsi="Times New Roman" w:cs="Times New Roman"/>
          <w:bCs/>
        </w:rPr>
        <w:t>[</w:t>
      </w:r>
      <w:r w:rsidR="00A36ECE">
        <w:rPr>
          <w:rFonts w:ascii="Times New Roman" w:hAnsi="Times New Roman" w:cs="Times New Roman"/>
          <w:bCs/>
        </w:rPr>
        <w:t>11</w:t>
      </w:r>
      <w:r>
        <w:rPr>
          <w:rFonts w:ascii="Times New Roman" w:hAnsi="Times New Roman" w:cs="Times New Roman"/>
          <w:bCs/>
        </w:rPr>
        <w:t>]</w:t>
      </w:r>
      <w:r w:rsidRPr="001C53D0">
        <w:rPr>
          <w:rFonts w:ascii="Times New Roman" w:hAnsi="Times New Roman" w:cs="Times New Roman"/>
          <w:bCs/>
        </w:rPr>
        <w:t xml:space="preserve"> U.S. Department of Energy / National Renewable Energy Laboratory. "Data Center Demand Capacity by County." Accelerating Speed to Power Data Viewer. maps.nrel.gov/speed-to-power (accessed December 2025)</w:t>
      </w:r>
    </w:p>
    <w:p w14:paraId="14CAB899" w14:textId="4556445D" w:rsidR="001C53D0" w:rsidRPr="001C53D0" w:rsidRDefault="001C53D0" w:rsidP="001C53D0">
      <w:pPr>
        <w:rPr>
          <w:rFonts w:ascii="Times New Roman" w:hAnsi="Times New Roman" w:cs="Times New Roman"/>
          <w:bCs/>
        </w:rPr>
      </w:pPr>
      <w:r>
        <w:rPr>
          <w:rFonts w:ascii="Times New Roman" w:hAnsi="Times New Roman" w:cs="Times New Roman"/>
          <w:bCs/>
        </w:rPr>
        <w:t>[1</w:t>
      </w:r>
      <w:r w:rsidR="00A36ECE">
        <w:rPr>
          <w:rFonts w:ascii="Times New Roman" w:hAnsi="Times New Roman" w:cs="Times New Roman"/>
          <w:bCs/>
        </w:rPr>
        <w:t>2</w:t>
      </w:r>
      <w:r>
        <w:rPr>
          <w:rFonts w:ascii="Times New Roman" w:hAnsi="Times New Roman" w:cs="Times New Roman"/>
          <w:bCs/>
        </w:rPr>
        <w:t>]</w:t>
      </w:r>
      <w:r w:rsidRPr="001C53D0">
        <w:rPr>
          <w:rFonts w:ascii="Times New Roman" w:hAnsi="Times New Roman" w:cs="Times New Roman"/>
          <w:bCs/>
        </w:rPr>
        <w:t xml:space="preserve"> PJM Interconnection. PJM Manual 13: Emergency Operations. Rev. 97, effective November 20, 2025.</w:t>
      </w:r>
    </w:p>
    <w:p w14:paraId="1762BEB2" w14:textId="20279CBB" w:rsidR="00552814" w:rsidRDefault="001C53D0" w:rsidP="001C53D0">
      <w:pPr>
        <w:rPr>
          <w:rFonts w:ascii="Times New Roman" w:hAnsi="Times New Roman" w:cs="Times New Roman"/>
          <w:bCs/>
        </w:rPr>
      </w:pPr>
      <w:r>
        <w:rPr>
          <w:rFonts w:ascii="Times New Roman" w:hAnsi="Times New Roman" w:cs="Times New Roman"/>
          <w:bCs/>
        </w:rPr>
        <w:t>[1</w:t>
      </w:r>
      <w:r w:rsidR="00E34A7A">
        <w:rPr>
          <w:rFonts w:ascii="Times New Roman" w:hAnsi="Times New Roman" w:cs="Times New Roman"/>
          <w:bCs/>
        </w:rPr>
        <w:t>3</w:t>
      </w:r>
      <w:r>
        <w:rPr>
          <w:rFonts w:ascii="Times New Roman" w:hAnsi="Times New Roman" w:cs="Times New Roman"/>
          <w:bCs/>
        </w:rPr>
        <w:t>]</w:t>
      </w:r>
      <w:r w:rsidRPr="001C53D0">
        <w:rPr>
          <w:rFonts w:ascii="Times New Roman" w:hAnsi="Times New Roman" w:cs="Times New Roman"/>
          <w:bCs/>
        </w:rPr>
        <w:t xml:space="preserve"> E3 (Energy and Environmental Economics). 2025 Resource Adequacy Study for Illinois (2025).</w:t>
      </w:r>
    </w:p>
    <w:p w14:paraId="67E7E4B1" w14:textId="50BFC925" w:rsidR="00E34A7A" w:rsidRDefault="00E34A7A" w:rsidP="001C53D0">
      <w:pPr>
        <w:rPr>
          <w:rFonts w:ascii="Times New Roman" w:hAnsi="Times New Roman" w:cs="Times New Roman"/>
          <w:bCs/>
        </w:rPr>
      </w:pPr>
      <w:r>
        <w:rPr>
          <w:rFonts w:ascii="Times New Roman" w:hAnsi="Times New Roman" w:cs="Times New Roman"/>
          <w:bCs/>
        </w:rPr>
        <w:t xml:space="preserve">[14] </w:t>
      </w:r>
      <w:r w:rsidRPr="00633130">
        <w:rPr>
          <w:rFonts w:ascii="Times New Roman" w:hAnsi="Times New Roman" w:cs="Times New Roman"/>
        </w:rPr>
        <w:t xml:space="preserve">Terrell, M. How we're making data centers more flexible to benefit power grids. </w:t>
      </w:r>
      <w:r w:rsidRPr="00633130">
        <w:rPr>
          <w:rFonts w:ascii="Times New Roman" w:hAnsi="Times New Roman" w:cs="Times New Roman"/>
          <w:i/>
          <w:iCs/>
        </w:rPr>
        <w:t>The Keyword</w:t>
      </w:r>
      <w:r w:rsidRPr="00633130">
        <w:rPr>
          <w:rFonts w:ascii="Times New Roman" w:hAnsi="Times New Roman" w:cs="Times New Roman"/>
        </w:rPr>
        <w:t xml:space="preserve"> (Google) </w:t>
      </w:r>
      <w:hyperlink r:id="rId12" w:history="1">
        <w:r w:rsidRPr="00633130">
          <w:rPr>
            <w:rStyle w:val="Hyperlink"/>
            <w:rFonts w:ascii="Times New Roman" w:hAnsi="Times New Roman" w:cs="Times New Roman"/>
            <w:color w:val="auto"/>
            <w:u w:val="none"/>
          </w:rPr>
          <w:t>https://blog.google/innovation-and-ai/infrastructure-and-cloud/global-network/how-were-making-data-centers-more-flexible-to-benefit-power-grids/</w:t>
        </w:r>
      </w:hyperlink>
      <w:r w:rsidRPr="00633130">
        <w:rPr>
          <w:rFonts w:ascii="Times New Roman" w:hAnsi="Times New Roman" w:cs="Times New Roman"/>
        </w:rPr>
        <w:t xml:space="preserve"> (4 August 2025).</w:t>
      </w:r>
    </w:p>
    <w:p w14:paraId="4531F35D" w14:textId="55F8D6B9" w:rsidR="00A36ECE" w:rsidRPr="001C53D0" w:rsidRDefault="00DC42BA" w:rsidP="00A36ECE">
      <w:pPr>
        <w:rPr>
          <w:rFonts w:ascii="Times New Roman" w:hAnsi="Times New Roman" w:cs="Times New Roman"/>
          <w:bCs/>
        </w:rPr>
      </w:pPr>
      <w:r>
        <w:rPr>
          <w:rFonts w:ascii="Times New Roman" w:hAnsi="Times New Roman" w:cs="Times New Roman"/>
          <w:bCs/>
        </w:rPr>
        <w:lastRenderedPageBreak/>
        <w:t xml:space="preserve">[15] </w:t>
      </w:r>
      <w:r w:rsidR="00A36ECE" w:rsidRPr="001C53D0">
        <w:rPr>
          <w:rFonts w:ascii="Times New Roman" w:hAnsi="Times New Roman" w:cs="Times New Roman"/>
          <w:bCs/>
        </w:rPr>
        <w:t>Patel, P., Choukse, E., Zhang, C., Goiri, Í., Warrier, S., Mahalingam, N., &amp; Bianchini, R. Splitwise: Efficient generative LLM inference using phase splitting. ISCA (2024).</w:t>
      </w:r>
    </w:p>
    <w:p w14:paraId="285210ED" w14:textId="13CE81F6" w:rsidR="00A36ECE" w:rsidRPr="001C53D0" w:rsidRDefault="00A36ECE" w:rsidP="00A36ECE">
      <w:pPr>
        <w:rPr>
          <w:rFonts w:ascii="Times New Roman" w:hAnsi="Times New Roman" w:cs="Times New Roman"/>
          <w:bCs/>
        </w:rPr>
      </w:pPr>
      <w:r>
        <w:rPr>
          <w:rFonts w:ascii="Times New Roman" w:hAnsi="Times New Roman" w:cs="Times New Roman"/>
          <w:bCs/>
        </w:rPr>
        <w:t>[</w:t>
      </w:r>
      <w:r w:rsidR="00DC42BA">
        <w:rPr>
          <w:rFonts w:ascii="Times New Roman" w:hAnsi="Times New Roman" w:cs="Times New Roman"/>
          <w:bCs/>
        </w:rPr>
        <w:t>16</w:t>
      </w:r>
      <w:r>
        <w:rPr>
          <w:rFonts w:ascii="Times New Roman" w:hAnsi="Times New Roman" w:cs="Times New Roman"/>
          <w:bCs/>
        </w:rPr>
        <w:t>]</w:t>
      </w:r>
      <w:r w:rsidRPr="001C53D0">
        <w:rPr>
          <w:rFonts w:ascii="Times New Roman" w:hAnsi="Times New Roman" w:cs="Times New Roman"/>
          <w:bCs/>
        </w:rPr>
        <w:t xml:space="preserve"> Zhong, Y., Liu, S., Chen, J., Hu, J., Zhu, Y., Liu, X., Jin, X., &amp; Zhang, H. DistServe: Disaggregating prefill and decoding for goodput-optimized large language model serving. OSDI (2024).</w:t>
      </w:r>
    </w:p>
    <w:p w14:paraId="6F601B47" w14:textId="0DF9AFC7" w:rsidR="00A36ECE" w:rsidRPr="001C53D0" w:rsidRDefault="00A36ECE" w:rsidP="00A36ECE">
      <w:pPr>
        <w:rPr>
          <w:rFonts w:ascii="Times New Roman" w:hAnsi="Times New Roman" w:cs="Times New Roman"/>
          <w:bCs/>
        </w:rPr>
      </w:pPr>
      <w:r>
        <w:rPr>
          <w:rFonts w:ascii="Times New Roman" w:hAnsi="Times New Roman" w:cs="Times New Roman"/>
          <w:bCs/>
        </w:rPr>
        <w:t>[1</w:t>
      </w:r>
      <w:r w:rsidR="00DC42BA">
        <w:rPr>
          <w:rFonts w:ascii="Times New Roman" w:hAnsi="Times New Roman" w:cs="Times New Roman"/>
          <w:bCs/>
        </w:rPr>
        <w:t>7]</w:t>
      </w:r>
      <w:r w:rsidRPr="001C53D0">
        <w:rPr>
          <w:rFonts w:ascii="Times New Roman" w:hAnsi="Times New Roman" w:cs="Times New Roman"/>
          <w:bCs/>
        </w:rPr>
        <w:t xml:space="preserve"> Qin, L., et al. Mooncake: Trading more storage for less computation — a KVCache-centric architecture for serving LLM chatbot. (Moonshot AI, 2024).</w:t>
      </w:r>
    </w:p>
    <w:p w14:paraId="34DB5AD6" w14:textId="662F4E50" w:rsidR="00900941" w:rsidRPr="00900941" w:rsidRDefault="00900941" w:rsidP="00A36ECE">
      <w:pPr>
        <w:rPr>
          <w:rFonts w:ascii="Times New Roman" w:hAnsi="Times New Roman" w:cs="Times New Roman"/>
          <w:bCs/>
        </w:rPr>
      </w:pPr>
      <w:r>
        <w:rPr>
          <w:rFonts w:ascii="Times New Roman" w:hAnsi="Times New Roman" w:cs="Times New Roman"/>
          <w:bCs/>
        </w:rPr>
        <w:t>[1</w:t>
      </w:r>
      <w:r w:rsidR="00482036">
        <w:rPr>
          <w:rFonts w:ascii="Times New Roman" w:hAnsi="Times New Roman" w:cs="Times New Roman"/>
          <w:bCs/>
        </w:rPr>
        <w:t>8</w:t>
      </w:r>
      <w:r>
        <w:rPr>
          <w:rFonts w:ascii="Times New Roman" w:hAnsi="Times New Roman" w:cs="Times New Roman"/>
          <w:bCs/>
        </w:rPr>
        <w:t xml:space="preserve">] </w:t>
      </w:r>
      <w:r w:rsidRPr="00900941">
        <w:rPr>
          <w:rFonts w:ascii="Times New Roman" w:hAnsi="Times New Roman" w:cs="Times New Roman"/>
          <w:bCs/>
        </w:rPr>
        <w:t xml:space="preserve">Knittel, C. R., Senga, J. R. L., &amp; Wang, S. Flexible Data Centers and the Grid: Lower Costs, Higher Emissions? </w:t>
      </w:r>
      <w:r w:rsidRPr="00900941">
        <w:rPr>
          <w:rFonts w:ascii="Times New Roman" w:hAnsi="Times New Roman" w:cs="Times New Roman"/>
          <w:bCs/>
          <w:i/>
          <w:iCs/>
        </w:rPr>
        <w:t>NBER Working Paper No. 34065</w:t>
      </w:r>
      <w:r w:rsidRPr="00900941">
        <w:rPr>
          <w:rFonts w:ascii="Times New Roman" w:hAnsi="Times New Roman" w:cs="Times New Roman"/>
          <w:bCs/>
        </w:rPr>
        <w:t>, National Bureau of Economic Research, July 2025. http://www.nber.org/papers/w34065.</w:t>
      </w:r>
    </w:p>
    <w:p w14:paraId="625928E6" w14:textId="2FF32EEF" w:rsidR="003729C7" w:rsidRDefault="003729C7" w:rsidP="00A36ECE">
      <w:pPr>
        <w:rPr>
          <w:rFonts w:ascii="Times New Roman" w:hAnsi="Times New Roman" w:cs="Times New Roman"/>
          <w:bCs/>
        </w:rPr>
      </w:pPr>
      <w:r w:rsidRPr="003729C7">
        <w:rPr>
          <w:rFonts w:ascii="Times New Roman" w:hAnsi="Times New Roman" w:cs="Times New Roman"/>
          <w:bCs/>
        </w:rPr>
        <w:t>[</w:t>
      </w:r>
      <w:r w:rsidR="00482036">
        <w:rPr>
          <w:rFonts w:ascii="Times New Roman" w:hAnsi="Times New Roman" w:cs="Times New Roman"/>
          <w:bCs/>
        </w:rPr>
        <w:t>19</w:t>
      </w:r>
      <w:r w:rsidRPr="003729C7">
        <w:rPr>
          <w:rFonts w:ascii="Times New Roman" w:hAnsi="Times New Roman" w:cs="Times New Roman"/>
          <w:bCs/>
        </w:rPr>
        <w:t xml:space="preserve">] NVIDIA Corporation. CUDA Compatibility, Release r595 (NVIDIA Corporation, March 31, 2026). </w:t>
      </w:r>
      <w:r w:rsidRPr="00900941">
        <w:rPr>
          <w:rFonts w:ascii="Times New Roman" w:hAnsi="Times New Roman" w:cs="Times New Roman"/>
          <w:bCs/>
        </w:rPr>
        <w:t>https://docs.nvidia.com/deploy/cuda-compatibility/</w:t>
      </w:r>
      <w:r w:rsidRPr="003729C7">
        <w:rPr>
          <w:rFonts w:ascii="Times New Roman" w:hAnsi="Times New Roman" w:cs="Times New Roman"/>
          <w:bCs/>
        </w:rPr>
        <w:t>.</w:t>
      </w:r>
    </w:p>
    <w:p w14:paraId="0C31E0FA" w14:textId="3651274B" w:rsidR="003729C7" w:rsidRDefault="003729C7" w:rsidP="00A36ECE">
      <w:pPr>
        <w:rPr>
          <w:rFonts w:ascii="Times New Roman" w:hAnsi="Times New Roman" w:cs="Times New Roman"/>
          <w:bCs/>
        </w:rPr>
      </w:pPr>
      <w:r w:rsidRPr="003729C7">
        <w:rPr>
          <w:rFonts w:ascii="Times New Roman" w:hAnsi="Times New Roman" w:cs="Times New Roman"/>
          <w:bCs/>
        </w:rPr>
        <w:t>[2</w:t>
      </w:r>
      <w:r w:rsidR="00482036">
        <w:rPr>
          <w:rFonts w:ascii="Times New Roman" w:hAnsi="Times New Roman" w:cs="Times New Roman"/>
          <w:bCs/>
        </w:rPr>
        <w:t>0</w:t>
      </w:r>
      <w:r w:rsidRPr="003729C7">
        <w:rPr>
          <w:rFonts w:ascii="Times New Roman" w:hAnsi="Times New Roman" w:cs="Times New Roman"/>
          <w:bCs/>
        </w:rPr>
        <w:t xml:space="preserve">] Dayan, O., Neria, N., &amp; Karabulut, E. Reducing Cold Start Latency for LLM Inference with NVIDIA Run:ai Model Streamer. NVIDIA Technical Blog (September 16, 2025). </w:t>
      </w:r>
      <w:r w:rsidRPr="00900941">
        <w:rPr>
          <w:rFonts w:ascii="Times New Roman" w:hAnsi="Times New Roman" w:cs="Times New Roman"/>
          <w:bCs/>
        </w:rPr>
        <w:t>https://developer.nvidia.com/blog/reducing-cold-start-latency-for-llm-inference-with-nvidia-runai-model-streamer/</w:t>
      </w:r>
      <w:r w:rsidRPr="003729C7">
        <w:rPr>
          <w:rFonts w:ascii="Times New Roman" w:hAnsi="Times New Roman" w:cs="Times New Roman"/>
          <w:bCs/>
        </w:rPr>
        <w:t>.</w:t>
      </w:r>
    </w:p>
    <w:p w14:paraId="6C23AC9D" w14:textId="2C27F569" w:rsidR="003729C7" w:rsidRPr="001C53D0" w:rsidRDefault="003729C7" w:rsidP="00A36ECE">
      <w:pPr>
        <w:rPr>
          <w:rFonts w:ascii="Times New Roman" w:hAnsi="Times New Roman" w:cs="Times New Roman"/>
          <w:bCs/>
        </w:rPr>
      </w:pPr>
      <w:r w:rsidRPr="003729C7">
        <w:rPr>
          <w:rFonts w:ascii="Times New Roman" w:hAnsi="Times New Roman" w:cs="Times New Roman"/>
          <w:bCs/>
        </w:rPr>
        <w:t>[2</w:t>
      </w:r>
      <w:r w:rsidR="00482036">
        <w:rPr>
          <w:rFonts w:ascii="Times New Roman" w:hAnsi="Times New Roman" w:cs="Times New Roman"/>
          <w:bCs/>
        </w:rPr>
        <w:t>1</w:t>
      </w:r>
      <w:r w:rsidRPr="003729C7">
        <w:rPr>
          <w:rFonts w:ascii="Times New Roman" w:hAnsi="Times New Roman" w:cs="Times New Roman"/>
          <w:bCs/>
        </w:rPr>
        <w:t>] Jain, S., Kumar, A., Mandal, S., Ong, J., Poutievski, L., Singh, A., Venkata, S., Wanderer, J., Zhou, J., Zhu, M., Zolla, J., Hölzle, U., Stuart, S., &amp; Vahdat, A. B4: Experience with a Globally-Deployed Software Defined WAN. Proceedings of the ACM SIGCOMM 2013 Conference (Hong Kong, China, August 2013), pp. 3–14.</w:t>
      </w:r>
    </w:p>
    <w:p w14:paraId="7C7F92DC" w14:textId="2732A765" w:rsidR="00A36ECE" w:rsidRDefault="003729C7" w:rsidP="001C53D0">
      <w:pPr>
        <w:rPr>
          <w:rFonts w:ascii="Times New Roman" w:hAnsi="Times New Roman" w:cs="Times New Roman"/>
          <w:bCs/>
        </w:rPr>
      </w:pPr>
      <w:r w:rsidRPr="003729C7">
        <w:rPr>
          <w:rFonts w:ascii="Times New Roman" w:hAnsi="Times New Roman" w:cs="Times New Roman"/>
          <w:bCs/>
        </w:rPr>
        <w:t>[2</w:t>
      </w:r>
      <w:r w:rsidR="00482036">
        <w:rPr>
          <w:rFonts w:ascii="Times New Roman" w:hAnsi="Times New Roman" w:cs="Times New Roman"/>
          <w:bCs/>
        </w:rPr>
        <w:t>2</w:t>
      </w:r>
      <w:r w:rsidRPr="003729C7">
        <w:rPr>
          <w:rFonts w:ascii="Times New Roman" w:hAnsi="Times New Roman" w:cs="Times New Roman"/>
          <w:bCs/>
        </w:rPr>
        <w:t>] Zayo Group. The Bandwidth Report: Insights &amp; Trends Driving the Bandwidth Boom (Zayo, 2025).</w:t>
      </w:r>
    </w:p>
    <w:p w14:paraId="3AA36EC3" w14:textId="1FB62F64" w:rsidR="00482036" w:rsidRDefault="00482036" w:rsidP="00482036">
      <w:pPr>
        <w:rPr>
          <w:rFonts w:ascii="Times New Roman" w:hAnsi="Times New Roman" w:cs="Times New Roman"/>
          <w:bCs/>
        </w:rPr>
      </w:pPr>
      <w:r w:rsidRPr="003729C7">
        <w:rPr>
          <w:rFonts w:ascii="Times New Roman" w:hAnsi="Times New Roman" w:cs="Times New Roman"/>
          <w:bCs/>
        </w:rPr>
        <w:t>[2</w:t>
      </w:r>
      <w:r>
        <w:rPr>
          <w:rFonts w:ascii="Times New Roman" w:hAnsi="Times New Roman" w:cs="Times New Roman"/>
          <w:bCs/>
        </w:rPr>
        <w:t>3</w:t>
      </w:r>
      <w:r w:rsidRPr="003729C7">
        <w:rPr>
          <w:rFonts w:ascii="Times New Roman" w:hAnsi="Times New Roman" w:cs="Times New Roman"/>
          <w:bCs/>
        </w:rPr>
        <w:t>] Wu, Q., Deng, Q., Ganesh, L., Hsu, C.-H., Jin, Y., Kumar, S., Li, B., Meza, J., &amp; Song, Y. J. Dynamo: Facebook's Data Center-Wide Power Management System. Proceedings of the 43rd ACM/IEEE International Symposium on Computer Architecture (ISCA) (Seoul, Korea, June 2016), pp. 469–480. DOI: 10.1109/ISCA.2016.48.</w:t>
      </w:r>
    </w:p>
    <w:p w14:paraId="53E606E5" w14:textId="0953BA9B" w:rsidR="00482036" w:rsidRDefault="00482036" w:rsidP="00482036">
      <w:pPr>
        <w:rPr>
          <w:rFonts w:ascii="Times New Roman" w:hAnsi="Times New Roman" w:cs="Times New Roman"/>
          <w:bCs/>
        </w:rPr>
      </w:pPr>
      <w:r w:rsidRPr="003729C7">
        <w:rPr>
          <w:rFonts w:ascii="Times New Roman" w:hAnsi="Times New Roman" w:cs="Times New Roman"/>
          <w:bCs/>
        </w:rPr>
        <w:t>[2</w:t>
      </w:r>
      <w:r>
        <w:rPr>
          <w:rFonts w:ascii="Times New Roman" w:hAnsi="Times New Roman" w:cs="Times New Roman"/>
          <w:bCs/>
        </w:rPr>
        <w:t>4</w:t>
      </w:r>
      <w:r w:rsidRPr="003729C7">
        <w:rPr>
          <w:rFonts w:ascii="Times New Roman" w:hAnsi="Times New Roman" w:cs="Times New Roman"/>
          <w:bCs/>
        </w:rPr>
        <w:t xml:space="preserve">] Ciampoli, P. Google, TVA Enter Agreement Tied to Data Center Demand Response. American Public Power Association (August 4, 2025). </w:t>
      </w:r>
      <w:r w:rsidRPr="00900941">
        <w:rPr>
          <w:rFonts w:ascii="Times New Roman" w:hAnsi="Times New Roman" w:cs="Times New Roman"/>
          <w:bCs/>
        </w:rPr>
        <w:t>https://www.publicpower.org/periodical/article/google-tva-enter-agreement-tied-data-center-demand-response</w:t>
      </w:r>
      <w:r w:rsidRPr="003729C7">
        <w:rPr>
          <w:rFonts w:ascii="Times New Roman" w:hAnsi="Times New Roman" w:cs="Times New Roman"/>
          <w:bCs/>
        </w:rPr>
        <w:t>.</w:t>
      </w:r>
    </w:p>
    <w:p w14:paraId="70913FF7" w14:textId="6A3C9B14" w:rsidR="00482036" w:rsidRDefault="00482036" w:rsidP="00482036">
      <w:pPr>
        <w:rPr>
          <w:rFonts w:ascii="Times New Roman" w:hAnsi="Times New Roman" w:cs="Times New Roman"/>
          <w:bCs/>
        </w:rPr>
      </w:pPr>
      <w:r>
        <w:rPr>
          <w:rFonts w:ascii="Times New Roman" w:hAnsi="Times New Roman" w:cs="Times New Roman"/>
          <w:bCs/>
        </w:rPr>
        <w:t>[</w:t>
      </w:r>
      <w:r>
        <w:rPr>
          <w:rFonts w:ascii="Times New Roman" w:hAnsi="Times New Roman" w:cs="Times New Roman"/>
          <w:bCs/>
        </w:rPr>
        <w:t>25</w:t>
      </w:r>
      <w:r>
        <w:rPr>
          <w:rFonts w:ascii="Times New Roman" w:hAnsi="Times New Roman" w:cs="Times New Roman"/>
          <w:bCs/>
        </w:rPr>
        <w:t xml:space="preserve">] </w:t>
      </w:r>
      <w:r w:rsidRPr="001C53D0">
        <w:rPr>
          <w:rFonts w:ascii="Times New Roman" w:hAnsi="Times New Roman" w:cs="Times New Roman"/>
          <w:bCs/>
        </w:rPr>
        <w:t>Jaiswal, S., Jain, K., Simmhan, Y., Parayil, A., Mallick, A., St. Amant, R., et al. SageServe: Optimizing LLM Serving on Cloud Data Centers with Forecast Aware Auto-Scaling. arXiv:2502.14617 (2025).</w:t>
      </w:r>
    </w:p>
    <w:p w14:paraId="7C51FE2F" w14:textId="509273A6" w:rsidR="00482036" w:rsidRDefault="00482036" w:rsidP="001C53D0">
      <w:pPr>
        <w:rPr>
          <w:rFonts w:ascii="Times New Roman" w:hAnsi="Times New Roman" w:cs="Times New Roman"/>
          <w:bCs/>
        </w:rPr>
      </w:pPr>
      <w:r w:rsidRPr="00482036">
        <w:rPr>
          <w:rFonts w:ascii="Times New Roman" w:hAnsi="Times New Roman" w:cs="Times New Roman"/>
          <w:bCs/>
        </w:rPr>
        <w:t>[2</w:t>
      </w:r>
      <w:r>
        <w:rPr>
          <w:rFonts w:ascii="Times New Roman" w:hAnsi="Times New Roman" w:cs="Times New Roman"/>
          <w:bCs/>
        </w:rPr>
        <w:t>6</w:t>
      </w:r>
      <w:r w:rsidRPr="00482036">
        <w:rPr>
          <w:rFonts w:ascii="Times New Roman" w:hAnsi="Times New Roman" w:cs="Times New Roman"/>
          <w:bCs/>
        </w:rPr>
        <w:t xml:space="preserve">] Patel, P., Choukse, E., Zhang, C., Goiri, Í., Warrier, B., Mahalingam, N., &amp; Bianchini, R. Characterizing Power Management Opportunities for LLMs in the Cloud. </w:t>
      </w:r>
      <w:r w:rsidRPr="00482036">
        <w:rPr>
          <w:rFonts w:ascii="Times New Roman" w:hAnsi="Times New Roman" w:cs="Times New Roman"/>
          <w:bCs/>
          <w:i/>
          <w:iCs/>
        </w:rPr>
        <w:t xml:space="preserve">Proceedings of the </w:t>
      </w:r>
      <w:r w:rsidRPr="00482036">
        <w:rPr>
          <w:rFonts w:ascii="Times New Roman" w:hAnsi="Times New Roman" w:cs="Times New Roman"/>
          <w:bCs/>
          <w:i/>
          <w:iCs/>
        </w:rPr>
        <w:lastRenderedPageBreak/>
        <w:t>29th ACM International Conference on Architectural Support for Programming Languages and Operating Systems (ASPLOS '24)</w:t>
      </w:r>
      <w:r w:rsidRPr="00482036">
        <w:rPr>
          <w:rFonts w:ascii="Times New Roman" w:hAnsi="Times New Roman" w:cs="Times New Roman"/>
          <w:bCs/>
        </w:rPr>
        <w:t>, Volume 3 (San Diego, CA, April–May 2024), pp. 207–222.</w:t>
      </w:r>
    </w:p>
    <w:p w14:paraId="0DEE2EFE" w14:textId="6A668272" w:rsidR="00900941" w:rsidRDefault="00900941" w:rsidP="001C53D0">
      <w:pPr>
        <w:rPr>
          <w:rFonts w:ascii="Times New Roman" w:hAnsi="Times New Roman" w:cs="Times New Roman"/>
          <w:bCs/>
        </w:rPr>
      </w:pPr>
      <w:r w:rsidRPr="00900941">
        <w:rPr>
          <w:rFonts w:ascii="Times New Roman" w:hAnsi="Times New Roman" w:cs="Times New Roman"/>
          <w:bCs/>
        </w:rPr>
        <w:t>[2</w:t>
      </w:r>
      <w:r w:rsidR="00482036">
        <w:rPr>
          <w:rFonts w:ascii="Times New Roman" w:hAnsi="Times New Roman" w:cs="Times New Roman"/>
          <w:bCs/>
        </w:rPr>
        <w:t>7</w:t>
      </w:r>
      <w:r w:rsidRPr="00900941">
        <w:rPr>
          <w:rFonts w:ascii="Times New Roman" w:hAnsi="Times New Roman" w:cs="Times New Roman"/>
          <w:bCs/>
        </w:rPr>
        <w:t xml:space="preserve">] Kakolyris, A. K., Masouros, D., Xydis, S., &amp; Soudris, D. SLO-Aware GPU DVFS for Energy-Efficient LLM Inference Serving. </w:t>
      </w:r>
      <w:r w:rsidRPr="00900941">
        <w:rPr>
          <w:rFonts w:ascii="Times New Roman" w:hAnsi="Times New Roman" w:cs="Times New Roman"/>
          <w:bCs/>
          <w:i/>
          <w:iCs/>
        </w:rPr>
        <w:t>IEEE Computer Architecture Letters</w:t>
      </w:r>
      <w:r w:rsidRPr="00900941">
        <w:rPr>
          <w:rFonts w:ascii="Times New Roman" w:hAnsi="Times New Roman" w:cs="Times New Roman"/>
          <w:bCs/>
        </w:rPr>
        <w:t xml:space="preserve"> 23, no. 2 (July–December 2024): 150–153.</w:t>
      </w:r>
    </w:p>
    <w:p w14:paraId="1F807F48" w14:textId="3C7330B6" w:rsidR="000350AC" w:rsidRDefault="000350AC" w:rsidP="001C53D0">
      <w:pPr>
        <w:rPr>
          <w:rFonts w:ascii="Times New Roman" w:hAnsi="Times New Roman" w:cs="Times New Roman"/>
          <w:bCs/>
        </w:rPr>
      </w:pPr>
      <w:r w:rsidRPr="000350AC">
        <w:rPr>
          <w:rFonts w:ascii="Times New Roman" w:hAnsi="Times New Roman" w:cs="Times New Roman"/>
          <w:bCs/>
        </w:rPr>
        <w:t>[2</w:t>
      </w:r>
      <w:r>
        <w:rPr>
          <w:rFonts w:ascii="Times New Roman" w:hAnsi="Times New Roman" w:cs="Times New Roman"/>
          <w:bCs/>
        </w:rPr>
        <w:t>8</w:t>
      </w:r>
      <w:r w:rsidRPr="000350AC">
        <w:rPr>
          <w:rFonts w:ascii="Times New Roman" w:hAnsi="Times New Roman" w:cs="Times New Roman"/>
          <w:bCs/>
        </w:rPr>
        <w:t xml:space="preserve">] Wang, Y., Chen, Y., Li, Z., Kang, X., Tang, Z., He, X., Guo, R., Wang, X., Wang, Q., Zhou, A. C., &amp; Chu, X. BurstGPT: A Real-World Workload Dataset to Optimize LLM Serving Systems. arXiv:2401.17644v3 (June 17, 2024). </w:t>
      </w:r>
      <w:r w:rsidRPr="00B717CE">
        <w:rPr>
          <w:rFonts w:ascii="Times New Roman" w:hAnsi="Times New Roman" w:cs="Times New Roman"/>
          <w:bCs/>
        </w:rPr>
        <w:t>https://arxiv.org/abs/2401.17644v3</w:t>
      </w:r>
      <w:r w:rsidRPr="000350AC">
        <w:rPr>
          <w:rFonts w:ascii="Times New Roman" w:hAnsi="Times New Roman" w:cs="Times New Roman"/>
          <w:bCs/>
        </w:rPr>
        <w:t>.</w:t>
      </w:r>
    </w:p>
    <w:p w14:paraId="376D42B2" w14:textId="3B769BC0" w:rsidR="00B717CE" w:rsidRPr="003729C7" w:rsidRDefault="00B717CE" w:rsidP="001C53D0">
      <w:pPr>
        <w:rPr>
          <w:rFonts w:ascii="Times New Roman" w:hAnsi="Times New Roman" w:cs="Times New Roman"/>
          <w:bCs/>
        </w:rPr>
      </w:pPr>
      <w:r w:rsidRPr="00B717CE">
        <w:rPr>
          <w:rFonts w:ascii="Times New Roman" w:hAnsi="Times New Roman" w:cs="Times New Roman"/>
          <w:bCs/>
        </w:rPr>
        <w:t>[</w:t>
      </w:r>
      <w:r>
        <w:rPr>
          <w:rFonts w:ascii="Times New Roman" w:hAnsi="Times New Roman" w:cs="Times New Roman"/>
          <w:bCs/>
        </w:rPr>
        <w:t>29</w:t>
      </w:r>
      <w:r w:rsidRPr="00B717CE">
        <w:rPr>
          <w:rFonts w:ascii="Times New Roman" w:hAnsi="Times New Roman" w:cs="Times New Roman"/>
          <w:bCs/>
        </w:rPr>
        <w:t>] Li, C. H100 Price Spike: Understanding the 10% Surge in GPU Rental Costs. Silicon Data (January 9, 2026). https://www.silicondata.com/blog/h100-price-spike.</w:t>
      </w:r>
    </w:p>
    <w:p w14:paraId="474BB546" w14:textId="77777777" w:rsidR="001C53D0" w:rsidRDefault="001C53D0" w:rsidP="007618E0">
      <w:pPr>
        <w:rPr>
          <w:rFonts w:ascii="Times New Roman" w:hAnsi="Times New Roman" w:cs="Times New Roman"/>
          <w:b/>
        </w:rPr>
      </w:pPr>
    </w:p>
    <w:p w14:paraId="1B31089C" w14:textId="575086AE" w:rsidR="001C53D0" w:rsidRPr="001C53D0" w:rsidRDefault="007618E0" w:rsidP="007618E0">
      <w:pPr>
        <w:rPr>
          <w:rFonts w:ascii="Times New Roman" w:hAnsi="Times New Roman" w:cs="Times New Roman"/>
          <w:b/>
          <w:sz w:val="28"/>
          <w:szCs w:val="28"/>
        </w:rPr>
      </w:pPr>
      <w:r w:rsidRPr="001C53D0">
        <w:rPr>
          <w:rFonts w:ascii="Times New Roman" w:hAnsi="Times New Roman" w:cs="Times New Roman"/>
          <w:b/>
          <w:sz w:val="28"/>
          <w:szCs w:val="28"/>
        </w:rPr>
        <w:t>Extended Data</w:t>
      </w:r>
    </w:p>
    <w:p w14:paraId="62B00BDD" w14:textId="77777777" w:rsidR="007618E0" w:rsidRPr="0006399D" w:rsidRDefault="007618E0" w:rsidP="007618E0">
      <w:pPr>
        <w:rPr>
          <w:rFonts w:ascii="Times New Roman" w:hAnsi="Times New Roman" w:cs="Times New Roman"/>
          <w:bCs/>
        </w:rPr>
      </w:pPr>
      <w:r w:rsidRPr="0006399D">
        <w:rPr>
          <w:rFonts w:ascii="Times New Roman" w:hAnsi="Times New Roman" w:cs="Times New Roman"/>
          <w:bCs/>
        </w:rPr>
        <w:t>Extended Data Fig. 1. Stress threshold sensitivity.</w:t>
      </w:r>
    </w:p>
    <w:p w14:paraId="29DFF3D1" w14:textId="77777777" w:rsidR="007618E0" w:rsidRPr="00093498" w:rsidRDefault="007618E0" w:rsidP="007618E0">
      <w:pPr>
        <w:keepNext/>
        <w:rPr>
          <w:highlight w:val="yellow"/>
        </w:rPr>
      </w:pPr>
      <w:r w:rsidRPr="00093498">
        <w:rPr>
          <w:rFonts w:ascii="Times New Roman" w:hAnsi="Times New Roman" w:cs="Times New Roman"/>
          <w:bCs/>
          <w:noProof/>
          <w:highlight w:val="yellow"/>
        </w:rPr>
        <w:drawing>
          <wp:inline distT="0" distB="0" distL="0" distR="0" wp14:anchorId="033A30D4" wp14:editId="2B483383">
            <wp:extent cx="5852172" cy="3746000"/>
            <wp:effectExtent l="0" t="0" r="0" b="6985"/>
            <wp:docPr id="339140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979" name="Picture 3391409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2172" cy="3746000"/>
                    </a:xfrm>
                    <a:prstGeom prst="rect">
                      <a:avLst/>
                    </a:prstGeom>
                  </pic:spPr>
                </pic:pic>
              </a:graphicData>
            </a:graphic>
          </wp:inline>
        </w:drawing>
      </w:r>
    </w:p>
    <w:p w14:paraId="6DBF01C3" w14:textId="29B23F71" w:rsidR="007618E0" w:rsidRPr="0006399D" w:rsidRDefault="007618E0" w:rsidP="0006399D">
      <w:pPr>
        <w:pStyle w:val="Caption"/>
        <w:rPr>
          <w:rFonts w:ascii="Times New Roman" w:hAnsi="Times New Roman" w:cs="Times New Roman"/>
          <w:bCs/>
        </w:rPr>
        <w:sectPr w:rsidR="007618E0" w:rsidRPr="0006399D" w:rsidSect="00877A4C">
          <w:pgSz w:w="12240" w:h="15840"/>
          <w:pgMar w:top="1440" w:right="1440" w:bottom="1440" w:left="1440" w:header="720" w:footer="720" w:gutter="0"/>
          <w:cols w:space="720"/>
          <w:docGrid w:linePitch="360"/>
        </w:sectPr>
      </w:pPr>
      <w:r w:rsidRPr="0006399D">
        <w:t>Capacity-weighted destination overlap and any-destination availability at three alternative stress-hour thresholds. Baseline: top 50 hours per year per zone (~99.43 percentile, 200 ComEd stress hours total). Alternatives: top 25 (~99.71</w:t>
      </w:r>
      <w:r w:rsidRPr="0006399D">
        <w:rPr>
          <w:vertAlign w:val="superscript"/>
        </w:rPr>
        <w:t>st</w:t>
      </w:r>
      <w:r w:rsidRPr="0006399D">
        <w:t xml:space="preserve"> percentile) and top 100 (~98.86</w:t>
      </w:r>
      <w:r w:rsidRPr="0006399D">
        <w:rPr>
          <w:vertAlign w:val="superscript"/>
        </w:rPr>
        <w:t>th</w:t>
      </w:r>
      <w:r w:rsidRPr="0006399D">
        <w:t xml:space="preserve"> percentile). Any-destination availability varies by at most 1.25 percentage points across thresholds; capacity-weighted overlap declines monotonically with threshold tightne</w:t>
      </w:r>
    </w:p>
    <w:p w14:paraId="502EE0C4" w14:textId="77777777" w:rsidR="007618E0" w:rsidRPr="00093498" w:rsidRDefault="007618E0" w:rsidP="007618E0">
      <w:pPr>
        <w:rPr>
          <w:rFonts w:ascii="Times New Roman" w:hAnsi="Times New Roman" w:cs="Times New Roman"/>
          <w:bCs/>
          <w:highlight w:val="yellow"/>
        </w:rPr>
      </w:pPr>
    </w:p>
    <w:p w14:paraId="14FA4634"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t>Extended Data Table 1. Multi-source generalizability.</w:t>
      </w:r>
    </w:p>
    <w:tbl>
      <w:tblPr>
        <w:tblStyle w:val="TableGrid"/>
        <w:tblW w:w="0" w:type="auto"/>
        <w:tblCellMar>
          <w:left w:w="72" w:type="dxa"/>
          <w:right w:w="72" w:type="dxa"/>
        </w:tblCellMar>
        <w:tblLook w:val="04A0" w:firstRow="1" w:lastRow="0" w:firstColumn="1" w:lastColumn="0" w:noHBand="0" w:noVBand="1"/>
      </w:tblPr>
      <w:tblGrid>
        <w:gridCol w:w="1089"/>
        <w:gridCol w:w="707"/>
        <w:gridCol w:w="600"/>
        <w:gridCol w:w="724"/>
        <w:gridCol w:w="1026"/>
        <w:gridCol w:w="919"/>
        <w:gridCol w:w="1343"/>
        <w:gridCol w:w="1236"/>
        <w:gridCol w:w="993"/>
        <w:gridCol w:w="1188"/>
        <w:gridCol w:w="843"/>
        <w:gridCol w:w="787"/>
        <w:gridCol w:w="775"/>
        <w:gridCol w:w="720"/>
      </w:tblGrid>
      <w:tr w:rsidR="007618E0" w:rsidRPr="00A1522D" w14:paraId="6AFE46CD" w14:textId="77777777" w:rsidTr="007618E0">
        <w:trPr>
          <w:trHeight w:val="476"/>
        </w:trPr>
        <w:tc>
          <w:tcPr>
            <w:tcW w:w="0" w:type="auto"/>
            <w:noWrap/>
            <w:hideMark/>
          </w:tcPr>
          <w:p w14:paraId="4399F229" w14:textId="5525B1E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Zone</w:t>
            </w:r>
          </w:p>
        </w:tc>
        <w:tc>
          <w:tcPr>
            <w:tcW w:w="0" w:type="auto"/>
            <w:noWrap/>
            <w:hideMark/>
          </w:tcPr>
          <w:p w14:paraId="03EBD6C1" w14:textId="4F1FFEDC"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RTO</w:t>
            </w:r>
          </w:p>
        </w:tc>
        <w:tc>
          <w:tcPr>
            <w:tcW w:w="0" w:type="auto"/>
            <w:noWrap/>
            <w:hideMark/>
          </w:tcPr>
          <w:p w14:paraId="099A6503" w14:textId="4E8BD6F0"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IC</w:t>
            </w:r>
          </w:p>
        </w:tc>
        <w:tc>
          <w:tcPr>
            <w:tcW w:w="0" w:type="auto"/>
            <w:noWrap/>
            <w:hideMark/>
          </w:tcPr>
          <w:p w14:paraId="0321CEBA" w14:textId="399394C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Stress Hours</w:t>
            </w:r>
          </w:p>
        </w:tc>
        <w:tc>
          <w:tcPr>
            <w:tcW w:w="0" w:type="auto"/>
            <w:noWrap/>
            <w:hideMark/>
          </w:tcPr>
          <w:p w14:paraId="4304769C" w14:textId="2040430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N Cross RTO Dests</w:t>
            </w:r>
          </w:p>
        </w:tc>
        <w:tc>
          <w:tcPr>
            <w:tcW w:w="0" w:type="auto"/>
            <w:noWrap/>
            <w:hideMark/>
          </w:tcPr>
          <w:p w14:paraId="1D470BA1" w14:textId="4E9B619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N Cross IC Dests</w:t>
            </w:r>
          </w:p>
        </w:tc>
        <w:tc>
          <w:tcPr>
            <w:tcW w:w="0" w:type="auto"/>
            <w:noWrap/>
            <w:hideMark/>
          </w:tcPr>
          <w:p w14:paraId="4995D882" w14:textId="2752A983"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RTO</w:t>
            </w:r>
          </w:p>
        </w:tc>
        <w:tc>
          <w:tcPr>
            <w:tcW w:w="0" w:type="auto"/>
            <w:noWrap/>
            <w:hideMark/>
          </w:tcPr>
          <w:p w14:paraId="149FD5D6" w14:textId="269EC00F"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IC</w:t>
            </w:r>
          </w:p>
        </w:tc>
        <w:tc>
          <w:tcPr>
            <w:tcW w:w="0" w:type="auto"/>
            <w:noWrap/>
            <w:hideMark/>
          </w:tcPr>
          <w:p w14:paraId="52DB27B7" w14:textId="6F31ABC8"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All Stressed Hours</w:t>
            </w:r>
          </w:p>
        </w:tc>
        <w:tc>
          <w:tcPr>
            <w:tcW w:w="0" w:type="auto"/>
            <w:noWrap/>
            <w:hideMark/>
          </w:tcPr>
          <w:p w14:paraId="3C8F816E" w14:textId="5BC3FD22"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Cap Weighted Overlap</w:t>
            </w:r>
          </w:p>
        </w:tc>
        <w:tc>
          <w:tcPr>
            <w:tcW w:w="0" w:type="auto"/>
            <w:noWrap/>
            <w:hideMark/>
          </w:tcPr>
          <w:p w14:paraId="68652CA7" w14:textId="0FCCF6D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Summer Hours</w:t>
            </w:r>
          </w:p>
        </w:tc>
        <w:tc>
          <w:tcPr>
            <w:tcW w:w="0" w:type="auto"/>
            <w:noWrap/>
            <w:hideMark/>
          </w:tcPr>
          <w:p w14:paraId="0C6EFEC1" w14:textId="4234422B"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 xml:space="preserve">Summer Avail </w:t>
            </w:r>
          </w:p>
        </w:tc>
        <w:tc>
          <w:tcPr>
            <w:tcW w:w="0" w:type="auto"/>
            <w:noWrap/>
            <w:hideMark/>
          </w:tcPr>
          <w:p w14:paraId="192FDDCD" w14:textId="261777B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Hours</w:t>
            </w:r>
          </w:p>
        </w:tc>
        <w:tc>
          <w:tcPr>
            <w:tcW w:w="0" w:type="auto"/>
            <w:noWrap/>
            <w:hideMark/>
          </w:tcPr>
          <w:p w14:paraId="5C5CB0FA" w14:textId="0A98B04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Avail</w:t>
            </w:r>
          </w:p>
        </w:tc>
      </w:tr>
      <w:tr w:rsidR="007618E0" w:rsidRPr="00A1522D" w14:paraId="3C988EC8" w14:textId="77777777" w:rsidTr="007618E0">
        <w:trPr>
          <w:trHeight w:val="290"/>
        </w:trPr>
        <w:tc>
          <w:tcPr>
            <w:tcW w:w="0" w:type="auto"/>
            <w:noWrap/>
            <w:hideMark/>
          </w:tcPr>
          <w:p w14:paraId="37EF1A76"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PJM_COMED</w:t>
            </w:r>
          </w:p>
        </w:tc>
        <w:tc>
          <w:tcPr>
            <w:tcW w:w="0" w:type="auto"/>
            <w:noWrap/>
            <w:hideMark/>
          </w:tcPr>
          <w:p w14:paraId="6AD70199"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5565378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2710141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2EDF1B8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4030093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0DDDA65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0B4450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94</w:t>
            </w:r>
          </w:p>
        </w:tc>
        <w:tc>
          <w:tcPr>
            <w:tcW w:w="0" w:type="auto"/>
            <w:noWrap/>
            <w:hideMark/>
          </w:tcPr>
          <w:p w14:paraId="56DF43F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w:t>
            </w:r>
          </w:p>
        </w:tc>
        <w:tc>
          <w:tcPr>
            <w:tcW w:w="0" w:type="auto"/>
            <w:noWrap/>
            <w:hideMark/>
          </w:tcPr>
          <w:p w14:paraId="4E403DF7" w14:textId="419B47B0"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21.</w:t>
            </w:r>
            <w:r w:rsidR="00C85773" w:rsidRPr="00A1522D">
              <w:rPr>
                <w:rFonts w:ascii="Times New Roman" w:hAnsi="Times New Roman" w:cs="Times New Roman"/>
                <w:bCs/>
                <w:sz w:val="14"/>
                <w:szCs w:val="14"/>
              </w:rPr>
              <w:t>6</w:t>
            </w:r>
          </w:p>
        </w:tc>
        <w:tc>
          <w:tcPr>
            <w:tcW w:w="0" w:type="auto"/>
            <w:noWrap/>
            <w:hideMark/>
          </w:tcPr>
          <w:p w14:paraId="11960CA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102</w:t>
            </w:r>
          </w:p>
        </w:tc>
        <w:tc>
          <w:tcPr>
            <w:tcW w:w="0" w:type="auto"/>
            <w:noWrap/>
            <w:hideMark/>
          </w:tcPr>
          <w:p w14:paraId="446FB63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CAF00A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87</w:t>
            </w:r>
          </w:p>
        </w:tc>
        <w:tc>
          <w:tcPr>
            <w:tcW w:w="0" w:type="auto"/>
            <w:noWrap/>
            <w:hideMark/>
          </w:tcPr>
          <w:p w14:paraId="30B8CCE1" w14:textId="0FC8CEF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97.7</w:t>
            </w:r>
          </w:p>
        </w:tc>
      </w:tr>
      <w:tr w:rsidR="007618E0" w:rsidRPr="00A1522D" w14:paraId="48406ACE" w14:textId="77777777" w:rsidTr="007618E0">
        <w:trPr>
          <w:trHeight w:val="290"/>
        </w:trPr>
        <w:tc>
          <w:tcPr>
            <w:tcW w:w="0" w:type="auto"/>
            <w:noWrap/>
            <w:hideMark/>
          </w:tcPr>
          <w:p w14:paraId="43AA6D9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PJM_DOM</w:t>
            </w:r>
          </w:p>
        </w:tc>
        <w:tc>
          <w:tcPr>
            <w:tcW w:w="0" w:type="auto"/>
            <w:noWrap/>
            <w:hideMark/>
          </w:tcPr>
          <w:p w14:paraId="7C3B1903"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023B7C2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3F16CBF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689ACC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159E3D1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729B3FA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99.5</w:t>
            </w:r>
          </w:p>
        </w:tc>
        <w:tc>
          <w:tcPr>
            <w:tcW w:w="0" w:type="auto"/>
            <w:noWrap/>
            <w:hideMark/>
          </w:tcPr>
          <w:p w14:paraId="48E5B36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2F201FB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w:t>
            </w:r>
          </w:p>
        </w:tc>
        <w:tc>
          <w:tcPr>
            <w:tcW w:w="0" w:type="auto"/>
            <w:noWrap/>
            <w:hideMark/>
          </w:tcPr>
          <w:p w14:paraId="7E6D1973" w14:textId="24C0DB35"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11.</w:t>
            </w:r>
            <w:r w:rsidR="00C85773" w:rsidRPr="00A1522D">
              <w:rPr>
                <w:rFonts w:ascii="Times New Roman" w:hAnsi="Times New Roman" w:cs="Times New Roman"/>
                <w:bCs/>
                <w:sz w:val="14"/>
                <w:szCs w:val="14"/>
              </w:rPr>
              <w:t>3</w:t>
            </w:r>
          </w:p>
        </w:tc>
        <w:tc>
          <w:tcPr>
            <w:tcW w:w="0" w:type="auto"/>
            <w:noWrap/>
            <w:hideMark/>
          </w:tcPr>
          <w:p w14:paraId="3A76418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73</w:t>
            </w:r>
          </w:p>
        </w:tc>
        <w:tc>
          <w:tcPr>
            <w:tcW w:w="0" w:type="auto"/>
            <w:noWrap/>
            <w:hideMark/>
          </w:tcPr>
          <w:p w14:paraId="65BD599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2C221B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70</w:t>
            </w:r>
          </w:p>
        </w:tc>
        <w:tc>
          <w:tcPr>
            <w:tcW w:w="0" w:type="auto"/>
            <w:noWrap/>
            <w:hideMark/>
          </w:tcPr>
          <w:p w14:paraId="337FC8A0" w14:textId="437E6A1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98.</w:t>
            </w:r>
            <w:r w:rsidR="00C85773" w:rsidRPr="00A1522D">
              <w:rPr>
                <w:rFonts w:ascii="Times New Roman" w:hAnsi="Times New Roman" w:cs="Times New Roman"/>
                <w:bCs/>
                <w:sz w:val="14"/>
                <w:szCs w:val="14"/>
              </w:rPr>
              <w:t>6</w:t>
            </w:r>
          </w:p>
        </w:tc>
      </w:tr>
      <w:tr w:rsidR="007618E0" w:rsidRPr="00A1522D" w14:paraId="76A01965" w14:textId="77777777" w:rsidTr="007618E0">
        <w:trPr>
          <w:trHeight w:val="290"/>
        </w:trPr>
        <w:tc>
          <w:tcPr>
            <w:tcW w:w="0" w:type="auto"/>
            <w:noWrap/>
            <w:hideMark/>
          </w:tcPr>
          <w:p w14:paraId="6A4E420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ERCOT_LZ_NORTH</w:t>
            </w:r>
          </w:p>
        </w:tc>
        <w:tc>
          <w:tcPr>
            <w:tcW w:w="0" w:type="auto"/>
            <w:noWrap/>
            <w:hideMark/>
          </w:tcPr>
          <w:p w14:paraId="574783D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6D99E0FD"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43593CD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5180433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40A0AFB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6F82B60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8F337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B64A2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60477F8D" w14:textId="15A636F4"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8.2</w:t>
            </w:r>
          </w:p>
        </w:tc>
        <w:tc>
          <w:tcPr>
            <w:tcW w:w="0" w:type="auto"/>
            <w:noWrap/>
            <w:hideMark/>
          </w:tcPr>
          <w:p w14:paraId="31F525B5"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104</w:t>
            </w:r>
          </w:p>
        </w:tc>
        <w:tc>
          <w:tcPr>
            <w:tcW w:w="0" w:type="auto"/>
            <w:noWrap/>
            <w:hideMark/>
          </w:tcPr>
          <w:p w14:paraId="24B4504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479284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270B469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r>
      <w:tr w:rsidR="007618E0" w:rsidRPr="00A1522D" w14:paraId="7CA61F67" w14:textId="77777777" w:rsidTr="007618E0">
        <w:trPr>
          <w:trHeight w:val="290"/>
        </w:trPr>
        <w:tc>
          <w:tcPr>
            <w:tcW w:w="0" w:type="auto"/>
            <w:noWrap/>
            <w:hideMark/>
          </w:tcPr>
          <w:p w14:paraId="76FB3245"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CAISO_NP15</w:t>
            </w:r>
          </w:p>
        </w:tc>
        <w:tc>
          <w:tcPr>
            <w:tcW w:w="0" w:type="auto"/>
            <w:noWrap/>
            <w:hideMark/>
          </w:tcPr>
          <w:p w14:paraId="1DC48791"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w:t>
            </w:r>
          </w:p>
        </w:tc>
        <w:tc>
          <w:tcPr>
            <w:tcW w:w="0" w:type="auto"/>
            <w:noWrap/>
            <w:hideMark/>
          </w:tcPr>
          <w:p w14:paraId="17917AF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Western</w:t>
            </w:r>
          </w:p>
        </w:tc>
        <w:tc>
          <w:tcPr>
            <w:tcW w:w="0" w:type="auto"/>
            <w:noWrap/>
            <w:hideMark/>
          </w:tcPr>
          <w:p w14:paraId="43269BB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3B3164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70F7963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654B196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D1A07F1"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AAF70A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7780C6A6" w14:textId="4EDD02FF"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7.</w:t>
            </w:r>
            <w:r w:rsidR="00C85773" w:rsidRPr="00A1522D">
              <w:rPr>
                <w:rFonts w:ascii="Times New Roman" w:hAnsi="Times New Roman" w:cs="Times New Roman"/>
                <w:bCs/>
                <w:sz w:val="14"/>
                <w:szCs w:val="14"/>
              </w:rPr>
              <w:t>8</w:t>
            </w:r>
          </w:p>
        </w:tc>
        <w:tc>
          <w:tcPr>
            <w:tcW w:w="0" w:type="auto"/>
            <w:noWrap/>
            <w:hideMark/>
          </w:tcPr>
          <w:p w14:paraId="2251B94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343EA780"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62AC9BE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137</w:t>
            </w:r>
          </w:p>
        </w:tc>
        <w:tc>
          <w:tcPr>
            <w:tcW w:w="0" w:type="auto"/>
            <w:noWrap/>
            <w:hideMark/>
          </w:tcPr>
          <w:p w14:paraId="12E52AC2" w14:textId="77777777" w:rsidR="007618E0" w:rsidRPr="00A1522D" w:rsidRDefault="007618E0" w:rsidP="007618E0">
            <w:pPr>
              <w:keepNext/>
              <w:rPr>
                <w:rFonts w:ascii="Times New Roman" w:hAnsi="Times New Roman" w:cs="Times New Roman"/>
                <w:bCs/>
                <w:sz w:val="14"/>
                <w:szCs w:val="14"/>
              </w:rPr>
            </w:pPr>
            <w:r w:rsidRPr="00A1522D">
              <w:rPr>
                <w:rFonts w:ascii="Times New Roman" w:hAnsi="Times New Roman" w:cs="Times New Roman"/>
                <w:bCs/>
                <w:sz w:val="14"/>
                <w:szCs w:val="14"/>
              </w:rPr>
              <w:t>100</w:t>
            </w:r>
          </w:p>
        </w:tc>
      </w:tr>
    </w:tbl>
    <w:p w14:paraId="576D9015" w14:textId="4B8FA4E3" w:rsidR="007618E0" w:rsidRPr="00A1522D" w:rsidRDefault="007618E0">
      <w:pPr>
        <w:pStyle w:val="Caption"/>
      </w:pPr>
      <w:r w:rsidRPr="00A1522D">
        <w:t>Capacity-weighted destination overlap computed with alternative source zones (PJM-DOM, ERCOT-LZ-NORTH, CAISO-NP15, others). Headline decorrelation result holds across all tested source zones.</w:t>
      </w:r>
    </w:p>
    <w:p w14:paraId="6FE02C78"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t>Extended Data Table 2. Interconnection acceleration NPV assumptions.</w:t>
      </w:r>
    </w:p>
    <w:tbl>
      <w:tblPr>
        <w:tblStyle w:val="TableGrid"/>
        <w:tblW w:w="0" w:type="auto"/>
        <w:tblLook w:val="04A0" w:firstRow="1" w:lastRow="0" w:firstColumn="1" w:lastColumn="0" w:noHBand="0" w:noVBand="1"/>
      </w:tblPr>
      <w:tblGrid>
        <w:gridCol w:w="3697"/>
        <w:gridCol w:w="861"/>
        <w:gridCol w:w="5555"/>
      </w:tblGrid>
      <w:tr w:rsidR="002A1B01" w:rsidRPr="00093498" w14:paraId="41E0D714" w14:textId="77777777" w:rsidTr="00A1522D">
        <w:trPr>
          <w:trHeight w:val="290"/>
        </w:trPr>
        <w:tc>
          <w:tcPr>
            <w:tcW w:w="3697" w:type="dxa"/>
            <w:noWrap/>
            <w:hideMark/>
          </w:tcPr>
          <w:p w14:paraId="3FC11E0C" w14:textId="77777777" w:rsidR="002A1B01" w:rsidRPr="00A1522D" w:rsidRDefault="002A1B01">
            <w:pPr>
              <w:rPr>
                <w:rFonts w:ascii="Times New Roman" w:hAnsi="Times New Roman" w:cs="Times New Roman"/>
                <w:bCs/>
              </w:rPr>
            </w:pPr>
            <w:r w:rsidRPr="00A1522D">
              <w:rPr>
                <w:rFonts w:ascii="Times New Roman" w:hAnsi="Times New Roman" w:cs="Times New Roman"/>
                <w:bCs/>
              </w:rPr>
              <w:t>Parameter</w:t>
            </w:r>
          </w:p>
        </w:tc>
        <w:tc>
          <w:tcPr>
            <w:tcW w:w="861" w:type="dxa"/>
            <w:noWrap/>
            <w:hideMark/>
          </w:tcPr>
          <w:p w14:paraId="6EAA9929" w14:textId="77777777" w:rsidR="002A1B01" w:rsidRPr="00A1522D" w:rsidRDefault="002A1B01">
            <w:pPr>
              <w:rPr>
                <w:rFonts w:ascii="Times New Roman" w:hAnsi="Times New Roman" w:cs="Times New Roman"/>
                <w:bCs/>
              </w:rPr>
            </w:pPr>
            <w:r w:rsidRPr="00A1522D">
              <w:rPr>
                <w:rFonts w:ascii="Times New Roman" w:hAnsi="Times New Roman" w:cs="Times New Roman"/>
                <w:bCs/>
              </w:rPr>
              <w:t>Value</w:t>
            </w:r>
          </w:p>
        </w:tc>
        <w:tc>
          <w:tcPr>
            <w:tcW w:w="5555" w:type="dxa"/>
            <w:noWrap/>
            <w:hideMark/>
          </w:tcPr>
          <w:p w14:paraId="21C29BD4" w14:textId="77777777" w:rsidR="002A1B01" w:rsidRPr="00A1522D" w:rsidRDefault="002A1B01">
            <w:pPr>
              <w:rPr>
                <w:rFonts w:ascii="Times New Roman" w:hAnsi="Times New Roman" w:cs="Times New Roman"/>
                <w:bCs/>
              </w:rPr>
            </w:pPr>
            <w:r w:rsidRPr="00A1522D">
              <w:rPr>
                <w:rFonts w:ascii="Times New Roman" w:hAnsi="Times New Roman" w:cs="Times New Roman"/>
                <w:bCs/>
              </w:rPr>
              <w:t>Description</w:t>
            </w:r>
          </w:p>
        </w:tc>
      </w:tr>
      <w:tr w:rsidR="002A1B01" w:rsidRPr="00093498" w14:paraId="3A89DB51" w14:textId="77777777" w:rsidTr="00A1522D">
        <w:trPr>
          <w:trHeight w:val="290"/>
        </w:trPr>
        <w:tc>
          <w:tcPr>
            <w:tcW w:w="3697" w:type="dxa"/>
            <w:noWrap/>
            <w:hideMark/>
          </w:tcPr>
          <w:p w14:paraId="69A7E38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GPU_PER_MW_GRID</w:t>
            </w:r>
          </w:p>
        </w:tc>
        <w:tc>
          <w:tcPr>
            <w:tcW w:w="861" w:type="dxa"/>
            <w:noWrap/>
            <w:hideMark/>
          </w:tcPr>
          <w:p w14:paraId="68D13E0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603</w:t>
            </w:r>
          </w:p>
        </w:tc>
        <w:tc>
          <w:tcPr>
            <w:tcW w:w="5555" w:type="dxa"/>
            <w:noWrap/>
            <w:hideMark/>
          </w:tcPr>
          <w:p w14:paraId="3E46BB3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GPUs per MW of grid capacity (derived: 10.2 kW / 8 GPUs Ã— 1.3 PUE)</w:t>
            </w:r>
          </w:p>
        </w:tc>
      </w:tr>
      <w:tr w:rsidR="002A1B01" w:rsidRPr="00093498" w14:paraId="6D03409D" w14:textId="77777777" w:rsidTr="00A1522D">
        <w:trPr>
          <w:trHeight w:val="290"/>
        </w:trPr>
        <w:tc>
          <w:tcPr>
            <w:tcW w:w="3697" w:type="dxa"/>
            <w:noWrap/>
            <w:hideMark/>
          </w:tcPr>
          <w:p w14:paraId="55AF893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GPU_RATE_HR</w:t>
            </w:r>
          </w:p>
        </w:tc>
        <w:tc>
          <w:tcPr>
            <w:tcW w:w="861" w:type="dxa"/>
            <w:noWrap/>
            <w:hideMark/>
          </w:tcPr>
          <w:p w14:paraId="4A2F03A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2.2</w:t>
            </w:r>
          </w:p>
        </w:tc>
        <w:tc>
          <w:tcPr>
            <w:tcW w:w="5555" w:type="dxa"/>
            <w:noWrap/>
            <w:hideMark/>
          </w:tcPr>
          <w:p w14:paraId="08ACECC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H100 spot rate, USD/hour (Jan 2026)</w:t>
            </w:r>
          </w:p>
        </w:tc>
      </w:tr>
      <w:tr w:rsidR="002A1B01" w:rsidRPr="00093498" w14:paraId="6AA9CCEA" w14:textId="77777777" w:rsidTr="00A1522D">
        <w:trPr>
          <w:trHeight w:val="290"/>
        </w:trPr>
        <w:tc>
          <w:tcPr>
            <w:tcW w:w="3697" w:type="dxa"/>
            <w:noWrap/>
            <w:hideMark/>
          </w:tcPr>
          <w:p w14:paraId="30D2B016"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WACC</w:t>
            </w:r>
          </w:p>
        </w:tc>
        <w:tc>
          <w:tcPr>
            <w:tcW w:w="861" w:type="dxa"/>
            <w:noWrap/>
            <w:hideMark/>
          </w:tcPr>
          <w:p w14:paraId="1DBA08F2"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0.1</w:t>
            </w:r>
          </w:p>
        </w:tc>
        <w:tc>
          <w:tcPr>
            <w:tcW w:w="5555" w:type="dxa"/>
            <w:noWrap/>
            <w:hideMark/>
          </w:tcPr>
          <w:p w14:paraId="04F5F44C"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Weighted average cost of capital</w:t>
            </w:r>
          </w:p>
        </w:tc>
      </w:tr>
      <w:tr w:rsidR="002A1B01" w:rsidRPr="00093498" w14:paraId="26741FA2" w14:textId="77777777" w:rsidTr="00A1522D">
        <w:trPr>
          <w:trHeight w:val="290"/>
        </w:trPr>
        <w:tc>
          <w:tcPr>
            <w:tcW w:w="3697" w:type="dxa"/>
            <w:noWrap/>
            <w:hideMark/>
          </w:tcPr>
          <w:p w14:paraId="0F272D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ACCELERATION_YEARS_CENTRAL</w:t>
            </w:r>
          </w:p>
        </w:tc>
        <w:tc>
          <w:tcPr>
            <w:tcW w:w="861" w:type="dxa"/>
            <w:noWrap/>
            <w:hideMark/>
          </w:tcPr>
          <w:p w14:paraId="6D18211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3</w:t>
            </w:r>
          </w:p>
        </w:tc>
        <w:tc>
          <w:tcPr>
            <w:tcW w:w="5555" w:type="dxa"/>
            <w:noWrap/>
            <w:hideMark/>
          </w:tcPr>
          <w:p w14:paraId="51BBA34A"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Queue acceleration window, central case (years)</w:t>
            </w:r>
          </w:p>
        </w:tc>
      </w:tr>
      <w:tr w:rsidR="002A1B01" w:rsidRPr="00093498" w14:paraId="20E94FE3" w14:textId="77777777" w:rsidTr="00A1522D">
        <w:trPr>
          <w:trHeight w:val="290"/>
        </w:trPr>
        <w:tc>
          <w:tcPr>
            <w:tcW w:w="3697" w:type="dxa"/>
            <w:noWrap/>
            <w:hideMark/>
          </w:tcPr>
          <w:p w14:paraId="4FEE43D8"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FACILITY_SIZE_MW</w:t>
            </w:r>
          </w:p>
        </w:tc>
        <w:tc>
          <w:tcPr>
            <w:tcW w:w="861" w:type="dxa"/>
            <w:noWrap/>
            <w:hideMark/>
          </w:tcPr>
          <w:p w14:paraId="02ADA5F1"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1000</w:t>
            </w:r>
          </w:p>
        </w:tc>
        <w:tc>
          <w:tcPr>
            <w:tcW w:w="5555" w:type="dxa"/>
            <w:noWrap/>
            <w:hideMark/>
          </w:tcPr>
          <w:p w14:paraId="5AC3B45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Reference facility size (MW)</w:t>
            </w:r>
          </w:p>
        </w:tc>
      </w:tr>
      <w:tr w:rsidR="00A1522D" w:rsidRPr="00093498" w14:paraId="0B7E328B" w14:textId="77777777" w:rsidTr="00A1522D">
        <w:trPr>
          <w:trHeight w:val="290"/>
        </w:trPr>
        <w:tc>
          <w:tcPr>
            <w:tcW w:w="3697" w:type="dxa"/>
            <w:noWrap/>
          </w:tcPr>
          <w:p w14:paraId="35F9CB1C" w14:textId="7AF4C0D7"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DEPTH_1GW_INF_DOM_MEAN</w:t>
            </w:r>
          </w:p>
        </w:tc>
        <w:tc>
          <w:tcPr>
            <w:tcW w:w="861" w:type="dxa"/>
            <w:noWrap/>
          </w:tcPr>
          <w:p w14:paraId="4AF1CA1D" w14:textId="338E35F9" w:rsidR="00A1522D" w:rsidRPr="00A1522D" w:rsidRDefault="00A1522D" w:rsidP="002A1B01">
            <w:pPr>
              <w:rPr>
                <w:rFonts w:ascii="Times New Roman" w:hAnsi="Times New Roman" w:cs="Times New Roman"/>
                <w:bCs/>
                <w:sz w:val="20"/>
                <w:szCs w:val="20"/>
              </w:rPr>
            </w:pPr>
            <w:r>
              <w:rPr>
                <w:rFonts w:ascii="Times New Roman" w:hAnsi="Times New Roman" w:cs="Times New Roman"/>
                <w:bCs/>
                <w:sz w:val="20"/>
                <w:szCs w:val="20"/>
              </w:rPr>
              <w:t>0.398</w:t>
            </w:r>
          </w:p>
        </w:tc>
        <w:tc>
          <w:tcPr>
            <w:tcW w:w="5555" w:type="dxa"/>
            <w:noWrap/>
          </w:tcPr>
          <w:p w14:paraId="38E38550" w14:textId="2F0648EC"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Mean commitment depth at 1 GW (inference-dominant scope) underlying NPV ratio</w:t>
            </w:r>
          </w:p>
        </w:tc>
      </w:tr>
      <w:tr w:rsidR="002A1B01" w:rsidRPr="00093498" w14:paraId="024013EF" w14:textId="77777777" w:rsidTr="00A1522D">
        <w:trPr>
          <w:trHeight w:val="290"/>
        </w:trPr>
        <w:tc>
          <w:tcPr>
            <w:tcW w:w="3697" w:type="dxa"/>
            <w:noWrap/>
            <w:hideMark/>
          </w:tcPr>
          <w:p w14:paraId="31AA7462"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NPV_CONSERVATIVE_BILLIONS_USD</w:t>
            </w:r>
          </w:p>
        </w:tc>
        <w:tc>
          <w:tcPr>
            <w:tcW w:w="861" w:type="dxa"/>
            <w:noWrap/>
            <w:hideMark/>
          </w:tcPr>
          <w:p w14:paraId="733FA0E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16.1</w:t>
            </w:r>
          </w:p>
        </w:tc>
        <w:tc>
          <w:tcPr>
            <w:tcW w:w="5555" w:type="dxa"/>
            <w:noWrap/>
            <w:hideMark/>
          </w:tcPr>
          <w:p w14:paraId="6B0D8F5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conservative (2-year acceleration)</w:t>
            </w:r>
          </w:p>
        </w:tc>
      </w:tr>
      <w:tr w:rsidR="002A1B01" w:rsidRPr="00093498" w14:paraId="1484EE4E" w14:textId="77777777" w:rsidTr="00A1522D">
        <w:trPr>
          <w:trHeight w:val="290"/>
        </w:trPr>
        <w:tc>
          <w:tcPr>
            <w:tcW w:w="3697" w:type="dxa"/>
            <w:noWrap/>
            <w:hideMark/>
          </w:tcPr>
          <w:p w14:paraId="6F4974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NPV_CENTRAL_BILLIONS_USD</w:t>
            </w:r>
          </w:p>
        </w:tc>
        <w:tc>
          <w:tcPr>
            <w:tcW w:w="861" w:type="dxa"/>
            <w:noWrap/>
            <w:hideMark/>
          </w:tcPr>
          <w:p w14:paraId="70162A17"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23.1</w:t>
            </w:r>
          </w:p>
        </w:tc>
        <w:tc>
          <w:tcPr>
            <w:tcW w:w="5555" w:type="dxa"/>
            <w:noWrap/>
            <w:hideMark/>
          </w:tcPr>
          <w:p w14:paraId="1D59AE6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central (3-year acceleration)</w:t>
            </w:r>
          </w:p>
        </w:tc>
      </w:tr>
      <w:tr w:rsidR="002A1B01" w:rsidRPr="00093498" w14:paraId="48128A6F" w14:textId="77777777" w:rsidTr="00A1522D">
        <w:trPr>
          <w:trHeight w:val="290"/>
        </w:trPr>
        <w:tc>
          <w:tcPr>
            <w:tcW w:w="3697" w:type="dxa"/>
            <w:noWrap/>
            <w:hideMark/>
          </w:tcPr>
          <w:p w14:paraId="4AB6D8F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NPV_OPTIMISTIC_BILLIONS_USD</w:t>
            </w:r>
          </w:p>
        </w:tc>
        <w:tc>
          <w:tcPr>
            <w:tcW w:w="861" w:type="dxa"/>
            <w:noWrap/>
            <w:hideMark/>
          </w:tcPr>
          <w:p w14:paraId="63AF33A8"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29.5</w:t>
            </w:r>
          </w:p>
        </w:tc>
        <w:tc>
          <w:tcPr>
            <w:tcW w:w="5555" w:type="dxa"/>
            <w:noWrap/>
            <w:hideMark/>
          </w:tcPr>
          <w:p w14:paraId="535D946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optimistic (4-year acceleration)</w:t>
            </w:r>
          </w:p>
        </w:tc>
      </w:tr>
      <w:tr w:rsidR="002A1B01" w:rsidRPr="00093498" w14:paraId="667ACD50" w14:textId="77777777" w:rsidTr="00A1522D">
        <w:trPr>
          <w:trHeight w:val="290"/>
        </w:trPr>
        <w:tc>
          <w:tcPr>
            <w:tcW w:w="3697" w:type="dxa"/>
            <w:noWrap/>
            <w:hideMark/>
          </w:tcPr>
          <w:p w14:paraId="0A559074"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DOMINANCE_RATIO</w:t>
            </w:r>
          </w:p>
        </w:tc>
        <w:tc>
          <w:tcPr>
            <w:tcW w:w="861" w:type="dxa"/>
            <w:noWrap/>
            <w:hideMark/>
          </w:tcPr>
          <w:p w14:paraId="0F937A99" w14:textId="1D6BA2F9" w:rsidR="002A1B01" w:rsidRPr="00A1522D" w:rsidRDefault="00A1522D" w:rsidP="002A1B01">
            <w:pPr>
              <w:rPr>
                <w:rFonts w:ascii="Times New Roman" w:hAnsi="Times New Roman" w:cs="Times New Roman"/>
                <w:bCs/>
                <w:sz w:val="20"/>
                <w:szCs w:val="20"/>
              </w:rPr>
            </w:pPr>
            <w:r w:rsidRPr="00A1522D">
              <w:rPr>
                <w:rFonts w:ascii="Times New Roman" w:hAnsi="Times New Roman" w:cs="Times New Roman"/>
                <w:bCs/>
                <w:sz w:val="20"/>
                <w:szCs w:val="20"/>
              </w:rPr>
              <w:t>518.2</w:t>
            </w:r>
          </w:p>
        </w:tc>
        <w:tc>
          <w:tcPr>
            <w:tcW w:w="5555" w:type="dxa"/>
            <w:noWrap/>
            <w:hideMark/>
          </w:tcPr>
          <w:p w14:paraId="27D30BDC" w14:textId="4161488D" w:rsidR="002A1B01" w:rsidRPr="00A1522D" w:rsidRDefault="002A1B01" w:rsidP="002A1B01">
            <w:pPr>
              <w:keepNext/>
              <w:rPr>
                <w:rFonts w:ascii="Times New Roman" w:hAnsi="Times New Roman" w:cs="Times New Roman"/>
                <w:bCs/>
                <w:sz w:val="20"/>
                <w:szCs w:val="20"/>
              </w:rPr>
            </w:pPr>
            <w:r w:rsidRPr="00A1522D">
              <w:rPr>
                <w:rFonts w:ascii="Times New Roman" w:hAnsi="Times New Roman" w:cs="Times New Roman"/>
                <w:bCs/>
                <w:sz w:val="20"/>
                <w:szCs w:val="20"/>
              </w:rPr>
              <w:t xml:space="preserve">Ratio of IX NPV </w:t>
            </w:r>
            <w:r w:rsidR="00A1522D" w:rsidRPr="00A1522D">
              <w:rPr>
                <w:rFonts w:ascii="Times New Roman" w:hAnsi="Times New Roman" w:cs="Times New Roman"/>
                <w:bCs/>
                <w:sz w:val="20"/>
                <w:szCs w:val="20"/>
              </w:rPr>
              <w:t xml:space="preserve">(central) </w:t>
            </w:r>
            <w:r w:rsidRPr="00A1522D">
              <w:rPr>
                <w:rFonts w:ascii="Times New Roman" w:hAnsi="Times New Roman" w:cs="Times New Roman"/>
                <w:bCs/>
                <w:sz w:val="20"/>
                <w:szCs w:val="20"/>
              </w:rPr>
              <w:t xml:space="preserve">to annual </w:t>
            </w:r>
            <w:r w:rsidR="00A1522D" w:rsidRPr="00A1522D">
              <w:rPr>
                <w:rFonts w:ascii="Times New Roman" w:hAnsi="Times New Roman" w:cs="Times New Roman"/>
                <w:bCs/>
                <w:sz w:val="20"/>
                <w:szCs w:val="20"/>
              </w:rPr>
              <w:t xml:space="preserve">total </w:t>
            </w:r>
            <w:r w:rsidRPr="00A1522D">
              <w:rPr>
                <w:rFonts w:ascii="Times New Roman" w:hAnsi="Times New Roman" w:cs="Times New Roman"/>
                <w:bCs/>
                <w:sz w:val="20"/>
                <w:szCs w:val="20"/>
              </w:rPr>
              <w:t xml:space="preserve">capacity revenue </w:t>
            </w:r>
            <w:r w:rsidR="00A1522D" w:rsidRPr="00A1522D">
              <w:rPr>
                <w:rFonts w:ascii="Times New Roman" w:hAnsi="Times New Roman" w:cs="Times New Roman"/>
                <w:bCs/>
                <w:sz w:val="20"/>
                <w:szCs w:val="20"/>
              </w:rPr>
              <w:t>at mean commitment depth</w:t>
            </w:r>
          </w:p>
        </w:tc>
      </w:tr>
    </w:tbl>
    <w:p w14:paraId="0616E1B2" w14:textId="2290D98B" w:rsidR="007618E0" w:rsidRDefault="002A1B01" w:rsidP="002A1B01">
      <w:pPr>
        <w:pStyle w:val="Caption"/>
      </w:pPr>
      <w:r w:rsidRPr="00A1522D">
        <w:t>Input parameters and central estimate for the interconnection acceleration NPV calculation reported in Section 6</w:t>
      </w:r>
    </w:p>
    <w:p w14:paraId="49F51E47" w14:textId="77777777" w:rsidR="00D16F6D" w:rsidRDefault="00D16F6D" w:rsidP="00D16F6D"/>
    <w:p w14:paraId="596034D3" w14:textId="77777777" w:rsidR="00D16F6D" w:rsidRDefault="00D16F6D" w:rsidP="00D16F6D"/>
    <w:p w14:paraId="1C315303" w14:textId="0DB071D6" w:rsidR="00A1522D" w:rsidRPr="00A1522D" w:rsidRDefault="00A1522D" w:rsidP="00A1522D">
      <w:pPr>
        <w:rPr>
          <w:rFonts w:ascii="Times New Roman" w:hAnsi="Times New Roman" w:cs="Times New Roman"/>
          <w:bCs/>
        </w:rPr>
      </w:pPr>
      <w:r w:rsidRPr="00A1522D">
        <w:rPr>
          <w:rFonts w:ascii="Times New Roman" w:hAnsi="Times New Roman" w:cs="Times New Roman"/>
          <w:bCs/>
        </w:rPr>
        <w:lastRenderedPageBreak/>
        <w:t xml:space="preserve">Extended Data Table </w:t>
      </w:r>
      <w:r>
        <w:rPr>
          <w:rFonts w:ascii="Times New Roman" w:hAnsi="Times New Roman" w:cs="Times New Roman"/>
          <w:bCs/>
        </w:rPr>
        <w:t>3</w:t>
      </w:r>
      <w:r w:rsidRPr="00A1522D">
        <w:rPr>
          <w:rFonts w:ascii="Times New Roman" w:hAnsi="Times New Roman" w:cs="Times New Roman"/>
          <w:bCs/>
        </w:rPr>
        <w:t>.</w:t>
      </w:r>
      <w:r>
        <w:rPr>
          <w:rFonts w:ascii="Times New Roman" w:hAnsi="Times New Roman" w:cs="Times New Roman"/>
          <w:bCs/>
        </w:rPr>
        <w:t>Source-zone robustness check</w:t>
      </w:r>
      <w:r w:rsidRPr="00A1522D">
        <w:rPr>
          <w:rFonts w:ascii="Times New Roman" w:hAnsi="Times New Roman" w:cs="Times New Roman"/>
          <w:bCs/>
        </w:rPr>
        <w:t>.</w:t>
      </w:r>
    </w:p>
    <w:tbl>
      <w:tblPr>
        <w:tblStyle w:val="TableGrid"/>
        <w:tblW w:w="0" w:type="auto"/>
        <w:tblLook w:val="04A0" w:firstRow="1" w:lastRow="0" w:firstColumn="1" w:lastColumn="0" w:noHBand="0" w:noVBand="1"/>
      </w:tblPr>
      <w:tblGrid>
        <w:gridCol w:w="1615"/>
        <w:gridCol w:w="1563"/>
        <w:gridCol w:w="1112"/>
        <w:gridCol w:w="851"/>
        <w:gridCol w:w="769"/>
        <w:gridCol w:w="1485"/>
        <w:gridCol w:w="5555"/>
      </w:tblGrid>
      <w:tr w:rsidR="000A601D" w:rsidRPr="00093498" w14:paraId="19D94100" w14:textId="77777777" w:rsidTr="000A601D">
        <w:trPr>
          <w:trHeight w:val="290"/>
        </w:trPr>
        <w:tc>
          <w:tcPr>
            <w:tcW w:w="1615" w:type="dxa"/>
            <w:noWrap/>
            <w:hideMark/>
          </w:tcPr>
          <w:p w14:paraId="2B4A5CED" w14:textId="78089AF6" w:rsidR="000A601D" w:rsidRPr="00A1522D" w:rsidRDefault="000A601D" w:rsidP="008B4284">
            <w:pPr>
              <w:rPr>
                <w:rFonts w:ascii="Times New Roman" w:hAnsi="Times New Roman" w:cs="Times New Roman"/>
                <w:bCs/>
              </w:rPr>
            </w:pPr>
            <w:r>
              <w:rPr>
                <w:rFonts w:ascii="Times New Roman" w:hAnsi="Times New Roman" w:cs="Times New Roman"/>
                <w:bCs/>
              </w:rPr>
              <w:t>Source zone</w:t>
            </w:r>
          </w:p>
        </w:tc>
        <w:tc>
          <w:tcPr>
            <w:tcW w:w="1563" w:type="dxa"/>
            <w:noWrap/>
            <w:hideMark/>
          </w:tcPr>
          <w:p w14:paraId="5EDBCAD6" w14:textId="3D33C7F6" w:rsidR="000A601D" w:rsidRPr="00A1522D" w:rsidRDefault="000A601D" w:rsidP="008B4284">
            <w:pPr>
              <w:rPr>
                <w:rFonts w:ascii="Times New Roman" w:hAnsi="Times New Roman" w:cs="Times New Roman"/>
                <w:bCs/>
              </w:rPr>
            </w:pPr>
            <w:r>
              <w:rPr>
                <w:rFonts w:ascii="Times New Roman" w:hAnsi="Times New Roman" w:cs="Times New Roman"/>
                <w:bCs/>
              </w:rPr>
              <w:t>Configuration</w:t>
            </w:r>
          </w:p>
        </w:tc>
        <w:tc>
          <w:tcPr>
            <w:tcW w:w="1112" w:type="dxa"/>
          </w:tcPr>
          <w:p w14:paraId="2A56806C" w14:textId="72ADF566" w:rsidR="000A601D" w:rsidRPr="00A1522D" w:rsidRDefault="000A601D" w:rsidP="008B4284">
            <w:pPr>
              <w:rPr>
                <w:rFonts w:ascii="Times New Roman" w:hAnsi="Times New Roman" w:cs="Times New Roman"/>
                <w:bCs/>
              </w:rPr>
            </w:pPr>
            <w:r>
              <w:rPr>
                <w:rFonts w:ascii="Times New Roman" w:hAnsi="Times New Roman" w:cs="Times New Roman"/>
                <w:bCs/>
              </w:rPr>
              <w:t>Scope</w:t>
            </w:r>
          </w:p>
        </w:tc>
        <w:tc>
          <w:tcPr>
            <w:tcW w:w="851" w:type="dxa"/>
          </w:tcPr>
          <w:p w14:paraId="70860826" w14:textId="472E5C9C" w:rsidR="000A601D" w:rsidRPr="00A1522D" w:rsidRDefault="000A601D" w:rsidP="008B4284">
            <w:pPr>
              <w:rPr>
                <w:rFonts w:ascii="Times New Roman" w:hAnsi="Times New Roman" w:cs="Times New Roman"/>
                <w:bCs/>
              </w:rPr>
            </w:pPr>
            <w:r>
              <w:rPr>
                <w:rFonts w:ascii="Times New Roman" w:hAnsi="Times New Roman" w:cs="Times New Roman"/>
                <w:bCs/>
              </w:rPr>
              <w:t>Mean</w:t>
            </w:r>
          </w:p>
        </w:tc>
        <w:tc>
          <w:tcPr>
            <w:tcW w:w="769" w:type="dxa"/>
          </w:tcPr>
          <w:p w14:paraId="1FB09CF4" w14:textId="47D7EF5D" w:rsidR="000A601D" w:rsidRPr="00A1522D" w:rsidRDefault="000A601D" w:rsidP="008B4284">
            <w:pPr>
              <w:rPr>
                <w:rFonts w:ascii="Times New Roman" w:hAnsi="Times New Roman" w:cs="Times New Roman"/>
                <w:bCs/>
              </w:rPr>
            </w:pPr>
            <w:r>
              <w:rPr>
                <w:rFonts w:ascii="Times New Roman" w:hAnsi="Times New Roman" w:cs="Times New Roman"/>
                <w:bCs/>
              </w:rPr>
              <w:t>P5</w:t>
            </w:r>
          </w:p>
        </w:tc>
        <w:tc>
          <w:tcPr>
            <w:tcW w:w="1485" w:type="dxa"/>
          </w:tcPr>
          <w:p w14:paraId="19ECBD5C" w14:textId="6D28111B" w:rsidR="000A601D" w:rsidRPr="00A1522D" w:rsidRDefault="000A601D" w:rsidP="008B4284">
            <w:pPr>
              <w:rPr>
                <w:rFonts w:ascii="Times New Roman" w:hAnsi="Times New Roman" w:cs="Times New Roman"/>
                <w:bCs/>
              </w:rPr>
            </w:pPr>
            <w:r>
              <w:rPr>
                <w:rFonts w:ascii="Times New Roman" w:hAnsi="Times New Roman" w:cs="Times New Roman"/>
                <w:bCs/>
              </w:rPr>
              <w:t>CVaR</w:t>
            </w:r>
          </w:p>
        </w:tc>
        <w:tc>
          <w:tcPr>
            <w:tcW w:w="5555" w:type="dxa"/>
            <w:noWrap/>
            <w:hideMark/>
          </w:tcPr>
          <w:p w14:paraId="31014C4F" w14:textId="0B352D28" w:rsidR="000A601D" w:rsidRPr="00A1522D" w:rsidRDefault="000A601D" w:rsidP="008B4284">
            <w:pPr>
              <w:rPr>
                <w:rFonts w:ascii="Times New Roman" w:hAnsi="Times New Roman" w:cs="Times New Roman"/>
                <w:bCs/>
              </w:rPr>
            </w:pPr>
            <w:r>
              <w:rPr>
                <w:rFonts w:ascii="Times New Roman" w:hAnsi="Times New Roman" w:cs="Times New Roman"/>
                <w:bCs/>
              </w:rPr>
              <w:t>n hours</w:t>
            </w:r>
          </w:p>
        </w:tc>
      </w:tr>
      <w:tr w:rsidR="000A601D" w:rsidRPr="00093498" w14:paraId="7205C289" w14:textId="77777777" w:rsidTr="000A601D">
        <w:trPr>
          <w:trHeight w:val="290"/>
        </w:trPr>
        <w:tc>
          <w:tcPr>
            <w:tcW w:w="1615" w:type="dxa"/>
            <w:noWrap/>
            <w:hideMark/>
          </w:tcPr>
          <w:p w14:paraId="3E9F6FB9" w14:textId="246731F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058DD411" w14:textId="4A92141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5A7CBC31" w14:textId="44E71D0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7CE68AC8" w14:textId="7D358E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
          <w:p w14:paraId="7904711B" w14:textId="49CB903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38.5%</w:t>
            </w:r>
          </w:p>
        </w:tc>
        <w:tc>
          <w:tcPr>
            <w:tcW w:w="1485" w:type="dxa"/>
          </w:tcPr>
          <w:p w14:paraId="0B880D3A" w14:textId="6201C58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33.1%</w:t>
            </w:r>
          </w:p>
        </w:tc>
        <w:tc>
          <w:tcPr>
            <w:tcW w:w="5555" w:type="dxa"/>
            <w:noWrap/>
            <w:hideMark/>
          </w:tcPr>
          <w:p w14:paraId="2D0D4B12" w14:textId="4BBF38A2"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32601A80" w14:textId="77777777" w:rsidTr="000A601D">
        <w:trPr>
          <w:trHeight w:val="290"/>
        </w:trPr>
        <w:tc>
          <w:tcPr>
            <w:tcW w:w="1615" w:type="dxa"/>
            <w:noWrap/>
            <w:hideMark/>
          </w:tcPr>
          <w:p w14:paraId="6204E92B" w14:textId="1CCDAE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717209EF" w14:textId="15231D7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57C4AB04" w14:textId="33DE2A3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124B009B" w14:textId="51FEAA9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
          <w:p w14:paraId="106F569B" w14:textId="75CD75E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1485" w:type="dxa"/>
          </w:tcPr>
          <w:p w14:paraId="4EE5AFA8" w14:textId="5D22B82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20.6%</w:t>
            </w:r>
          </w:p>
        </w:tc>
        <w:tc>
          <w:tcPr>
            <w:tcW w:w="5555" w:type="dxa"/>
            <w:noWrap/>
            <w:hideMark/>
          </w:tcPr>
          <w:p w14:paraId="3EF40492" w14:textId="569F290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4D724706" w14:textId="77777777" w:rsidTr="000A601D">
        <w:trPr>
          <w:trHeight w:val="290"/>
        </w:trPr>
        <w:tc>
          <w:tcPr>
            <w:tcW w:w="1615" w:type="dxa"/>
            <w:noWrap/>
            <w:hideMark/>
          </w:tcPr>
          <w:p w14:paraId="2BE56297" w14:textId="41E9979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1A03F647" w14:textId="47D1FBA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207684BF" w14:textId="39F9EA9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08182BE5" w14:textId="53FEB6D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40.2%</w:t>
            </w:r>
          </w:p>
        </w:tc>
        <w:tc>
          <w:tcPr>
            <w:tcW w:w="769" w:type="dxa"/>
          </w:tcPr>
          <w:p w14:paraId="0FFB3372" w14:textId="228CD3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38.7%</w:t>
            </w:r>
          </w:p>
        </w:tc>
        <w:tc>
          <w:tcPr>
            <w:tcW w:w="1485" w:type="dxa"/>
          </w:tcPr>
          <w:p w14:paraId="309FE661" w14:textId="3E9724E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36.7%</w:t>
            </w:r>
          </w:p>
        </w:tc>
        <w:tc>
          <w:tcPr>
            <w:tcW w:w="5555" w:type="dxa"/>
            <w:noWrap/>
            <w:hideMark/>
          </w:tcPr>
          <w:p w14:paraId="250BB6D8" w14:textId="2CBDA2E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6C9AEEEB" w14:textId="77777777" w:rsidTr="000A601D">
        <w:trPr>
          <w:trHeight w:val="290"/>
        </w:trPr>
        <w:tc>
          <w:tcPr>
            <w:tcW w:w="1615" w:type="dxa"/>
            <w:noWrap/>
            <w:hideMark/>
          </w:tcPr>
          <w:p w14:paraId="341B80C1" w14:textId="5EC857F0"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1E274235" w14:textId="59975BB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15318EB3" w14:textId="0D4C9F0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3C7A9514" w14:textId="4D50EE4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24.7%</w:t>
            </w:r>
          </w:p>
        </w:tc>
        <w:tc>
          <w:tcPr>
            <w:tcW w:w="769" w:type="dxa"/>
          </w:tcPr>
          <w:p w14:paraId="6F2B08A5" w14:textId="6825E2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23.8%</w:t>
            </w:r>
          </w:p>
        </w:tc>
        <w:tc>
          <w:tcPr>
            <w:tcW w:w="1485" w:type="dxa"/>
          </w:tcPr>
          <w:p w14:paraId="54515483" w14:textId="0654FE8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22.6%</w:t>
            </w:r>
          </w:p>
        </w:tc>
        <w:tc>
          <w:tcPr>
            <w:tcW w:w="5555" w:type="dxa"/>
            <w:noWrap/>
            <w:hideMark/>
          </w:tcPr>
          <w:p w14:paraId="6323B9C7" w14:textId="1FDEEF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20C26922" w14:textId="77777777" w:rsidTr="000A601D">
        <w:trPr>
          <w:trHeight w:val="290"/>
        </w:trPr>
        <w:tc>
          <w:tcPr>
            <w:tcW w:w="1615" w:type="dxa"/>
            <w:noWrap/>
            <w:hideMark/>
          </w:tcPr>
          <w:p w14:paraId="0ECC8F3B" w14:textId="35C8EB7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589F869A" w14:textId="3F0D7B6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03EA3DD9" w14:textId="4F83AA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726542AD" w14:textId="6218C31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33.6%</w:t>
            </w:r>
          </w:p>
        </w:tc>
        <w:tc>
          <w:tcPr>
            <w:tcW w:w="769" w:type="dxa"/>
          </w:tcPr>
          <w:p w14:paraId="130685F4" w14:textId="1EA70EC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1485" w:type="dxa"/>
          </w:tcPr>
          <w:p w14:paraId="34E266E3" w14:textId="2E4E404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19.8%</w:t>
            </w:r>
          </w:p>
        </w:tc>
        <w:tc>
          <w:tcPr>
            <w:tcW w:w="5555" w:type="dxa"/>
            <w:noWrap/>
            <w:hideMark/>
          </w:tcPr>
          <w:p w14:paraId="7AFB9650" w14:textId="6C1DC2B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co-stress</w:t>
            </w:r>
          </w:p>
        </w:tc>
      </w:tr>
      <w:tr w:rsidR="000A601D" w:rsidRPr="00093498" w14:paraId="4874061E" w14:textId="77777777" w:rsidTr="000A601D">
        <w:trPr>
          <w:trHeight w:val="290"/>
        </w:trPr>
        <w:tc>
          <w:tcPr>
            <w:tcW w:w="1615" w:type="dxa"/>
            <w:noWrap/>
          </w:tcPr>
          <w:p w14:paraId="5D4810BF" w14:textId="748C02E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tcPr>
          <w:p w14:paraId="30B74F99" w14:textId="57B24E3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34A3B290" w14:textId="07C207E3"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0CE43A34" w14:textId="592C0559"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769" w:type="dxa"/>
          </w:tcPr>
          <w:p w14:paraId="481F08E8" w14:textId="096702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13.2%</w:t>
            </w:r>
          </w:p>
        </w:tc>
        <w:tc>
          <w:tcPr>
            <w:tcW w:w="1485" w:type="dxa"/>
          </w:tcPr>
          <w:p w14:paraId="3611D346" w14:textId="559E86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12.3%</w:t>
            </w:r>
          </w:p>
        </w:tc>
        <w:tc>
          <w:tcPr>
            <w:tcW w:w="5555" w:type="dxa"/>
            <w:noWrap/>
          </w:tcPr>
          <w:p w14:paraId="03755CC1" w14:textId="04BC50D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co-stress</w:t>
            </w:r>
          </w:p>
        </w:tc>
      </w:tr>
      <w:tr w:rsidR="000A601D" w:rsidRPr="00093498" w14:paraId="7A3E1C09" w14:textId="77777777" w:rsidTr="000A601D">
        <w:trPr>
          <w:trHeight w:val="290"/>
        </w:trPr>
        <w:tc>
          <w:tcPr>
            <w:tcW w:w="1615" w:type="dxa"/>
            <w:noWrap/>
            <w:hideMark/>
          </w:tcPr>
          <w:p w14:paraId="261B9AF8" w14:textId="5644C4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0C14EF6B" w14:textId="659FD3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0F88E577" w14:textId="1A0C2B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636633BD" w14:textId="062ABA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
          <w:p w14:paraId="0CE672A5" w14:textId="33B11BA7"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38.4%</w:t>
            </w:r>
          </w:p>
        </w:tc>
        <w:tc>
          <w:tcPr>
            <w:tcW w:w="1485" w:type="dxa"/>
          </w:tcPr>
          <w:p w14:paraId="73AEA9D2" w14:textId="632BA8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32.8%</w:t>
            </w:r>
          </w:p>
        </w:tc>
        <w:tc>
          <w:tcPr>
            <w:tcW w:w="5555" w:type="dxa"/>
            <w:noWrap/>
            <w:hideMark/>
          </w:tcPr>
          <w:p w14:paraId="1A318EC0" w14:textId="638FAB9D"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145 co-stress</w:t>
            </w:r>
          </w:p>
        </w:tc>
      </w:tr>
      <w:tr w:rsidR="000A601D" w:rsidRPr="00093498" w14:paraId="3515590A" w14:textId="77777777" w:rsidTr="000A601D">
        <w:trPr>
          <w:trHeight w:val="290"/>
        </w:trPr>
        <w:tc>
          <w:tcPr>
            <w:tcW w:w="1615" w:type="dxa"/>
            <w:noWrap/>
            <w:hideMark/>
          </w:tcPr>
          <w:p w14:paraId="3BC67FA1" w14:textId="08DF043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491B0ECA" w14:textId="3520CEF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1BF666B0" w14:textId="75006D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219BE603" w14:textId="2D56C4F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
          <w:p w14:paraId="5924DCB6" w14:textId="07127F2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1485" w:type="dxa"/>
          </w:tcPr>
          <w:p w14:paraId="717502BA" w14:textId="786CB7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w:t>
            </w:r>
            <w:r w:rsidR="00EF5D4F">
              <w:rPr>
                <w:rFonts w:ascii="Times New Roman" w:hAnsi="Times New Roman" w:cs="Times New Roman"/>
                <w:bCs/>
                <w:sz w:val="20"/>
                <w:szCs w:val="20"/>
              </w:rPr>
              <w:t>0.8</w:t>
            </w:r>
            <w:r>
              <w:rPr>
                <w:rFonts w:ascii="Times New Roman" w:hAnsi="Times New Roman" w:cs="Times New Roman"/>
                <w:bCs/>
                <w:sz w:val="20"/>
                <w:szCs w:val="20"/>
              </w:rPr>
              <w:t>%</w:t>
            </w:r>
          </w:p>
        </w:tc>
        <w:tc>
          <w:tcPr>
            <w:tcW w:w="5555" w:type="dxa"/>
            <w:noWrap/>
            <w:hideMark/>
          </w:tcPr>
          <w:p w14:paraId="2E134A47" w14:textId="3D24419F" w:rsidR="000A601D" w:rsidRPr="00A1522D" w:rsidRDefault="000A601D" w:rsidP="000A601D">
            <w:pPr>
              <w:keepNext/>
              <w:rPr>
                <w:rFonts w:ascii="Times New Roman" w:hAnsi="Times New Roman" w:cs="Times New Roman"/>
                <w:bCs/>
                <w:sz w:val="20"/>
                <w:szCs w:val="20"/>
              </w:rPr>
            </w:pPr>
            <w:r>
              <w:rPr>
                <w:rFonts w:ascii="Times New Roman" w:hAnsi="Times New Roman" w:cs="Times New Roman"/>
                <w:bCs/>
                <w:sz w:val="20"/>
                <w:szCs w:val="20"/>
              </w:rPr>
              <w:t>145 co-stress</w:t>
            </w:r>
          </w:p>
        </w:tc>
      </w:tr>
    </w:tbl>
    <w:p w14:paraId="7FD93688" w14:textId="77777777" w:rsidR="000A601D" w:rsidRDefault="000A601D" w:rsidP="00D16F6D">
      <w:pPr>
        <w:rPr>
          <w:i/>
          <w:iCs/>
          <w:color w:val="0E2841" w:themeColor="text2"/>
          <w:sz w:val="18"/>
          <w:szCs w:val="18"/>
        </w:rPr>
      </w:pPr>
      <w:r w:rsidRPr="000A601D">
        <w:rPr>
          <w:i/>
          <w:iCs/>
          <w:color w:val="0E2841" w:themeColor="text2"/>
          <w:sz w:val="18"/>
          <w:szCs w:val="18"/>
        </w:rPr>
        <w:t>Source-zone robustness check using PJM Dominion as an alternative source. Single-facility commitment depth is essentially identical across the two source zones (40.0% vs 40.2% inference-dominant), confirming that the cascade math is source-invariant at small scale. The empirical fleet result differs more substantially because the migrating fleet definition shifts: with Dominion as source, the fleet outside Dominion excludes the largest data center zone in PJM, leaving a smaller migrating fleet (max 6,678 MW) that experiences less destination contention than the ComEd-source fleet (max 14,379 MW). The 30-vs-145 co-stress hour count reflects geographic differences in stress patterns: ComEd stress events are more locally concentrated, while Dominion stress events more frequently coincide with broader PJM stress.</w:t>
      </w:r>
    </w:p>
    <w:p w14:paraId="740B0A4B" w14:textId="77777777" w:rsidR="000A601D" w:rsidRDefault="000A601D" w:rsidP="00D16F6D">
      <w:pPr>
        <w:rPr>
          <w:i/>
          <w:iCs/>
          <w:color w:val="0E2841" w:themeColor="text2"/>
          <w:sz w:val="18"/>
          <w:szCs w:val="18"/>
        </w:rPr>
      </w:pPr>
    </w:p>
    <w:p w14:paraId="73D344F7" w14:textId="29F67D7E" w:rsidR="007618E0" w:rsidRPr="002922E6" w:rsidRDefault="007618E0" w:rsidP="007618E0">
      <w:pPr>
        <w:rPr>
          <w:rFonts w:ascii="Times New Roman" w:hAnsi="Times New Roman" w:cs="Times New Roman"/>
          <w:bCs/>
        </w:rPr>
      </w:pPr>
    </w:p>
    <w:sectPr w:rsidR="007618E0" w:rsidRPr="002922E6" w:rsidSect="007618E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05964" w14:textId="77777777" w:rsidR="00043099" w:rsidRDefault="00043099" w:rsidP="008B1F31">
      <w:pPr>
        <w:spacing w:after="0" w:line="240" w:lineRule="auto"/>
      </w:pPr>
      <w:r>
        <w:separator/>
      </w:r>
    </w:p>
  </w:endnote>
  <w:endnote w:type="continuationSeparator" w:id="0">
    <w:p w14:paraId="6B3EE872" w14:textId="77777777" w:rsidR="00043099" w:rsidRDefault="00043099" w:rsidP="008B1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D358E" w14:textId="77777777" w:rsidR="00043099" w:rsidRDefault="00043099" w:rsidP="008B1F31">
      <w:pPr>
        <w:spacing w:after="0" w:line="240" w:lineRule="auto"/>
      </w:pPr>
      <w:r>
        <w:separator/>
      </w:r>
    </w:p>
  </w:footnote>
  <w:footnote w:type="continuationSeparator" w:id="0">
    <w:p w14:paraId="74AA0CCB" w14:textId="77777777" w:rsidR="00043099" w:rsidRDefault="00043099" w:rsidP="008B1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286786D"/>
    <w:multiLevelType w:val="multilevel"/>
    <w:tmpl w:val="8FC4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CB0688"/>
    <w:multiLevelType w:val="hybridMultilevel"/>
    <w:tmpl w:val="688C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549585">
    <w:abstractNumId w:val="0"/>
  </w:num>
  <w:num w:numId="2" w16cid:durableId="670909119">
    <w:abstractNumId w:val="2"/>
  </w:num>
  <w:num w:numId="3" w16cid:durableId="1540630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55"/>
    <w:rsid w:val="0000391D"/>
    <w:rsid w:val="000058A1"/>
    <w:rsid w:val="00012850"/>
    <w:rsid w:val="00014BBD"/>
    <w:rsid w:val="00023319"/>
    <w:rsid w:val="000350AC"/>
    <w:rsid w:val="00043099"/>
    <w:rsid w:val="00043407"/>
    <w:rsid w:val="00054C76"/>
    <w:rsid w:val="0006399D"/>
    <w:rsid w:val="00067E98"/>
    <w:rsid w:val="00072704"/>
    <w:rsid w:val="00077F24"/>
    <w:rsid w:val="00093498"/>
    <w:rsid w:val="000A4B3E"/>
    <w:rsid w:val="000A601D"/>
    <w:rsid w:val="000C137A"/>
    <w:rsid w:val="000D0F0B"/>
    <w:rsid w:val="000D0FB5"/>
    <w:rsid w:val="000D5784"/>
    <w:rsid w:val="000E571A"/>
    <w:rsid w:val="00114243"/>
    <w:rsid w:val="00123193"/>
    <w:rsid w:val="00134FC3"/>
    <w:rsid w:val="00154604"/>
    <w:rsid w:val="0016253B"/>
    <w:rsid w:val="00170FFE"/>
    <w:rsid w:val="0017672D"/>
    <w:rsid w:val="00176CEF"/>
    <w:rsid w:val="001930CA"/>
    <w:rsid w:val="00196806"/>
    <w:rsid w:val="001A0BA3"/>
    <w:rsid w:val="001A63E5"/>
    <w:rsid w:val="001A724F"/>
    <w:rsid w:val="001B6093"/>
    <w:rsid w:val="001C0C7F"/>
    <w:rsid w:val="001C53D0"/>
    <w:rsid w:val="001C649C"/>
    <w:rsid w:val="001D5418"/>
    <w:rsid w:val="001D6E1E"/>
    <w:rsid w:val="001E35CE"/>
    <w:rsid w:val="001F684C"/>
    <w:rsid w:val="00214197"/>
    <w:rsid w:val="002216EB"/>
    <w:rsid w:val="00223179"/>
    <w:rsid w:val="00227F82"/>
    <w:rsid w:val="00240CA5"/>
    <w:rsid w:val="00245018"/>
    <w:rsid w:val="00253C40"/>
    <w:rsid w:val="00257069"/>
    <w:rsid w:val="00271730"/>
    <w:rsid w:val="00282261"/>
    <w:rsid w:val="0029198D"/>
    <w:rsid w:val="002922E6"/>
    <w:rsid w:val="002A1B01"/>
    <w:rsid w:val="002A3C16"/>
    <w:rsid w:val="002A6001"/>
    <w:rsid w:val="002B2D59"/>
    <w:rsid w:val="002C2340"/>
    <w:rsid w:val="002C3C12"/>
    <w:rsid w:val="002D0120"/>
    <w:rsid w:val="002D6082"/>
    <w:rsid w:val="002E5E67"/>
    <w:rsid w:val="002F2A9A"/>
    <w:rsid w:val="003165E5"/>
    <w:rsid w:val="003229E9"/>
    <w:rsid w:val="00331948"/>
    <w:rsid w:val="00336B79"/>
    <w:rsid w:val="003504ED"/>
    <w:rsid w:val="003504F4"/>
    <w:rsid w:val="00351E27"/>
    <w:rsid w:val="00353DA9"/>
    <w:rsid w:val="0035650A"/>
    <w:rsid w:val="003729C7"/>
    <w:rsid w:val="00377EDD"/>
    <w:rsid w:val="00380C0E"/>
    <w:rsid w:val="00385481"/>
    <w:rsid w:val="00390B2B"/>
    <w:rsid w:val="00394EB6"/>
    <w:rsid w:val="0039630A"/>
    <w:rsid w:val="003A0B79"/>
    <w:rsid w:val="003A1A7B"/>
    <w:rsid w:val="003E7288"/>
    <w:rsid w:val="00400DD3"/>
    <w:rsid w:val="00402C2C"/>
    <w:rsid w:val="004135E7"/>
    <w:rsid w:val="004309E8"/>
    <w:rsid w:val="00453346"/>
    <w:rsid w:val="004554E2"/>
    <w:rsid w:val="0046133D"/>
    <w:rsid w:val="00464361"/>
    <w:rsid w:val="00466263"/>
    <w:rsid w:val="00475B1C"/>
    <w:rsid w:val="00481538"/>
    <w:rsid w:val="00482036"/>
    <w:rsid w:val="00490749"/>
    <w:rsid w:val="004A3755"/>
    <w:rsid w:val="004A4C15"/>
    <w:rsid w:val="004B3CD7"/>
    <w:rsid w:val="004B4310"/>
    <w:rsid w:val="004B51CA"/>
    <w:rsid w:val="004D41B9"/>
    <w:rsid w:val="004E632D"/>
    <w:rsid w:val="00521721"/>
    <w:rsid w:val="0053767D"/>
    <w:rsid w:val="00543DE5"/>
    <w:rsid w:val="00550511"/>
    <w:rsid w:val="00552814"/>
    <w:rsid w:val="005657DD"/>
    <w:rsid w:val="00565B9C"/>
    <w:rsid w:val="0056751C"/>
    <w:rsid w:val="005804B0"/>
    <w:rsid w:val="00590A70"/>
    <w:rsid w:val="0059191C"/>
    <w:rsid w:val="00591D3A"/>
    <w:rsid w:val="005A5317"/>
    <w:rsid w:val="005B5E60"/>
    <w:rsid w:val="005E0C54"/>
    <w:rsid w:val="005E3031"/>
    <w:rsid w:val="005E46AD"/>
    <w:rsid w:val="005F328B"/>
    <w:rsid w:val="00617EC8"/>
    <w:rsid w:val="00633130"/>
    <w:rsid w:val="0065765A"/>
    <w:rsid w:val="00671E85"/>
    <w:rsid w:val="006770F3"/>
    <w:rsid w:val="006A1A7E"/>
    <w:rsid w:val="006A352F"/>
    <w:rsid w:val="006B354C"/>
    <w:rsid w:val="006B3A4F"/>
    <w:rsid w:val="006C38FF"/>
    <w:rsid w:val="00710748"/>
    <w:rsid w:val="00715142"/>
    <w:rsid w:val="00722127"/>
    <w:rsid w:val="00726741"/>
    <w:rsid w:val="007268E3"/>
    <w:rsid w:val="00727734"/>
    <w:rsid w:val="00751DD0"/>
    <w:rsid w:val="007618E0"/>
    <w:rsid w:val="007668A9"/>
    <w:rsid w:val="00774BA4"/>
    <w:rsid w:val="00775561"/>
    <w:rsid w:val="007A40F0"/>
    <w:rsid w:val="007B0222"/>
    <w:rsid w:val="007B267C"/>
    <w:rsid w:val="007B5ECF"/>
    <w:rsid w:val="007C14BF"/>
    <w:rsid w:val="007C4983"/>
    <w:rsid w:val="007D01A7"/>
    <w:rsid w:val="007D5039"/>
    <w:rsid w:val="007F0115"/>
    <w:rsid w:val="007F1E87"/>
    <w:rsid w:val="00817625"/>
    <w:rsid w:val="00817783"/>
    <w:rsid w:val="00833BB0"/>
    <w:rsid w:val="00834DC6"/>
    <w:rsid w:val="00835266"/>
    <w:rsid w:val="00842381"/>
    <w:rsid w:val="00844AD3"/>
    <w:rsid w:val="00845AA3"/>
    <w:rsid w:val="00847A3F"/>
    <w:rsid w:val="00850F22"/>
    <w:rsid w:val="00851C78"/>
    <w:rsid w:val="00857CE5"/>
    <w:rsid w:val="00865B15"/>
    <w:rsid w:val="00871BF0"/>
    <w:rsid w:val="00874687"/>
    <w:rsid w:val="00877A4C"/>
    <w:rsid w:val="008833BA"/>
    <w:rsid w:val="00883767"/>
    <w:rsid w:val="00886523"/>
    <w:rsid w:val="008A09F2"/>
    <w:rsid w:val="008A3863"/>
    <w:rsid w:val="008B1F31"/>
    <w:rsid w:val="008D1247"/>
    <w:rsid w:val="008E3CF7"/>
    <w:rsid w:val="008F69CF"/>
    <w:rsid w:val="00900941"/>
    <w:rsid w:val="00903655"/>
    <w:rsid w:val="0091318F"/>
    <w:rsid w:val="00920A69"/>
    <w:rsid w:val="00923425"/>
    <w:rsid w:val="0092661B"/>
    <w:rsid w:val="009375CA"/>
    <w:rsid w:val="00950AEA"/>
    <w:rsid w:val="00960595"/>
    <w:rsid w:val="009614D5"/>
    <w:rsid w:val="00962C35"/>
    <w:rsid w:val="009714C3"/>
    <w:rsid w:val="0097330A"/>
    <w:rsid w:val="0098133A"/>
    <w:rsid w:val="00982135"/>
    <w:rsid w:val="009878E4"/>
    <w:rsid w:val="00991460"/>
    <w:rsid w:val="00991EAA"/>
    <w:rsid w:val="00994BA4"/>
    <w:rsid w:val="009A52DD"/>
    <w:rsid w:val="009B402C"/>
    <w:rsid w:val="009B57B0"/>
    <w:rsid w:val="009E4842"/>
    <w:rsid w:val="009F14DB"/>
    <w:rsid w:val="00A025CD"/>
    <w:rsid w:val="00A030C8"/>
    <w:rsid w:val="00A115E6"/>
    <w:rsid w:val="00A1522D"/>
    <w:rsid w:val="00A156A9"/>
    <w:rsid w:val="00A36ECE"/>
    <w:rsid w:val="00A416F7"/>
    <w:rsid w:val="00A42F23"/>
    <w:rsid w:val="00A507AA"/>
    <w:rsid w:val="00A55550"/>
    <w:rsid w:val="00A73906"/>
    <w:rsid w:val="00A8073C"/>
    <w:rsid w:val="00A82326"/>
    <w:rsid w:val="00A87BDC"/>
    <w:rsid w:val="00A97414"/>
    <w:rsid w:val="00AA2BB3"/>
    <w:rsid w:val="00AB44AF"/>
    <w:rsid w:val="00AB73BB"/>
    <w:rsid w:val="00AD2062"/>
    <w:rsid w:val="00AE1AB4"/>
    <w:rsid w:val="00AE5C56"/>
    <w:rsid w:val="00AF38B5"/>
    <w:rsid w:val="00AF6594"/>
    <w:rsid w:val="00AF7413"/>
    <w:rsid w:val="00B11586"/>
    <w:rsid w:val="00B117B8"/>
    <w:rsid w:val="00B140BA"/>
    <w:rsid w:val="00B24D6B"/>
    <w:rsid w:val="00B31367"/>
    <w:rsid w:val="00B362F2"/>
    <w:rsid w:val="00B514A5"/>
    <w:rsid w:val="00B717CE"/>
    <w:rsid w:val="00B82F7F"/>
    <w:rsid w:val="00B94883"/>
    <w:rsid w:val="00BB62FE"/>
    <w:rsid w:val="00BC30CF"/>
    <w:rsid w:val="00BC3406"/>
    <w:rsid w:val="00BC4F32"/>
    <w:rsid w:val="00BC54F8"/>
    <w:rsid w:val="00BC6144"/>
    <w:rsid w:val="00BD3B44"/>
    <w:rsid w:val="00BE40BF"/>
    <w:rsid w:val="00BE4AEC"/>
    <w:rsid w:val="00BF52C2"/>
    <w:rsid w:val="00C00508"/>
    <w:rsid w:val="00C05126"/>
    <w:rsid w:val="00C068FA"/>
    <w:rsid w:val="00C12FA3"/>
    <w:rsid w:val="00C20B6C"/>
    <w:rsid w:val="00C20F55"/>
    <w:rsid w:val="00C41BD0"/>
    <w:rsid w:val="00C47F0E"/>
    <w:rsid w:val="00C70DE3"/>
    <w:rsid w:val="00C74245"/>
    <w:rsid w:val="00C8000E"/>
    <w:rsid w:val="00C85773"/>
    <w:rsid w:val="00C8753F"/>
    <w:rsid w:val="00CA1283"/>
    <w:rsid w:val="00CC04C7"/>
    <w:rsid w:val="00CC6AA9"/>
    <w:rsid w:val="00CC7FBF"/>
    <w:rsid w:val="00CD0F81"/>
    <w:rsid w:val="00CD2054"/>
    <w:rsid w:val="00CD3D79"/>
    <w:rsid w:val="00CF3435"/>
    <w:rsid w:val="00D0534F"/>
    <w:rsid w:val="00D16F6D"/>
    <w:rsid w:val="00D5398E"/>
    <w:rsid w:val="00D628A4"/>
    <w:rsid w:val="00D708DF"/>
    <w:rsid w:val="00D81F26"/>
    <w:rsid w:val="00D8254E"/>
    <w:rsid w:val="00D842D5"/>
    <w:rsid w:val="00D85FA0"/>
    <w:rsid w:val="00D92FFA"/>
    <w:rsid w:val="00DA4458"/>
    <w:rsid w:val="00DA7ED3"/>
    <w:rsid w:val="00DC42BA"/>
    <w:rsid w:val="00DC56F4"/>
    <w:rsid w:val="00DE288D"/>
    <w:rsid w:val="00E33BC8"/>
    <w:rsid w:val="00E34A7A"/>
    <w:rsid w:val="00E4263B"/>
    <w:rsid w:val="00E55B00"/>
    <w:rsid w:val="00E62CB8"/>
    <w:rsid w:val="00E7538B"/>
    <w:rsid w:val="00E851BE"/>
    <w:rsid w:val="00EA3AD5"/>
    <w:rsid w:val="00EA5CD3"/>
    <w:rsid w:val="00EC45E1"/>
    <w:rsid w:val="00EC5A23"/>
    <w:rsid w:val="00ED5494"/>
    <w:rsid w:val="00ED5841"/>
    <w:rsid w:val="00EF2942"/>
    <w:rsid w:val="00EF5D4F"/>
    <w:rsid w:val="00F00522"/>
    <w:rsid w:val="00F064BF"/>
    <w:rsid w:val="00F125CC"/>
    <w:rsid w:val="00F30A9B"/>
    <w:rsid w:val="00F30CDA"/>
    <w:rsid w:val="00F33DFF"/>
    <w:rsid w:val="00F407A0"/>
    <w:rsid w:val="00F459F5"/>
    <w:rsid w:val="00F57EBF"/>
    <w:rsid w:val="00FA0AC3"/>
    <w:rsid w:val="00FA4A59"/>
    <w:rsid w:val="00FA589C"/>
    <w:rsid w:val="00FB45F0"/>
    <w:rsid w:val="00FD0C38"/>
    <w:rsid w:val="00FD47C1"/>
    <w:rsid w:val="00FF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F3C"/>
  <w15:chartTrackingRefBased/>
  <w15:docId w15:val="{BE1A4AE0-16F1-4851-B0D6-559502A4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55"/>
    <w:rPr>
      <w:rFonts w:eastAsiaTheme="majorEastAsia" w:cstheme="majorBidi"/>
      <w:color w:val="272727" w:themeColor="text1" w:themeTint="D8"/>
    </w:rPr>
  </w:style>
  <w:style w:type="paragraph" w:styleId="Title">
    <w:name w:val="Title"/>
    <w:basedOn w:val="Normal"/>
    <w:next w:val="Normal"/>
    <w:link w:val="TitleChar"/>
    <w:uiPriority w:val="10"/>
    <w:qFormat/>
    <w:rsid w:val="00C2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20F55"/>
    <w:rPr>
      <w:i/>
      <w:iCs/>
      <w:color w:val="404040" w:themeColor="text1" w:themeTint="BF"/>
    </w:rPr>
  </w:style>
  <w:style w:type="paragraph" w:styleId="ListParagraph">
    <w:name w:val="List Paragraph"/>
    <w:basedOn w:val="Normal"/>
    <w:uiPriority w:val="34"/>
    <w:qFormat/>
    <w:rsid w:val="00C20F55"/>
    <w:pPr>
      <w:ind w:left="720"/>
      <w:contextualSpacing/>
    </w:pPr>
  </w:style>
  <w:style w:type="character" w:styleId="IntenseEmphasis">
    <w:name w:val="Intense Emphasis"/>
    <w:basedOn w:val="DefaultParagraphFont"/>
    <w:uiPriority w:val="21"/>
    <w:qFormat/>
    <w:rsid w:val="00C20F55"/>
    <w:rPr>
      <w:i/>
      <w:iCs/>
      <w:color w:val="0F4761" w:themeColor="accent1" w:themeShade="BF"/>
    </w:rPr>
  </w:style>
  <w:style w:type="paragraph" w:styleId="IntenseQuote">
    <w:name w:val="Intense Quote"/>
    <w:basedOn w:val="Normal"/>
    <w:next w:val="Normal"/>
    <w:link w:val="IntenseQuoteChar"/>
    <w:uiPriority w:val="30"/>
    <w:qFormat/>
    <w:rsid w:val="00C2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55"/>
    <w:rPr>
      <w:i/>
      <w:iCs/>
      <w:color w:val="0F4761" w:themeColor="accent1" w:themeShade="BF"/>
    </w:rPr>
  </w:style>
  <w:style w:type="character" w:styleId="IntenseReference">
    <w:name w:val="Intense Reference"/>
    <w:basedOn w:val="DefaultParagraphFont"/>
    <w:uiPriority w:val="32"/>
    <w:qFormat/>
    <w:rsid w:val="00C20F55"/>
    <w:rPr>
      <w:b/>
      <w:bCs/>
      <w:smallCaps/>
      <w:color w:val="0F4761" w:themeColor="accent1" w:themeShade="BF"/>
      <w:spacing w:val="5"/>
    </w:rPr>
  </w:style>
  <w:style w:type="character" w:styleId="CommentReference">
    <w:name w:val="annotation reference"/>
    <w:basedOn w:val="DefaultParagraphFont"/>
    <w:uiPriority w:val="99"/>
    <w:semiHidden/>
    <w:unhideWhenUsed/>
    <w:rsid w:val="00EA5CD3"/>
    <w:rPr>
      <w:sz w:val="16"/>
      <w:szCs w:val="16"/>
    </w:rPr>
  </w:style>
  <w:style w:type="paragraph" w:styleId="CommentText">
    <w:name w:val="annotation text"/>
    <w:basedOn w:val="Normal"/>
    <w:link w:val="CommentTextChar"/>
    <w:uiPriority w:val="99"/>
    <w:unhideWhenUsed/>
    <w:rsid w:val="00EA5CD3"/>
    <w:pPr>
      <w:spacing w:line="240" w:lineRule="auto"/>
    </w:pPr>
    <w:rPr>
      <w:sz w:val="20"/>
      <w:szCs w:val="20"/>
    </w:rPr>
  </w:style>
  <w:style w:type="character" w:customStyle="1" w:styleId="CommentTextChar">
    <w:name w:val="Comment Text Char"/>
    <w:basedOn w:val="DefaultParagraphFont"/>
    <w:link w:val="CommentText"/>
    <w:uiPriority w:val="99"/>
    <w:rsid w:val="00EA5CD3"/>
    <w:rPr>
      <w:sz w:val="20"/>
      <w:szCs w:val="20"/>
    </w:rPr>
  </w:style>
  <w:style w:type="paragraph" w:styleId="CommentSubject">
    <w:name w:val="annotation subject"/>
    <w:basedOn w:val="CommentText"/>
    <w:next w:val="CommentText"/>
    <w:link w:val="CommentSubjectChar"/>
    <w:uiPriority w:val="99"/>
    <w:semiHidden/>
    <w:unhideWhenUsed/>
    <w:rsid w:val="00EA5CD3"/>
    <w:rPr>
      <w:b/>
      <w:bCs/>
    </w:rPr>
  </w:style>
  <w:style w:type="character" w:customStyle="1" w:styleId="CommentSubjectChar">
    <w:name w:val="Comment Subject Char"/>
    <w:basedOn w:val="CommentTextChar"/>
    <w:link w:val="CommentSubject"/>
    <w:uiPriority w:val="99"/>
    <w:semiHidden/>
    <w:rsid w:val="00EA5CD3"/>
    <w:rPr>
      <w:b/>
      <w:bCs/>
      <w:sz w:val="20"/>
      <w:szCs w:val="20"/>
    </w:rPr>
  </w:style>
  <w:style w:type="character" w:styleId="PlaceholderText">
    <w:name w:val="Placeholder Text"/>
    <w:basedOn w:val="DefaultParagraphFont"/>
    <w:uiPriority w:val="99"/>
    <w:semiHidden/>
    <w:rsid w:val="00AF7413"/>
    <w:rPr>
      <w:color w:val="666666"/>
    </w:rPr>
  </w:style>
  <w:style w:type="paragraph" w:styleId="Revision">
    <w:name w:val="Revision"/>
    <w:hidden/>
    <w:uiPriority w:val="99"/>
    <w:semiHidden/>
    <w:rsid w:val="009878E4"/>
    <w:pPr>
      <w:spacing w:after="0" w:line="240" w:lineRule="auto"/>
    </w:pPr>
  </w:style>
  <w:style w:type="paragraph" w:styleId="Caption">
    <w:name w:val="caption"/>
    <w:basedOn w:val="Normal"/>
    <w:next w:val="Normal"/>
    <w:uiPriority w:val="35"/>
    <w:unhideWhenUsed/>
    <w:qFormat/>
    <w:rsid w:val="00B82F7F"/>
    <w:pPr>
      <w:spacing w:after="200" w:line="240" w:lineRule="auto"/>
    </w:pPr>
    <w:rPr>
      <w:i/>
      <w:iCs/>
      <w:color w:val="0E2841" w:themeColor="text2"/>
      <w:sz w:val="18"/>
      <w:szCs w:val="18"/>
    </w:rPr>
  </w:style>
  <w:style w:type="table" w:styleId="TableGrid">
    <w:name w:val="Table Grid"/>
    <w:basedOn w:val="TableNormal"/>
    <w:uiPriority w:val="39"/>
    <w:rsid w:val="00D85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0FFE"/>
    <w:rPr>
      <w:color w:val="467886" w:themeColor="hyperlink"/>
      <w:u w:val="single"/>
    </w:rPr>
  </w:style>
  <w:style w:type="character" w:styleId="UnresolvedMention">
    <w:name w:val="Unresolved Mention"/>
    <w:basedOn w:val="DefaultParagraphFont"/>
    <w:uiPriority w:val="99"/>
    <w:semiHidden/>
    <w:unhideWhenUsed/>
    <w:rsid w:val="00170FFE"/>
    <w:rPr>
      <w:color w:val="605E5C"/>
      <w:shd w:val="clear" w:color="auto" w:fill="E1DFDD"/>
    </w:rPr>
  </w:style>
  <w:style w:type="paragraph" w:styleId="EndnoteText">
    <w:name w:val="endnote text"/>
    <w:basedOn w:val="Normal"/>
    <w:link w:val="EndnoteTextChar"/>
    <w:uiPriority w:val="99"/>
    <w:semiHidden/>
    <w:unhideWhenUsed/>
    <w:rsid w:val="008B1F3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B1F31"/>
    <w:rPr>
      <w:sz w:val="20"/>
      <w:szCs w:val="20"/>
    </w:rPr>
  </w:style>
  <w:style w:type="character" w:styleId="EndnoteReference">
    <w:name w:val="endnote reference"/>
    <w:basedOn w:val="DefaultParagraphFont"/>
    <w:uiPriority w:val="99"/>
    <w:semiHidden/>
    <w:unhideWhenUsed/>
    <w:rsid w:val="008B1F31"/>
    <w:rPr>
      <w:vertAlign w:val="superscript"/>
    </w:rPr>
  </w:style>
  <w:style w:type="paragraph" w:styleId="FootnoteText">
    <w:name w:val="footnote text"/>
    <w:basedOn w:val="Normal"/>
    <w:link w:val="FootnoteTextChar"/>
    <w:uiPriority w:val="99"/>
    <w:semiHidden/>
    <w:unhideWhenUsed/>
    <w:rsid w:val="004309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09E8"/>
    <w:rPr>
      <w:sz w:val="20"/>
      <w:szCs w:val="20"/>
    </w:rPr>
  </w:style>
  <w:style w:type="character" w:styleId="FootnoteReference">
    <w:name w:val="footnote reference"/>
    <w:basedOn w:val="DefaultParagraphFont"/>
    <w:uiPriority w:val="99"/>
    <w:semiHidden/>
    <w:unhideWhenUsed/>
    <w:rsid w:val="004309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og.google/innovation-and-ai/infrastructure-and-cloud/global-network/how-were-making-data-centers-more-flexible-to-benefit-power-gri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43E-C6B2-4978-9DEF-FEDE739EA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21</Pages>
  <Words>6809</Words>
  <Characters>42562</Characters>
  <Application>Microsoft Office Word</Application>
  <DocSecurity>0</DocSecurity>
  <Lines>1013</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13</cp:revision>
  <cp:lastPrinted>2026-04-13T15:49:00Z</cp:lastPrinted>
  <dcterms:created xsi:type="dcterms:W3CDTF">2026-04-26T20:43:00Z</dcterms:created>
  <dcterms:modified xsi:type="dcterms:W3CDTF">2026-04-27T02:56:00Z</dcterms:modified>
</cp:coreProperties>
</file>