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7B09" w14:textId="4AC4E1FE" w:rsidR="00257069" w:rsidRPr="00257069" w:rsidRDefault="00257069">
      <w:pPr>
        <w:rPr>
          <w:rFonts w:ascii="Times New Roman" w:hAnsi="Times New Roman" w:cs="Times New Roman"/>
          <w:b/>
          <w:sz w:val="32"/>
          <w:szCs w:val="32"/>
        </w:rPr>
      </w:pPr>
      <w:r w:rsidRPr="00257069">
        <w:rPr>
          <w:rFonts w:ascii="Times New Roman" w:hAnsi="Times New Roman" w:cs="Times New Roman"/>
          <w:b/>
          <w:sz w:val="32"/>
          <w:szCs w:val="32"/>
        </w:rPr>
        <w:t>Quantifying AI data center flexibility as a resource adequacy asset</w:t>
      </w:r>
      <w:r>
        <w:rPr>
          <w:rFonts w:ascii="Times New Roman" w:hAnsi="Times New Roman" w:cs="Times New Roman"/>
          <w:b/>
          <w:sz w:val="32"/>
          <w:szCs w:val="32"/>
        </w:rPr>
        <w:br/>
      </w:r>
      <w:r w:rsidRPr="00257069">
        <w:rPr>
          <w:rFonts w:ascii="Times New Roman" w:hAnsi="Times New Roman" w:cs="Times New Roman"/>
          <w:bCs/>
          <w:sz w:val="20"/>
          <w:szCs w:val="20"/>
        </w:rPr>
        <w:t>Chris Dunlap</w:t>
      </w:r>
    </w:p>
    <w:p w14:paraId="2E713835" w14:textId="2ED4D704" w:rsidR="00014BBD" w:rsidRDefault="00C20F55">
      <w:pPr>
        <w:rPr>
          <w:rFonts w:ascii="Times New Roman" w:hAnsi="Times New Roman" w:cs="Times New Roman"/>
          <w:b/>
          <w:sz w:val="32"/>
          <w:szCs w:val="32"/>
        </w:rPr>
      </w:pPr>
      <w:r w:rsidRPr="00257069">
        <w:rPr>
          <w:rFonts w:ascii="Times New Roman" w:hAnsi="Times New Roman" w:cs="Times New Roman"/>
          <w:b/>
          <w:sz w:val="28"/>
          <w:szCs w:val="28"/>
        </w:rPr>
        <w:t>Abstract</w:t>
      </w:r>
    </w:p>
    <w:p w14:paraId="099ECE87" w14:textId="5AC11CAD"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AI data centers are entering resource adequacy planning as inflexible firm load, a treatment that reflects operational convention rather than physical necessity and that is increasingly difficult to sustain at the scale of projected demand. </w:t>
      </w:r>
      <w:proofErr w:type="gramStart"/>
      <w:r w:rsidRPr="001D6E1E">
        <w:rPr>
          <w:rFonts w:ascii="Times New Roman" w:hAnsi="Times New Roman" w:cs="Times New Roman"/>
          <w:bCs/>
        </w:rPr>
        <w:t>In reality, AI</w:t>
      </w:r>
      <w:proofErr w:type="gramEnd"/>
      <w:r w:rsidRPr="001D6E1E">
        <w:rPr>
          <w:rFonts w:ascii="Times New Roman" w:hAnsi="Times New Roman" w:cs="Times New Roman"/>
          <w:bCs/>
        </w:rPr>
        <w:t xml:space="preserve"> inference workloads are flexible along multiple operational axes </w:t>
      </w:r>
      <w:r w:rsidR="004309E8">
        <w:rPr>
          <w:rFonts w:ascii="Times New Roman" w:hAnsi="Times New Roman" w:cs="Times New Roman"/>
          <w:bCs/>
        </w:rPr>
        <w:t>including</w:t>
      </w:r>
      <w:r w:rsidRPr="001D6E1E">
        <w:rPr>
          <w:rFonts w:ascii="Times New Roman" w:hAnsi="Times New Roman" w:cs="Times New Roman"/>
          <w:bCs/>
        </w:rPr>
        <w:t xml:space="preserve"> spatial migration across grid regions, temporal deferral of non-interactive workloads, and dynamic voltage-frequency scaling on residual compute</w:t>
      </w:r>
      <w:r w:rsidR="004309E8">
        <w:rPr>
          <w:rFonts w:ascii="Times New Roman" w:hAnsi="Times New Roman" w:cs="Times New Roman"/>
          <w:bCs/>
        </w:rPr>
        <w:t>.</w:t>
      </w:r>
      <w:r w:rsidRPr="001D6E1E">
        <w:rPr>
          <w:rFonts w:ascii="Times New Roman" w:hAnsi="Times New Roman" w:cs="Times New Roman"/>
          <w:bCs/>
        </w:rPr>
        <w:t xml:space="preserve"> What is missing is not the flexibility itself but a framework for translating composed operational flexibility into the capacity-accreditation terms that resource adequacy planning requires.</w:t>
      </w:r>
      <w:r w:rsidR="004309E8">
        <w:rPr>
          <w:rFonts w:ascii="Times New Roman" w:hAnsi="Times New Roman" w:cs="Times New Roman"/>
          <w:bCs/>
        </w:rPr>
        <w:t xml:space="preserve"> </w:t>
      </w:r>
      <w:r w:rsidRPr="001D6E1E">
        <w:rPr>
          <w:rFonts w:ascii="Times New Roman" w:hAnsi="Times New Roman" w:cs="Times New Roman"/>
          <w:bCs/>
        </w:rPr>
        <w:t>We develop an eleven-parameter decomposition organized as three composable mechanism mini-cascades, composed additively at the megawatt layer with sequential ordering and explicit overlap correction. Each parameter is graded against available empirical evidence, with grounding categories ranging from direct measurement to scenario construction. We test the framework against four years of day-ahead pricing data across five U.S. grid regions and 49.4 million production inference requests, finding that at least one cross-region destination is unstressed during 99% or more of observed stress hours from each of four source zones tested, and that drain-within-window completion of in-flight inference requests is approximately two orders of magnitude faster than emergency dispatch notice.</w:t>
      </w:r>
    </w:p>
    <w:p w14:paraId="2C65CD23" w14:textId="7DF3F1A5" w:rsidR="001D6E1E" w:rsidRPr="001D6E1E" w:rsidRDefault="001D6E1E" w:rsidP="001D6E1E">
      <w:pPr>
        <w:rPr>
          <w:rFonts w:ascii="Times New Roman" w:hAnsi="Times New Roman" w:cs="Times New Roman"/>
          <w:bCs/>
        </w:rPr>
      </w:pPr>
      <w:r w:rsidRPr="001D6E1E">
        <w:rPr>
          <w:rFonts w:ascii="Times New Roman" w:hAnsi="Times New Roman" w:cs="Times New Roman"/>
          <w:bCs/>
        </w:rPr>
        <w:t>We report commitment depth under two scope scenarios reflecting the bi-modal heterogeneity of the projected 2030 data-center fleet. For mixed-use colocation facilities representative of the fleet average (</w:t>
      </w:r>
      <w:proofErr w:type="spellStart"/>
      <w:r w:rsidRPr="001D6E1E">
        <w:rPr>
          <w:rFonts w:ascii="Times New Roman" w:hAnsi="Times New Roman" w:cs="Times New Roman"/>
          <w:bCs/>
        </w:rPr>
        <w:t>φ_inf</w:t>
      </w:r>
      <w:proofErr w:type="spellEnd"/>
      <w:r w:rsidRPr="001D6E1E">
        <w:rPr>
          <w:rFonts w:ascii="Times New Roman" w:hAnsi="Times New Roman" w:cs="Times New Roman"/>
          <w:bCs/>
        </w:rPr>
        <w:t xml:space="preserve"> = 0.43), single-facility commitment depth is approximately </w:t>
      </w:r>
      <w:r w:rsidR="00871BF0">
        <w:rPr>
          <w:rFonts w:ascii="Times New Roman" w:hAnsi="Times New Roman" w:cs="Times New Roman"/>
          <w:bCs/>
        </w:rPr>
        <w:t>24.6%</w:t>
      </w:r>
      <w:r w:rsidRPr="001D6E1E">
        <w:rPr>
          <w:rFonts w:ascii="Times New Roman" w:hAnsi="Times New Roman" w:cs="Times New Roman"/>
          <w:bCs/>
        </w:rPr>
        <w:t xml:space="preserve"> of nameplate. For purpose-built inference-dominant facilities (</w:t>
      </w:r>
      <w:proofErr w:type="spellStart"/>
      <w:r w:rsidRPr="001D6E1E">
        <w:rPr>
          <w:rFonts w:ascii="Times New Roman" w:hAnsi="Times New Roman" w:cs="Times New Roman"/>
          <w:bCs/>
        </w:rPr>
        <w:t>φ_inf</w:t>
      </w:r>
      <w:proofErr w:type="spellEnd"/>
      <w:r w:rsidRPr="001D6E1E">
        <w:rPr>
          <w:rFonts w:ascii="Times New Roman" w:hAnsi="Times New Roman" w:cs="Times New Roman"/>
          <w:bCs/>
        </w:rPr>
        <w:t xml:space="preserve"> = 0.70), single-facility commitment depth is approximately </w:t>
      </w:r>
      <w:r w:rsidR="00871BF0">
        <w:rPr>
          <w:rFonts w:ascii="Times New Roman" w:hAnsi="Times New Roman" w:cs="Times New Roman"/>
          <w:bCs/>
        </w:rPr>
        <w:t>40.0%.</w:t>
      </w:r>
      <w:r w:rsidRPr="001D6E1E">
        <w:rPr>
          <w:rFonts w:ascii="Times New Roman" w:hAnsi="Times New Roman" w:cs="Times New Roman"/>
          <w:bCs/>
        </w:rPr>
        <w:t xml:space="preserve"> At 10-GW fleet scale, commitment depth declines to </w:t>
      </w:r>
      <w:r w:rsidR="00871BF0">
        <w:rPr>
          <w:rFonts w:ascii="Times New Roman" w:hAnsi="Times New Roman" w:cs="Times New Roman"/>
          <w:bCs/>
        </w:rPr>
        <w:t>24.1%</w:t>
      </w:r>
      <w:r w:rsidRPr="001D6E1E">
        <w:rPr>
          <w:rFonts w:ascii="Times New Roman" w:hAnsi="Times New Roman" w:cs="Times New Roman"/>
          <w:bCs/>
        </w:rPr>
        <w:t xml:space="preserve"> (mixed-use) and </w:t>
      </w:r>
      <w:r w:rsidR="00871BF0">
        <w:rPr>
          <w:rFonts w:ascii="Times New Roman" w:hAnsi="Times New Roman" w:cs="Times New Roman"/>
          <w:bCs/>
        </w:rPr>
        <w:t>38.5%</w:t>
      </w:r>
      <w:r w:rsidRPr="001D6E1E">
        <w:rPr>
          <w:rFonts w:ascii="Times New Roman" w:hAnsi="Times New Roman" w:cs="Times New Roman"/>
          <w:bCs/>
        </w:rPr>
        <w:t xml:space="preserve"> (inference-dominant) as destination-pool contention binds spatial migration and post-stress queue saturation begins to bind temporal deferral. The dominant remaining uncertainties — destination compute absorption during stress hours, contractual workload pinning, and fleet-scale recovery-period absorption — are decision-relevant rather than physical: they reflect operator and institutional choices that policy can shape, not physics of compute migration or power management. The gap between physical flexibility potential and realized grid value is governed by institutional mechanism design.</w:t>
      </w:r>
    </w:p>
    <w:p w14:paraId="6BA1583B" w14:textId="3F5CD443" w:rsidR="004A3755" w:rsidRPr="00257069" w:rsidRDefault="000E571A">
      <w:pPr>
        <w:rPr>
          <w:rFonts w:ascii="Times New Roman" w:hAnsi="Times New Roman" w:cs="Times New Roman"/>
          <w:bCs/>
          <w:sz w:val="22"/>
          <w:szCs w:val="22"/>
        </w:rPr>
      </w:pPr>
      <w:r w:rsidRPr="00257069">
        <w:rPr>
          <w:rFonts w:ascii="Times New Roman" w:hAnsi="Times New Roman" w:cs="Times New Roman"/>
          <w:b/>
          <w:sz w:val="28"/>
          <w:szCs w:val="28"/>
        </w:rPr>
        <w:t xml:space="preserve">1. </w:t>
      </w:r>
      <w:r w:rsidR="004A3755" w:rsidRPr="00257069">
        <w:rPr>
          <w:rFonts w:ascii="Times New Roman" w:hAnsi="Times New Roman" w:cs="Times New Roman"/>
          <w:b/>
          <w:sz w:val="28"/>
          <w:szCs w:val="28"/>
        </w:rPr>
        <w:t>Introduction</w:t>
      </w:r>
    </w:p>
    <w:p w14:paraId="07FB0716" w14:textId="16812A5A" w:rsidR="001D6E1E" w:rsidRPr="001D6E1E" w:rsidRDefault="001D6E1E" w:rsidP="001D6E1E">
      <w:pPr>
        <w:rPr>
          <w:rFonts w:ascii="Times New Roman" w:hAnsi="Times New Roman" w:cs="Times New Roman"/>
          <w:bCs/>
        </w:rPr>
      </w:pPr>
      <w:r w:rsidRPr="001D6E1E">
        <w:rPr>
          <w:rFonts w:ascii="Times New Roman" w:hAnsi="Times New Roman" w:cs="Times New Roman"/>
          <w:bCs/>
        </w:rPr>
        <w:t>In PJM Interconnection, the 2027/2028 capacity auction fell 6.6 GW short of the reliability requirement</w:t>
      </w:r>
      <w:r w:rsidR="004309E8">
        <w:rPr>
          <w:rStyle w:val="EndnoteReference"/>
          <w:rFonts w:ascii="Times New Roman" w:hAnsi="Times New Roman" w:cs="Times New Roman"/>
          <w:bCs/>
        </w:rPr>
        <w:endnoteReference w:id="1"/>
      </w:r>
      <w:r w:rsidRPr="001D6E1E">
        <w:rPr>
          <w:rFonts w:ascii="Times New Roman" w:hAnsi="Times New Roman" w:cs="Times New Roman"/>
          <w:bCs/>
        </w:rPr>
        <w:t>, the first such shortfall in the region's history, while large load adjustments</w:t>
      </w:r>
      <w:r w:rsidR="004309E8">
        <w:rPr>
          <w:rFonts w:ascii="Times New Roman" w:hAnsi="Times New Roman" w:cs="Times New Roman"/>
          <w:bCs/>
        </w:rPr>
        <w:t>,</w:t>
      </w:r>
      <w:r w:rsidRPr="001D6E1E">
        <w:rPr>
          <w:rFonts w:ascii="Times New Roman" w:hAnsi="Times New Roman" w:cs="Times New Roman"/>
          <w:bCs/>
        </w:rPr>
        <w:t xml:space="preserve"> predominantly for data centers total 33.7 GW by 2030 in PJM's 2026 Long-Term Load Forecast and account for effectively all net peak demand growth.</w:t>
      </w:r>
      <w:r w:rsidR="004B4310">
        <w:rPr>
          <w:rStyle w:val="EndnoteReference"/>
          <w:rFonts w:ascii="Times New Roman" w:hAnsi="Times New Roman" w:cs="Times New Roman"/>
          <w:bCs/>
        </w:rPr>
        <w:endnoteReference w:id="2"/>
      </w:r>
      <w:r w:rsidRPr="001D6E1E">
        <w:rPr>
          <w:rFonts w:ascii="Times New Roman" w:hAnsi="Times New Roman" w:cs="Times New Roman"/>
          <w:bCs/>
        </w:rPr>
        <w:t xml:space="preserve"> Supply-side responses cannot keep pace: generation and storage projects face median completion timelines exceeding five years, </w:t>
      </w:r>
      <w:r w:rsidRPr="001D6E1E">
        <w:rPr>
          <w:rFonts w:ascii="Times New Roman" w:hAnsi="Times New Roman" w:cs="Times New Roman"/>
          <w:bCs/>
        </w:rPr>
        <w:lastRenderedPageBreak/>
        <w:t>with only 13% reaching commercial operation</w:t>
      </w:r>
      <w:r w:rsidR="004309E8">
        <w:rPr>
          <w:rStyle w:val="EndnoteReference"/>
          <w:rFonts w:ascii="Times New Roman" w:hAnsi="Times New Roman" w:cs="Times New Roman"/>
          <w:bCs/>
        </w:rPr>
        <w:endnoteReference w:id="3"/>
      </w:r>
      <w:r w:rsidRPr="001D6E1E">
        <w:rPr>
          <w:rFonts w:ascii="Times New Roman" w:hAnsi="Times New Roman" w:cs="Times New Roman"/>
          <w:bCs/>
        </w:rPr>
        <w:t>, and the underlying bottlenecks in permitting and equipment supply chains cannot be compressed by capital investment alone. Policy research has begun to argue that load flexibility should be the primary response. Norris and colleagues at Duke's Nicholas Institute estimated that the 22 largest U.S. balancing authorities could accommodate approximately 98 GW of new flexible load using existing system capacity, with an average annual curtailment rate of 0.5% and an average curtailment duration of approximately two hours.</w:t>
      </w:r>
      <w:r w:rsidR="004B4310">
        <w:rPr>
          <w:rStyle w:val="EndnoteReference"/>
          <w:rFonts w:ascii="Times New Roman" w:hAnsi="Times New Roman" w:cs="Times New Roman"/>
          <w:bCs/>
        </w:rPr>
        <w:endnoteReference w:id="4"/>
      </w:r>
      <w:r w:rsidRPr="001D6E1E">
        <w:rPr>
          <w:rFonts w:ascii="Times New Roman" w:hAnsi="Times New Roman" w:cs="Times New Roman"/>
          <w:bCs/>
        </w:rPr>
        <w:t xml:space="preserve"> The International Energy Agency's 2025 </w:t>
      </w:r>
      <w:r w:rsidRPr="001D6E1E">
        <w:rPr>
          <w:rFonts w:ascii="Times New Roman" w:hAnsi="Times New Roman" w:cs="Times New Roman"/>
          <w:bCs/>
          <w:i/>
          <w:iCs/>
        </w:rPr>
        <w:t>Energy and AI</w:t>
      </w:r>
      <w:r w:rsidRPr="001D6E1E">
        <w:rPr>
          <w:rFonts w:ascii="Times New Roman" w:hAnsi="Times New Roman" w:cs="Times New Roman"/>
          <w:bCs/>
        </w:rPr>
        <w:t xml:space="preserve"> report reache</w:t>
      </w:r>
      <w:r w:rsidR="004B4310">
        <w:rPr>
          <w:rFonts w:ascii="Times New Roman" w:hAnsi="Times New Roman" w:cs="Times New Roman"/>
          <w:bCs/>
        </w:rPr>
        <w:t>d</w:t>
      </w:r>
      <w:r w:rsidRPr="001D6E1E">
        <w:rPr>
          <w:rFonts w:ascii="Times New Roman" w:hAnsi="Times New Roman" w:cs="Times New Roman"/>
          <w:bCs/>
        </w:rPr>
        <w:t xml:space="preserve"> a </w:t>
      </w:r>
      <w:r w:rsidR="004B4310">
        <w:rPr>
          <w:rFonts w:ascii="Times New Roman" w:hAnsi="Times New Roman" w:cs="Times New Roman"/>
          <w:bCs/>
        </w:rPr>
        <w:t>similar</w:t>
      </w:r>
      <w:r w:rsidRPr="001D6E1E">
        <w:rPr>
          <w:rFonts w:ascii="Times New Roman" w:hAnsi="Times New Roman" w:cs="Times New Roman"/>
          <w:bCs/>
        </w:rPr>
        <w:t xml:space="preserve"> conclusion through different methodology, finding that data-center flexibility for as little as 0.1% to 1% of annual hours would suffice to integrate all projected 2030 capacity additions into existing U.S., E.U., and Chinese electricity systems, and explicitly notes that the U.S. Department of Energy has called for the development of a flexibility taxonomy and framework to guide implementation.</w:t>
      </w:r>
      <w:r w:rsidR="004B4310">
        <w:rPr>
          <w:rStyle w:val="EndnoteReference"/>
          <w:rFonts w:ascii="Times New Roman" w:hAnsi="Times New Roman" w:cs="Times New Roman"/>
          <w:bCs/>
        </w:rPr>
        <w:endnoteReference w:id="5"/>
      </w:r>
    </w:p>
    <w:p w14:paraId="444B8167"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Resource adequacy planning has responded to data-center load growth by treating it as firm and inelastic at each facility, requiring corresponding procurement of generating capacity plus reserve margin for every additional megawatt and allocating those costs to retail customers through capacity charges. This treatment reflects how data center operators have historically operationalized their service-level contracts to guarantee uninterrupted compute reliant on maintaining locally firm power draw at every facility. The aggregation of these local firmness commitments across a rapidly growing fleet is what produces the system-level capacity requirement now exceeding what the interconnection queue can deliver.</w:t>
      </w:r>
    </w:p>
    <w:p w14:paraId="1FB01EEB" w14:textId="466DE4E5" w:rsidR="001D6E1E" w:rsidRPr="001D6E1E" w:rsidRDefault="00835266" w:rsidP="001D6E1E">
      <w:pPr>
        <w:rPr>
          <w:rFonts w:ascii="Times New Roman" w:hAnsi="Times New Roman" w:cs="Times New Roman"/>
          <w:bCs/>
        </w:rPr>
      </w:pPr>
      <w:r w:rsidRPr="00835266">
        <w:rPr>
          <w:rFonts w:ascii="Times New Roman" w:hAnsi="Times New Roman" w:cs="Times New Roman"/>
          <w:bCs/>
        </w:rPr>
        <w:t xml:space="preserve">Recent work has begun to challenge the technical premise that this firmness is physically necessary. Field demonstrations and production deployments at major </w:t>
      </w:r>
      <w:proofErr w:type="spellStart"/>
      <w:r w:rsidRPr="00835266">
        <w:rPr>
          <w:rFonts w:ascii="Times New Roman" w:hAnsi="Times New Roman" w:cs="Times New Roman"/>
          <w:bCs/>
        </w:rPr>
        <w:t>hyperscalers</w:t>
      </w:r>
      <w:proofErr w:type="spellEnd"/>
      <w:r w:rsidRPr="00835266">
        <w:rPr>
          <w:rFonts w:ascii="Times New Roman" w:hAnsi="Times New Roman" w:cs="Times New Roman"/>
          <w:bCs/>
        </w:rPr>
        <w:t xml:space="preserve"> have established intra-facility phase-disaggregated inference, datacenter-wide power management with millisecond control latencies, structured demand response targeting machine-learning workloads, and software-orchestrated peak-power reduction with maintained service quality (Section 2). Parallel work by Zhou et al. quantifies the single-facility cost, and capacity-expansion modeling by Knittel et al. finds</w:t>
      </w:r>
      <w:r>
        <w:rPr>
          <w:rFonts w:ascii="Times New Roman" w:hAnsi="Times New Roman" w:cs="Times New Roman"/>
          <w:bCs/>
        </w:rPr>
        <w:t xml:space="preserve"> </w:t>
      </w:r>
      <w:r w:rsidR="001D6E1E" w:rsidRPr="001D6E1E">
        <w:rPr>
          <w:rFonts w:ascii="Times New Roman" w:hAnsi="Times New Roman" w:cs="Times New Roman"/>
          <w:bCs/>
        </w:rPr>
        <w:t>that data-center temporal flexibility reduces total system costs across all three regions hosting 82% of projected 2030 data-center demand.</w:t>
      </w:r>
      <w:r w:rsidR="00BC3406">
        <w:rPr>
          <w:rStyle w:val="EndnoteReference"/>
          <w:rFonts w:ascii="Times New Roman" w:hAnsi="Times New Roman" w:cs="Times New Roman"/>
          <w:bCs/>
        </w:rPr>
        <w:endnoteReference w:id="6"/>
      </w:r>
      <w:r w:rsidR="001D6E1E" w:rsidRPr="001D6E1E">
        <w:rPr>
          <w:rFonts w:ascii="Times New Roman" w:hAnsi="Times New Roman" w:cs="Times New Roman"/>
          <w:bCs/>
        </w:rPr>
        <w:t xml:space="preserve"> Across these analytic approaches, the technical potential is not in dispute; what differs is the unit of analysis and the mechanism set considered.</w:t>
      </w:r>
    </w:p>
    <w:p w14:paraId="0C35E374" w14:textId="629CF231" w:rsidR="00BC3406" w:rsidRPr="00F00522" w:rsidRDefault="00F00522" w:rsidP="00F00522">
      <w:pPr>
        <w:rPr>
          <w:rFonts w:ascii="Times New Roman" w:hAnsi="Times New Roman" w:cs="Times New Roman"/>
          <w:bCs/>
        </w:rPr>
      </w:pPr>
      <w:r w:rsidRPr="00F00522">
        <w:rPr>
          <w:rFonts w:ascii="Times New Roman" w:hAnsi="Times New Roman" w:cs="Times New Roman"/>
          <w:bCs/>
        </w:rPr>
        <w:t>Here we develop a framework for valuing the composed operational flexibility of AI inference data centers as an accreditable resource adequacy asset. The framework comprises four analytical components: an eleven-parameter decomposition organized as three composable mechanism mini-cascades; an empirical stress-decorrelation analysis using four years of day-ahead locational marginal pricing across five U.S. grid regions; a workload characterization grounded in 49.4 million production inference requests; and a conditional Monte Carlo simulation that conditions on observed per-hour grid states.</w:t>
      </w:r>
    </w:p>
    <w:p w14:paraId="754CFAB2" w14:textId="0D03720A" w:rsidR="00B362F2" w:rsidRPr="00BC3406" w:rsidRDefault="00B24D6B" w:rsidP="00BC3406">
      <w:pPr>
        <w:pStyle w:val="ListParagraph"/>
        <w:ind w:left="0"/>
        <w:rPr>
          <w:rFonts w:ascii="Times New Roman" w:hAnsi="Times New Roman" w:cs="Times New Roman"/>
          <w:bCs/>
        </w:rPr>
      </w:pPr>
      <w:r>
        <w:rPr>
          <w:rFonts w:ascii="Times New Roman" w:hAnsi="Times New Roman" w:cs="Times New Roman"/>
          <w:bCs/>
        </w:rPr>
        <w:lastRenderedPageBreak/>
        <w:t>We report t</w:t>
      </w:r>
      <w:r w:rsidR="001D6E1E" w:rsidRPr="00BC3406">
        <w:rPr>
          <w:rFonts w:ascii="Times New Roman" w:hAnsi="Times New Roman" w:cs="Times New Roman"/>
          <w:bCs/>
        </w:rPr>
        <w:t>wo scope scenarios in parallel</w:t>
      </w:r>
      <w:r>
        <w:rPr>
          <w:rFonts w:ascii="Times New Roman" w:hAnsi="Times New Roman" w:cs="Times New Roman"/>
          <w:bCs/>
        </w:rPr>
        <w:t>:</w:t>
      </w:r>
      <w:r w:rsidR="001D6E1E" w:rsidRPr="00BC3406">
        <w:rPr>
          <w:rFonts w:ascii="Times New Roman" w:hAnsi="Times New Roman" w:cs="Times New Roman"/>
          <w:bCs/>
        </w:rPr>
        <w:t xml:space="preserve"> a mixed-use facility representative of the fleet average and a purpose-built inference-dominant facility representative of the upper envelope reachable by siting choices</w:t>
      </w:r>
      <w:r>
        <w:rPr>
          <w:rFonts w:ascii="Times New Roman" w:hAnsi="Times New Roman" w:cs="Times New Roman"/>
          <w:bCs/>
        </w:rPr>
        <w:t>.</w:t>
      </w:r>
      <w:r w:rsidR="001D6E1E" w:rsidRPr="00BC3406">
        <w:rPr>
          <w:rFonts w:ascii="Times New Roman" w:hAnsi="Times New Roman" w:cs="Times New Roman"/>
          <w:bCs/>
        </w:rPr>
        <w:t xml:space="preserve"> The framework's primary function is decomposition rather than point estimation</w:t>
      </w:r>
      <w:r>
        <w:rPr>
          <w:rFonts w:ascii="Times New Roman" w:hAnsi="Times New Roman" w:cs="Times New Roman"/>
          <w:bCs/>
        </w:rPr>
        <w:t xml:space="preserve"> and identifies</w:t>
      </w:r>
      <w:r w:rsidR="001D6E1E" w:rsidRPr="00BC3406">
        <w:rPr>
          <w:rFonts w:ascii="Times New Roman" w:hAnsi="Times New Roman" w:cs="Times New Roman"/>
          <w:bCs/>
        </w:rPr>
        <w:t xml:space="preserve"> where the operational, empirical, and institutional uncertainties are concentrated, grades the evidence for each, and bounds the consequences of those uncertainties across a plausible parameter space.</w:t>
      </w:r>
    </w:p>
    <w:p w14:paraId="4C4E1C7D" w14:textId="4B8C2ED4" w:rsidR="00BC4F32" w:rsidRDefault="000E571A" w:rsidP="00BC4F32">
      <w:pPr>
        <w:rPr>
          <w:rFonts w:ascii="Times New Roman" w:hAnsi="Times New Roman" w:cs="Times New Roman"/>
          <w:bCs/>
          <w:sz w:val="32"/>
          <w:szCs w:val="32"/>
        </w:rPr>
      </w:pPr>
      <w:r w:rsidRPr="00257069">
        <w:rPr>
          <w:rFonts w:ascii="Times New Roman" w:hAnsi="Times New Roman" w:cs="Times New Roman"/>
          <w:b/>
          <w:sz w:val="28"/>
          <w:szCs w:val="28"/>
        </w:rPr>
        <w:t>2</w:t>
      </w:r>
      <w:r w:rsidR="001D6E1E">
        <w:rPr>
          <w:rFonts w:ascii="Times New Roman" w:hAnsi="Times New Roman" w:cs="Times New Roman"/>
          <w:b/>
          <w:sz w:val="28"/>
          <w:szCs w:val="28"/>
        </w:rPr>
        <w:t>. Framework: Decomposing composed operational flexibility</w:t>
      </w:r>
    </w:p>
    <w:p w14:paraId="0777A3A8" w14:textId="42525CC6" w:rsidR="001D6E1E" w:rsidRPr="001D6E1E" w:rsidRDefault="00F00522" w:rsidP="001D6E1E">
      <w:pPr>
        <w:rPr>
          <w:rFonts w:ascii="Times New Roman" w:hAnsi="Times New Roman" w:cs="Times New Roman"/>
          <w:bCs/>
        </w:rPr>
      </w:pPr>
      <w:r>
        <w:rPr>
          <w:rFonts w:ascii="Times New Roman" w:hAnsi="Times New Roman" w:cs="Times New Roman"/>
          <w:bCs/>
        </w:rPr>
        <w:t xml:space="preserve">The mechanisms underlying composed flexibility are well established in the </w:t>
      </w:r>
      <w:proofErr w:type="gramStart"/>
      <w:r>
        <w:rPr>
          <w:rFonts w:ascii="Times New Roman" w:hAnsi="Times New Roman" w:cs="Times New Roman"/>
          <w:bCs/>
        </w:rPr>
        <w:t>systems literature</w:t>
      </w:r>
      <w:proofErr w:type="gramEnd"/>
      <w:r>
        <w:rPr>
          <w:rFonts w:ascii="Times New Roman" w:hAnsi="Times New Roman" w:cs="Times New Roman"/>
          <w:bCs/>
        </w:rPr>
        <w:t xml:space="preserve"> and deployed at production scale. </w:t>
      </w:r>
      <w:r w:rsidR="001D6E1E" w:rsidRPr="001D6E1E">
        <w:rPr>
          <w:rFonts w:ascii="Times New Roman" w:hAnsi="Times New Roman" w:cs="Times New Roman"/>
          <w:bCs/>
        </w:rPr>
        <w:t>Microsoft's Flex system demonstrates software-enforced flexibility substituting for hardware power reserves in datacenter operation, with sub-second action latencies and fewer than 5% stranded power across deployments enabling 33% additional servers.</w:t>
      </w:r>
      <w:r w:rsidR="009375CA">
        <w:rPr>
          <w:rStyle w:val="EndnoteReference"/>
          <w:rFonts w:ascii="Times New Roman" w:hAnsi="Times New Roman" w:cs="Times New Roman"/>
          <w:bCs/>
        </w:rPr>
        <w:endnoteReference w:id="7"/>
      </w:r>
      <w:r w:rsidR="001D6E1E" w:rsidRPr="001D6E1E">
        <w:rPr>
          <w:rFonts w:ascii="Times New Roman" w:hAnsi="Times New Roman" w:cs="Times New Roman"/>
          <w:bCs/>
        </w:rPr>
        <w:t xml:space="preserve"> Facebook's Dynamo</w:t>
      </w:r>
      <w:r w:rsidR="00835266">
        <w:rPr>
          <w:rStyle w:val="EndnoteReference"/>
          <w:rFonts w:ascii="Times New Roman" w:hAnsi="Times New Roman" w:cs="Times New Roman"/>
          <w:bCs/>
        </w:rPr>
        <w:endnoteReference w:id="8"/>
      </w:r>
      <w:r w:rsidR="001D6E1E" w:rsidRPr="001D6E1E">
        <w:rPr>
          <w:rFonts w:ascii="Times New Roman" w:hAnsi="Times New Roman" w:cs="Times New Roman"/>
          <w:bCs/>
        </w:rPr>
        <w:t xml:space="preserve"> and Google's Thunderbolt</w:t>
      </w:r>
      <w:r w:rsidR="00835266">
        <w:rPr>
          <w:rStyle w:val="EndnoteReference"/>
          <w:rFonts w:ascii="Times New Roman" w:hAnsi="Times New Roman" w:cs="Times New Roman"/>
          <w:bCs/>
        </w:rPr>
        <w:endnoteReference w:id="9"/>
      </w:r>
      <w:r w:rsidR="001D6E1E" w:rsidRPr="001D6E1E">
        <w:rPr>
          <w:rFonts w:ascii="Times New Roman" w:hAnsi="Times New Roman" w:cs="Times New Roman"/>
          <w:bCs/>
        </w:rPr>
        <w:t xml:space="preserve"> establish DC-wide power management with millisecond control latencies and production-verified fault tolerance. </w:t>
      </w:r>
      <w:proofErr w:type="spellStart"/>
      <w:r w:rsidR="001D6E1E" w:rsidRPr="001D6E1E">
        <w:rPr>
          <w:rFonts w:ascii="Times New Roman" w:hAnsi="Times New Roman" w:cs="Times New Roman"/>
          <w:bCs/>
        </w:rPr>
        <w:t>Splitwise</w:t>
      </w:r>
      <w:proofErr w:type="spellEnd"/>
      <w:r w:rsidR="00835266">
        <w:rPr>
          <w:rStyle w:val="EndnoteReference"/>
          <w:rFonts w:ascii="Times New Roman" w:hAnsi="Times New Roman" w:cs="Times New Roman"/>
          <w:bCs/>
        </w:rPr>
        <w:endnoteReference w:id="10"/>
      </w:r>
      <w:r w:rsidR="001D6E1E" w:rsidRPr="001D6E1E">
        <w:rPr>
          <w:rFonts w:ascii="Times New Roman" w:hAnsi="Times New Roman" w:cs="Times New Roman"/>
          <w:bCs/>
        </w:rPr>
        <w:t xml:space="preserve">, </w:t>
      </w:r>
      <w:proofErr w:type="spellStart"/>
      <w:r w:rsidR="001D6E1E" w:rsidRPr="001D6E1E">
        <w:rPr>
          <w:rFonts w:ascii="Times New Roman" w:hAnsi="Times New Roman" w:cs="Times New Roman"/>
          <w:bCs/>
        </w:rPr>
        <w:t>DistServe</w:t>
      </w:r>
      <w:proofErr w:type="spellEnd"/>
      <w:r w:rsidR="00835266">
        <w:rPr>
          <w:rStyle w:val="EndnoteReference"/>
          <w:rFonts w:ascii="Times New Roman" w:hAnsi="Times New Roman" w:cs="Times New Roman"/>
          <w:bCs/>
        </w:rPr>
        <w:endnoteReference w:id="11"/>
      </w:r>
      <w:r w:rsidR="001D6E1E" w:rsidRPr="001D6E1E">
        <w:rPr>
          <w:rFonts w:ascii="Times New Roman" w:hAnsi="Times New Roman" w:cs="Times New Roman"/>
          <w:bCs/>
        </w:rPr>
        <w:t>, and Mooncake</w:t>
      </w:r>
      <w:r w:rsidR="00835266">
        <w:rPr>
          <w:rStyle w:val="EndnoteReference"/>
          <w:rFonts w:ascii="Times New Roman" w:hAnsi="Times New Roman" w:cs="Times New Roman"/>
          <w:bCs/>
        </w:rPr>
        <w:endnoteReference w:id="12"/>
      </w:r>
      <w:r w:rsidR="001D6E1E" w:rsidRPr="001D6E1E">
        <w:rPr>
          <w:rFonts w:ascii="Times New Roman" w:hAnsi="Times New Roman" w:cs="Times New Roman"/>
          <w:bCs/>
        </w:rPr>
        <w:t xml:space="preserve"> demonstrate intra-facility phase-disaggregated LLM inference at production scale, including in Moonshot AI's deployed Kimi serving platform. </w:t>
      </w:r>
      <w:proofErr w:type="spellStart"/>
      <w:r w:rsidR="001D6E1E" w:rsidRPr="001D6E1E">
        <w:rPr>
          <w:rFonts w:ascii="Times New Roman" w:hAnsi="Times New Roman" w:cs="Times New Roman"/>
          <w:bCs/>
        </w:rPr>
        <w:t>SageServe's</w:t>
      </w:r>
      <w:proofErr w:type="spellEnd"/>
      <w:r w:rsidR="001D6E1E" w:rsidRPr="001D6E1E">
        <w:rPr>
          <w:rFonts w:ascii="Times New Roman" w:hAnsi="Times New Roman" w:cs="Times New Roman"/>
          <w:bCs/>
        </w:rPr>
        <w:t xml:space="preserve"> analysis of Microsoft O365 Copilot production traces documents predictable workload tiering with hours-scale deadlines for non-interactive workloads.</w:t>
      </w:r>
      <w:r>
        <w:rPr>
          <w:rStyle w:val="EndnoteReference"/>
          <w:rFonts w:ascii="Times New Roman" w:hAnsi="Times New Roman" w:cs="Times New Roman"/>
          <w:bCs/>
        </w:rPr>
        <w:endnoteReference w:id="13"/>
      </w:r>
      <w:r w:rsidR="001D6E1E" w:rsidRPr="001D6E1E">
        <w:rPr>
          <w:rFonts w:ascii="Times New Roman" w:hAnsi="Times New Roman" w:cs="Times New Roman"/>
          <w:bCs/>
        </w:rPr>
        <w:t xml:space="preserve"> Colangelo et al. demonstrate 25% sustained cluster-level peak-power reduction for three hours on a mixed AI workload ensemble at Oracle Phoenix, with zero SLA violations across 33 experiments.</w:t>
      </w:r>
      <w:r>
        <w:rPr>
          <w:rStyle w:val="EndnoteReference"/>
          <w:rFonts w:ascii="Times New Roman" w:hAnsi="Times New Roman" w:cs="Times New Roman"/>
          <w:bCs/>
        </w:rPr>
        <w:endnoteReference w:id="14"/>
      </w:r>
      <w:r w:rsidR="001D6E1E" w:rsidRPr="001D6E1E">
        <w:rPr>
          <w:rFonts w:ascii="Times New Roman" w:hAnsi="Times New Roman" w:cs="Times New Roman"/>
          <w:bCs/>
        </w:rPr>
        <w:t xml:space="preserve"> What this systems literature has not done is translate operational flexibility into capacity-accreditation terms that resource adequacy planning and capacity markets require.</w:t>
      </w:r>
    </w:p>
    <w:p w14:paraId="13CE1B42" w14:textId="0D872783"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framework developed here </w:t>
      </w:r>
      <w:proofErr w:type="gramStart"/>
      <w:r w:rsidRPr="001D6E1E">
        <w:rPr>
          <w:rFonts w:ascii="Times New Roman" w:hAnsi="Times New Roman" w:cs="Times New Roman"/>
          <w:bCs/>
        </w:rPr>
        <w:t>is that</w:t>
      </w:r>
      <w:proofErr w:type="gramEnd"/>
      <w:r w:rsidRPr="001D6E1E">
        <w:rPr>
          <w:rFonts w:ascii="Times New Roman" w:hAnsi="Times New Roman" w:cs="Times New Roman"/>
          <w:bCs/>
        </w:rPr>
        <w:t xml:space="preserve"> translation. It </w:t>
      </w:r>
      <w:r w:rsidR="00F00522">
        <w:rPr>
          <w:rFonts w:ascii="Times New Roman" w:hAnsi="Times New Roman" w:cs="Times New Roman"/>
          <w:bCs/>
        </w:rPr>
        <w:t xml:space="preserve">analyzes the fraction of nameplate inference load that is simultaneously flexible, operationally committable, and capacity accreditable during a grid dispatch event, </w:t>
      </w:r>
      <w:r w:rsidRPr="001D6E1E">
        <w:rPr>
          <w:rFonts w:ascii="Times New Roman" w:hAnsi="Times New Roman" w:cs="Times New Roman"/>
          <w:bCs/>
        </w:rPr>
        <w:t xml:space="preserve">decomposes the conditions that must hold for </w:t>
      </w:r>
      <w:r w:rsidR="00D16F6D">
        <w:rPr>
          <w:rFonts w:ascii="Times New Roman" w:hAnsi="Times New Roman" w:cs="Times New Roman"/>
          <w:bCs/>
        </w:rPr>
        <w:t xml:space="preserve">that load to deliver accreditable resource adequacy values, and composes them into an </w:t>
      </w:r>
      <w:r w:rsidR="00EF5D4F">
        <w:rPr>
          <w:rFonts w:ascii="Times New Roman" w:hAnsi="Times New Roman" w:cs="Times New Roman"/>
          <w:bCs/>
        </w:rPr>
        <w:t>e</w:t>
      </w:r>
      <w:r w:rsidR="00D16F6D">
        <w:rPr>
          <w:rFonts w:ascii="Times New Roman" w:hAnsi="Times New Roman" w:cs="Times New Roman"/>
          <w:bCs/>
        </w:rPr>
        <w:t xml:space="preserve">ffective </w:t>
      </w:r>
      <w:r w:rsidR="00EF5D4F">
        <w:rPr>
          <w:rFonts w:ascii="Times New Roman" w:hAnsi="Times New Roman" w:cs="Times New Roman"/>
          <w:bCs/>
        </w:rPr>
        <w:t>c</w:t>
      </w:r>
      <w:r w:rsidR="00D16F6D">
        <w:rPr>
          <w:rFonts w:ascii="Times New Roman" w:hAnsi="Times New Roman" w:cs="Times New Roman"/>
          <w:bCs/>
        </w:rPr>
        <w:t xml:space="preserve">ommitment </w:t>
      </w:r>
      <w:r w:rsidR="00EF5D4F">
        <w:rPr>
          <w:rFonts w:ascii="Times New Roman" w:hAnsi="Times New Roman" w:cs="Times New Roman"/>
          <w:bCs/>
        </w:rPr>
        <w:t>d</w:t>
      </w:r>
      <w:r w:rsidR="00D16F6D">
        <w:rPr>
          <w:rFonts w:ascii="Times New Roman" w:hAnsi="Times New Roman" w:cs="Times New Roman"/>
          <w:bCs/>
        </w:rPr>
        <w:t>epth (the megawatt-equivalent grid value per megawatt of nameplate inference load).</w:t>
      </w:r>
      <w:r w:rsidRPr="001D6E1E">
        <w:rPr>
          <w:rFonts w:ascii="Times New Roman" w:hAnsi="Times New Roman" w:cs="Times New Roman"/>
          <w:bCs/>
        </w:rPr>
        <w:t xml:space="preserve"> </w:t>
      </w:r>
      <w:r w:rsidR="00D16F6D">
        <w:rPr>
          <w:rFonts w:ascii="Times New Roman" w:hAnsi="Times New Roman" w:cs="Times New Roman"/>
          <w:bCs/>
        </w:rPr>
        <w:t>Within each of the three mechanisms identified in Section 1, parameters compose multiplicatively. Across mechanisms, contributions add at the megawatt layer with sequential ordering of spatial first, deferral on the inference residual at source second, and dynamic voltage-frequency scaling on what remains. The sequential ordering implements an explicit overlap correction: within-facility power management at the source partially substitutes for deferral when work returns post-event, so the same megawatt of non-interactive compute cannot be counted both as deferred and as DVFS-reduced.</w:t>
      </w:r>
    </w:p>
    <w:p w14:paraId="64F8616E" w14:textId="707A051A"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framework is reported under two scope scenarios reflecting the bi-modal heterogeneity of the projected 2030 data center fleet. The first, the mixed-use scenario, applies the cascade to the typical </w:t>
      </w:r>
      <w:proofErr w:type="spellStart"/>
      <w:r w:rsidRPr="001D6E1E">
        <w:rPr>
          <w:rFonts w:ascii="Times New Roman" w:hAnsi="Times New Roman" w:cs="Times New Roman"/>
          <w:bCs/>
        </w:rPr>
        <w:t>hyperscaler</w:t>
      </w:r>
      <w:proofErr w:type="spellEnd"/>
      <w:r w:rsidRPr="001D6E1E">
        <w:rPr>
          <w:rFonts w:ascii="Times New Roman" w:hAnsi="Times New Roman" w:cs="Times New Roman"/>
          <w:bCs/>
        </w:rPr>
        <w:t xml:space="preserve"> colocation facility for which inference is approximately 43% of IT compute by 2030, anchored in McKinsey's December 2025 projection that inference workloads will reach more than 40% of total data-center demand.</w:t>
      </w:r>
      <w:r w:rsidR="00D16F6D">
        <w:rPr>
          <w:rStyle w:val="EndnoteReference"/>
          <w:rFonts w:ascii="Times New Roman" w:hAnsi="Times New Roman" w:cs="Times New Roman"/>
          <w:bCs/>
        </w:rPr>
        <w:endnoteReference w:id="15"/>
      </w:r>
      <w:r w:rsidRPr="001D6E1E">
        <w:rPr>
          <w:rFonts w:ascii="Times New Roman" w:hAnsi="Times New Roman" w:cs="Times New Roman"/>
          <w:bCs/>
        </w:rPr>
        <w:t xml:space="preserve"> The second, the inference-dominant scenario, </w:t>
      </w:r>
      <w:r w:rsidRPr="001D6E1E">
        <w:rPr>
          <w:rFonts w:ascii="Times New Roman" w:hAnsi="Times New Roman" w:cs="Times New Roman"/>
          <w:bCs/>
        </w:rPr>
        <w:lastRenderedPageBreak/>
        <w:t xml:space="preserve">applies the cascade to purpose-built AI campuses for which inference exceeds 70% of IT compute, a class of facilities now emerging in industry and modeled distinctly in the IEA's 2025 </w:t>
      </w:r>
      <w:r w:rsidRPr="001D6E1E">
        <w:rPr>
          <w:rFonts w:ascii="Times New Roman" w:hAnsi="Times New Roman" w:cs="Times New Roman"/>
          <w:bCs/>
          <w:i/>
          <w:iCs/>
        </w:rPr>
        <w:t>Energy and AI</w:t>
      </w:r>
      <w:r w:rsidRPr="001D6E1E">
        <w:rPr>
          <w:rFonts w:ascii="Times New Roman" w:hAnsi="Times New Roman" w:cs="Times New Roman"/>
          <w:bCs/>
        </w:rPr>
        <w:t xml:space="preserve"> report</w:t>
      </w:r>
      <w:r w:rsidR="00D16F6D">
        <w:rPr>
          <w:rStyle w:val="EndnoteReference"/>
          <w:rFonts w:ascii="Times New Roman" w:hAnsi="Times New Roman" w:cs="Times New Roman"/>
          <w:bCs/>
        </w:rPr>
        <w:endnoteReference w:id="16"/>
      </w:r>
      <w:r w:rsidRPr="001D6E1E">
        <w:rPr>
          <w:rFonts w:ascii="Times New Roman" w:hAnsi="Times New Roman" w:cs="Times New Roman"/>
          <w:bCs/>
        </w:rPr>
        <w:t xml:space="preserve"> and in Zhou et al.'s 2024 analysis of AI-focused HPC.</w:t>
      </w:r>
      <w:r w:rsidR="00D16F6D">
        <w:rPr>
          <w:rStyle w:val="EndnoteReference"/>
          <w:rFonts w:ascii="Times New Roman" w:hAnsi="Times New Roman" w:cs="Times New Roman"/>
          <w:bCs/>
        </w:rPr>
        <w:endnoteReference w:id="17"/>
      </w:r>
      <w:r w:rsidRPr="001D6E1E">
        <w:rPr>
          <w:rFonts w:ascii="Times New Roman" w:hAnsi="Times New Roman" w:cs="Times New Roman"/>
          <w:bCs/>
        </w:rPr>
        <w:t xml:space="preserve"> The two scenarios are reported in parallel rather than as alternatives because the actual 2030 fleet will include both, and the difference between their commitment depths is itself a finding: the marginal flexibility gain from purpose-built siting decisions is decomposable.</w:t>
      </w:r>
    </w:p>
    <w:p w14:paraId="27BEAA7B" w14:textId="352E78D1"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largest residual uncertainties </w:t>
      </w:r>
      <w:r w:rsidR="007668A9">
        <w:rPr>
          <w:rFonts w:ascii="Times New Roman" w:hAnsi="Times New Roman" w:cs="Times New Roman"/>
          <w:bCs/>
        </w:rPr>
        <w:t xml:space="preserve">of </w:t>
      </w:r>
      <w:r w:rsidRPr="001D6E1E">
        <w:rPr>
          <w:rFonts w:ascii="Times New Roman" w:hAnsi="Times New Roman" w:cs="Times New Roman"/>
          <w:bCs/>
        </w:rPr>
        <w:t>destination utilization headroom during stress hours where the literature reports estimates spanning 40% to 90%, fleet-scale post-stress queue absorption, and contractual pinning of inference workloads to specific facilities by 2030</w:t>
      </w:r>
      <w:r w:rsidR="007668A9">
        <w:rPr>
          <w:rFonts w:ascii="Times New Roman" w:hAnsi="Times New Roman" w:cs="Times New Roman"/>
          <w:bCs/>
        </w:rPr>
        <w:t xml:space="preserve">, </w:t>
      </w:r>
      <w:r w:rsidRPr="001D6E1E">
        <w:rPr>
          <w:rFonts w:ascii="Times New Roman" w:hAnsi="Times New Roman" w:cs="Times New Roman"/>
          <w:bCs/>
        </w:rPr>
        <w:t xml:space="preserve">are decision-relevant rather than physical. They reflect institutional and contractual choices that policy can shape, not physics of </w:t>
      </w:r>
      <w:proofErr w:type="gramStart"/>
      <w:r w:rsidRPr="001D6E1E">
        <w:rPr>
          <w:rFonts w:ascii="Times New Roman" w:hAnsi="Times New Roman" w:cs="Times New Roman"/>
          <w:bCs/>
        </w:rPr>
        <w:t>compute</w:t>
      </w:r>
      <w:proofErr w:type="gramEnd"/>
      <w:r w:rsidRPr="001D6E1E">
        <w:rPr>
          <w:rFonts w:ascii="Times New Roman" w:hAnsi="Times New Roman" w:cs="Times New Roman"/>
          <w:bCs/>
        </w:rPr>
        <w:t xml:space="preserve"> migration or power management. The framework's primary function is to locate these institutional choices and bound their consequences across the plausible parameter space.</w:t>
      </w:r>
    </w:p>
    <w:p w14:paraId="589EEB47" w14:textId="6B1186D3"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Commitment depth is computed hourly through a conditional Monte Carlo simulation conditioning on observed per-hour grid states across the five-RTO empirical dataset (Section 5). Scale-dependent structure emerges from the composition. At single-facility scale where destinations are not the binding constraint, mechanism-composed commitment depth reaches approximately </w:t>
      </w:r>
      <w:r w:rsidR="00871BF0">
        <w:rPr>
          <w:rFonts w:ascii="Times New Roman" w:hAnsi="Times New Roman" w:cs="Times New Roman"/>
          <w:bCs/>
        </w:rPr>
        <w:t>24.6%</w:t>
      </w:r>
      <w:r w:rsidRPr="001D6E1E">
        <w:rPr>
          <w:rFonts w:ascii="Times New Roman" w:hAnsi="Times New Roman" w:cs="Times New Roman"/>
          <w:bCs/>
        </w:rPr>
        <w:t xml:space="preserve"> of facility nameplate in the mixed-use scenario and approximately </w:t>
      </w:r>
      <w:r w:rsidR="00871BF0">
        <w:rPr>
          <w:rFonts w:ascii="Times New Roman" w:hAnsi="Times New Roman" w:cs="Times New Roman"/>
          <w:bCs/>
        </w:rPr>
        <w:t>40.0%</w:t>
      </w:r>
      <w:r w:rsidRPr="001D6E1E">
        <w:rPr>
          <w:rFonts w:ascii="Times New Roman" w:hAnsi="Times New Roman" w:cs="Times New Roman"/>
          <w:bCs/>
        </w:rPr>
        <w:t xml:space="preserve"> in the inference-dominant scenario. At 10-gigawatt fleet scale where destination-pool contention binds spatial migration and post-stress queue saturation begins to bind deferral, commitment depth declines to approximately </w:t>
      </w:r>
      <w:r w:rsidR="00871BF0">
        <w:rPr>
          <w:rFonts w:ascii="Times New Roman" w:hAnsi="Times New Roman" w:cs="Times New Roman"/>
          <w:bCs/>
        </w:rPr>
        <w:t>24.1%</w:t>
      </w:r>
      <w:r w:rsidRPr="001D6E1E">
        <w:rPr>
          <w:rFonts w:ascii="Times New Roman" w:hAnsi="Times New Roman" w:cs="Times New Roman"/>
          <w:bCs/>
        </w:rPr>
        <w:t xml:space="preserve"> (mixed-use) and approximately </w:t>
      </w:r>
      <w:r w:rsidR="00871BF0">
        <w:rPr>
          <w:rFonts w:ascii="Times New Roman" w:hAnsi="Times New Roman" w:cs="Times New Roman"/>
          <w:bCs/>
        </w:rPr>
        <w:t>38.5%</w:t>
      </w:r>
      <w:r w:rsidRPr="001D6E1E">
        <w:rPr>
          <w:rFonts w:ascii="Times New Roman" w:hAnsi="Times New Roman" w:cs="Times New Roman"/>
          <w:bCs/>
        </w:rPr>
        <w:t xml:space="preserve"> (inference-dominant). The spread between scales is the signature of finite destination capacity binding on spatial migration, partially offset by deferral's slower saturation and DVFS's facility-local applicability. Sections 6 and 7 unpack what the scale dependence implies for capacity-market design and where institutional mechanism choices matter most.</w:t>
      </w:r>
    </w:p>
    <w:p w14:paraId="3F2C1358" w14:textId="2F7D2F12" w:rsidR="00EC45E1" w:rsidRDefault="001D6E1E" w:rsidP="00271730">
      <w:pPr>
        <w:rPr>
          <w:rFonts w:ascii="Times New Roman" w:hAnsi="Times New Roman" w:cs="Times New Roman"/>
          <w:bCs/>
        </w:rPr>
      </w:pPr>
      <w:r w:rsidRPr="001D6E1E">
        <w:rPr>
          <w:rFonts w:ascii="Times New Roman" w:hAnsi="Times New Roman" w:cs="Times New Roman"/>
          <w:bCs/>
        </w:rPr>
        <w:t>Parameter definitions, grounding categories, and composition logic are reported in Methods Table M1.</w:t>
      </w:r>
    </w:p>
    <w:p w14:paraId="5B4B2CE7" w14:textId="7473284A" w:rsidR="0065765A" w:rsidRPr="00257069" w:rsidRDefault="000E571A" w:rsidP="00271730">
      <w:pPr>
        <w:rPr>
          <w:rFonts w:ascii="Times New Roman" w:hAnsi="Times New Roman" w:cs="Times New Roman"/>
          <w:bCs/>
          <w:sz w:val="22"/>
          <w:szCs w:val="22"/>
        </w:rPr>
      </w:pPr>
      <w:r w:rsidRPr="00257069">
        <w:rPr>
          <w:rFonts w:ascii="Times New Roman" w:hAnsi="Times New Roman" w:cs="Times New Roman"/>
          <w:b/>
          <w:sz w:val="28"/>
          <w:szCs w:val="28"/>
        </w:rPr>
        <w:t xml:space="preserve">3. </w:t>
      </w:r>
      <w:r w:rsidR="00DE288D" w:rsidRPr="00257069">
        <w:rPr>
          <w:rFonts w:ascii="Times New Roman" w:hAnsi="Times New Roman" w:cs="Times New Roman"/>
          <w:b/>
          <w:sz w:val="28"/>
          <w:szCs w:val="28"/>
        </w:rPr>
        <w:t>Cross-region stress decorrelation</w:t>
      </w:r>
    </w:p>
    <w:p w14:paraId="39C32ED4" w14:textId="3BFB0813"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We test this condition empi</w:t>
      </w:r>
      <w:r w:rsidR="00390B2B">
        <w:rPr>
          <w:rFonts w:ascii="Times New Roman" w:hAnsi="Times New Roman" w:cs="Times New Roman"/>
          <w:bCs/>
        </w:rPr>
        <w:t>ri</w:t>
      </w:r>
      <w:r w:rsidR="003A0B79">
        <w:rPr>
          <w:rFonts w:ascii="Times New Roman" w:hAnsi="Times New Roman" w:cs="Times New Roman"/>
          <w:bCs/>
        </w:rPr>
        <w:t xml:space="preserve">cally using 35,060 hours of day-ahead locational marginal pricing (DA LMP) data from January 2022 through December 2025, spanning five U.S. grid regions: PJM, ERCOT, CAISO, MISO, and NYISO. </w:t>
      </w:r>
      <w:r w:rsidR="00F30CDA" w:rsidRPr="00F30CDA">
        <w:rPr>
          <w:rFonts w:ascii="Times New Roman" w:hAnsi="Times New Roman" w:cs="Times New Roman"/>
          <w:bCs/>
        </w:rPr>
        <w:t>Within each region we identify destination pricing zones co-located with data center facilities using county-level data center capacity data from the U.S. Department of Energy / National Renewable Energy Laboratory Accelerating Speed to Power Data Viewer</w:t>
      </w:r>
      <w:r w:rsidR="00464361">
        <w:rPr>
          <w:rStyle w:val="EndnoteReference"/>
          <w:rFonts w:ascii="Times New Roman" w:hAnsi="Times New Roman" w:cs="Times New Roman"/>
          <w:bCs/>
        </w:rPr>
        <w:endnoteReference w:id="18"/>
      </w:r>
      <w:r w:rsidR="00F30CDA" w:rsidRPr="00F30CDA">
        <w:rPr>
          <w:rFonts w:ascii="Times New Roman" w:hAnsi="Times New Roman" w:cs="Times New Roman"/>
          <w:bCs/>
        </w:rPr>
        <w:t>, which aggregates operational, under-construction, and announced data center capacity from multiple commercial and public sources.</w:t>
      </w:r>
      <w:r w:rsidR="00F30CDA">
        <w:rPr>
          <w:rFonts w:ascii="Times New Roman" w:hAnsi="Times New Roman" w:cs="Times New Roman"/>
          <w:bCs/>
        </w:rPr>
        <w:t xml:space="preserve"> </w:t>
      </w:r>
      <w:r w:rsidR="003A0B79">
        <w:rPr>
          <w:rFonts w:ascii="Times New Roman" w:hAnsi="Times New Roman" w:cs="Times New Roman"/>
          <w:bCs/>
        </w:rPr>
        <w:t xml:space="preserve">Stress hours are defined as hours in which the DA LMP exceeds </w:t>
      </w:r>
      <w:r w:rsidR="003A0B79">
        <w:rPr>
          <w:rFonts w:ascii="Times New Roman" w:hAnsi="Times New Roman" w:cs="Times New Roman"/>
          <w:bCs/>
        </w:rPr>
        <w:lastRenderedPageBreak/>
        <w:t>the 99</w:t>
      </w:r>
      <w:r w:rsidR="003A0B79" w:rsidRPr="003A0B79">
        <w:rPr>
          <w:rFonts w:ascii="Times New Roman" w:hAnsi="Times New Roman" w:cs="Times New Roman"/>
          <w:bCs/>
          <w:vertAlign w:val="superscript"/>
        </w:rPr>
        <w:t>th</w:t>
      </w:r>
      <w:r w:rsidR="003A0B79">
        <w:rPr>
          <w:rFonts w:ascii="Times New Roman" w:hAnsi="Times New Roman" w:cs="Times New Roman"/>
          <w:bCs/>
        </w:rPr>
        <w:t xml:space="preserve"> percentile of the zone’s own four-year distribution</w:t>
      </w:r>
      <w:r w:rsidR="00377EDD">
        <w:rPr>
          <w:rFonts w:ascii="Times New Roman" w:hAnsi="Times New Roman" w:cs="Times New Roman"/>
          <w:bCs/>
        </w:rPr>
        <w:t>, yielding the 200 highest-priced hours per zone (see Methods for threshold sensitivity).</w:t>
      </w:r>
    </w:p>
    <w:p w14:paraId="728773F6" w14:textId="3D51A726"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structure reflects the electrical topology of the North American transmission system. ERCOT operates as an electrically isolated interconnection with no synchronous ties to the Eastern grid. CAISO</w:t>
      </w:r>
      <w:r w:rsidR="00AB44AF">
        <w:rPr>
          <w:rFonts w:ascii="Times New Roman" w:hAnsi="Times New Roman" w:cs="Times New Roman"/>
          <w:bCs/>
        </w:rPr>
        <w:t xml:space="preserve"> has temporal offset and weather patterns that are largely independent from the Midwest. Capacity-weighted stress overlap between ComEd and cross-interconnection destinations ranges from 3.7% (ERCOT, summer) to 14.0% (CAISO, annual), with CAISO exhibiting zero summer overlap across the four-year study period (Fig. </w:t>
      </w:r>
      <w:r w:rsidR="00D85FA0">
        <w:rPr>
          <w:rFonts w:ascii="Times New Roman" w:hAnsi="Times New Roman" w:cs="Times New Roman"/>
          <w:bCs/>
        </w:rPr>
        <w:t>1</w:t>
      </w:r>
      <w:r w:rsidR="00AB44AF">
        <w:rPr>
          <w:rFonts w:ascii="Times New Roman" w:hAnsi="Times New Roman" w:cs="Times New Roman"/>
          <w:bCs/>
        </w:rPr>
        <w:t xml:space="preserve">).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w:t>
      </w:r>
      <w:r w:rsidR="00845AA3">
        <w:rPr>
          <w:rFonts w:ascii="Times New Roman" w:hAnsi="Times New Roman" w:cs="Times New Roman"/>
          <w:bCs/>
        </w:rPr>
        <w:t>6</w:t>
      </w:r>
      <w:r w:rsidR="007B267C">
        <w:rPr>
          <w:rFonts w:ascii="Times New Roman" w:hAnsi="Times New Roman" w:cs="Times New Roman"/>
          <w:bCs/>
        </w:rPr>
        <w:t>%</w:t>
      </w:r>
      <w:r w:rsidR="00C12FA3">
        <w:rPr>
          <w:rFonts w:ascii="Times New Roman" w:hAnsi="Times New Roman" w:cs="Times New Roman"/>
          <w:bCs/>
        </w:rPr>
        <w:t>, and NYISO zones from 29% to 41%, consistent with shared exposure to regional weather systems and partial electrical coupling.</w:t>
      </w:r>
    </w:p>
    <w:p w14:paraId="67938F06" w14:textId="37E87551" w:rsidR="00C12FA3" w:rsidRDefault="00844AD3" w:rsidP="00271730">
      <w:pPr>
        <w:rPr>
          <w:rFonts w:ascii="Times New Roman" w:hAnsi="Times New Roman" w:cs="Times New Roman"/>
          <w:bCs/>
        </w:rPr>
      </w:pPr>
      <w:r w:rsidRPr="00844AD3">
        <w:rPr>
          <w:rFonts w:ascii="Times New Roman" w:hAnsi="Times New Roman" w:cs="Times New Roman"/>
          <w:bCs/>
        </w:rPr>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w:t>
      </w:r>
      <w:r w:rsidR="001F684C">
        <w:rPr>
          <w:rFonts w:ascii="Times New Roman" w:hAnsi="Times New Roman" w:cs="Times New Roman"/>
          <w:bCs/>
        </w:rPr>
        <w:t>.</w:t>
      </w:r>
    </w:p>
    <w:p w14:paraId="45777304" w14:textId="77777777" w:rsidR="00B82F7F" w:rsidRDefault="00B82F7F" w:rsidP="00B82F7F">
      <w:pPr>
        <w:keepNext/>
        <w:jc w:val="center"/>
      </w:pPr>
      <w:r>
        <w:rPr>
          <w:rFonts w:ascii="Times New Roman" w:hAnsi="Times New Roman" w:cs="Times New Roman"/>
          <w:bCs/>
          <w:noProof/>
        </w:rPr>
        <w:lastRenderedPageBreak/>
        <w:drawing>
          <wp:inline distT="0" distB="0" distL="0" distR="0" wp14:anchorId="448A0341" wp14:editId="7F65C163">
            <wp:extent cx="3430345" cy="3935002"/>
            <wp:effectExtent l="0" t="0" r="0" b="8890"/>
            <wp:docPr id="6038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12824" name="Picture 603812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9280" cy="3945251"/>
                    </a:xfrm>
                    <a:prstGeom prst="rect">
                      <a:avLst/>
                    </a:prstGeom>
                  </pic:spPr>
                </pic:pic>
              </a:graphicData>
            </a:graphic>
          </wp:inline>
        </w:drawing>
      </w:r>
    </w:p>
    <w:p w14:paraId="57195730" w14:textId="3A12C56E" w:rsidR="00B82F7F" w:rsidRDefault="00B82F7F" w:rsidP="00B82F7F">
      <w:pPr>
        <w:pStyle w:val="Caption"/>
        <w:jc w:val="center"/>
        <w:rPr>
          <w:rFonts w:ascii="Times New Roman" w:hAnsi="Times New Roman" w:cs="Times New Roman"/>
          <w:bCs/>
        </w:rPr>
      </w:pPr>
      <w:r w:rsidRPr="00B82F7F">
        <w:rPr>
          <w:rFonts w:ascii="Times New Roman" w:hAnsi="Times New Roman" w:cs="Times New Roman"/>
          <w:bCs/>
        </w:rPr>
        <w:t xml:space="preserve">Fig. </w:t>
      </w:r>
      <w:r w:rsidR="00D85FA0">
        <w:rPr>
          <w:rFonts w:ascii="Times New Roman" w:hAnsi="Times New Roman" w:cs="Times New Roman"/>
          <w:bCs/>
        </w:rPr>
        <w:t>1</w:t>
      </w:r>
      <w:r w:rsidRPr="00B82F7F">
        <w:rPr>
          <w:rFonts w:ascii="Times New Roman" w:hAnsi="Times New Roman" w:cs="Times New Roman"/>
          <w:bCs/>
        </w:rPr>
        <w:t xml:space="preserve">. Stress overlap between ComEd and 17 cross-BA destination zones by year, 2022–2025. Each cell shows the percentage of ComEd's 50 annual stress hours in which the destination zone was simultaneously stressed. Cross-interconnection destinations (ERCOT, CAISO) exhibit </w:t>
      </w:r>
      <w:proofErr w:type="gramStart"/>
      <w:r w:rsidRPr="00B82F7F">
        <w:rPr>
          <w:rFonts w:ascii="Times New Roman" w:hAnsi="Times New Roman" w:cs="Times New Roman"/>
          <w:bCs/>
        </w:rPr>
        <w:t>overlap</w:t>
      </w:r>
      <w:proofErr w:type="gramEnd"/>
      <w:r w:rsidRPr="00B82F7F">
        <w:rPr>
          <w:rFonts w:ascii="Times New Roman" w:hAnsi="Times New Roman" w:cs="Times New Roman"/>
          <w:bCs/>
        </w:rPr>
        <w:t xml:space="preserve"> below 30% in all years; same-interconnection destinations (MISO, NYISO) range from 16% to 74%, consistent with shared exposure to regional weather systems. The 2024 column reflects elevated co-stress during the January 2024 Arctic Blast. CAISO coverage begins November 2022; earlier periods are treated as available per Methods.</w:t>
      </w:r>
    </w:p>
    <w:p w14:paraId="4351DB6B" w14:textId="44567275" w:rsidR="003229E9" w:rsidRPr="00257069" w:rsidRDefault="003229E9" w:rsidP="00271730">
      <w:pPr>
        <w:rPr>
          <w:rFonts w:ascii="Times New Roman" w:hAnsi="Times New Roman" w:cs="Times New Roman"/>
          <w:b/>
          <w:sz w:val="28"/>
          <w:szCs w:val="28"/>
        </w:rPr>
      </w:pPr>
      <w:r w:rsidRPr="00257069">
        <w:rPr>
          <w:rFonts w:ascii="Times New Roman" w:hAnsi="Times New Roman" w:cs="Times New Roman"/>
          <w:b/>
          <w:sz w:val="28"/>
          <w:szCs w:val="28"/>
        </w:rPr>
        <w:t xml:space="preserve">4. Workload </w:t>
      </w:r>
      <w:r w:rsidR="006A1A7E" w:rsidRPr="00257069">
        <w:rPr>
          <w:rFonts w:ascii="Times New Roman" w:hAnsi="Times New Roman" w:cs="Times New Roman"/>
          <w:b/>
          <w:sz w:val="28"/>
          <w:szCs w:val="28"/>
        </w:rPr>
        <w:t>c</w:t>
      </w:r>
      <w:r w:rsidRPr="00257069">
        <w:rPr>
          <w:rFonts w:ascii="Times New Roman" w:hAnsi="Times New Roman" w:cs="Times New Roman"/>
          <w:b/>
          <w:sz w:val="28"/>
          <w:szCs w:val="28"/>
        </w:rPr>
        <w:t>haracterization</w:t>
      </w:r>
    </w:p>
    <w:p w14:paraId="559469EF" w14:textId="771CCF85" w:rsidR="004B51CA" w:rsidRPr="006A1A7E" w:rsidRDefault="001D6E1E" w:rsidP="006A1A7E">
      <w:pPr>
        <w:rPr>
          <w:rFonts w:ascii="Times New Roman" w:hAnsi="Times New Roman" w:cs="Times New Roman"/>
          <w:bCs/>
        </w:rPr>
      </w:pPr>
      <w:r w:rsidRPr="001D6E1E">
        <w:rPr>
          <w:rFonts w:ascii="Times New Roman" w:hAnsi="Times New Roman" w:cs="Times New Roman"/>
          <w:bCs/>
        </w:rPr>
        <w:t>The drain-within-window parameter (</w:t>
      </w:r>
      <w:proofErr w:type="spellStart"/>
      <w:r w:rsidRPr="001D6E1E">
        <w:rPr>
          <w:rFonts w:ascii="Times New Roman" w:hAnsi="Times New Roman" w:cs="Times New Roman"/>
          <w:bCs/>
        </w:rPr>
        <w:t>DRAIN_ok</w:t>
      </w:r>
      <w:proofErr w:type="spellEnd"/>
      <w:r w:rsidRPr="001D6E1E">
        <w:rPr>
          <w:rFonts w:ascii="Times New Roman" w:hAnsi="Times New Roman" w:cs="Times New Roman"/>
          <w:bCs/>
        </w:rPr>
        <w:t>) captures whether active inference requests at a source facility can complete within the grid operator's emergency dispatch window. We validate drain time using two independent production inference datasets totaling 49.4 million requests over a combined 128 days of observation (see Methods for dataset descriptions). P99 drain times range from 4.5 to 12.12 seconds across model configurations and datasets, approximately two orders of magnitude below PJM's minimum dispatch window of 10 minutes</w:t>
      </w:r>
      <w:r w:rsidR="00464361">
        <w:rPr>
          <w:rStyle w:val="EndnoteReference"/>
          <w:rFonts w:ascii="Times New Roman" w:hAnsi="Times New Roman" w:cs="Times New Roman"/>
          <w:bCs/>
        </w:rPr>
        <w:endnoteReference w:id="19"/>
      </w:r>
      <w:r w:rsidRPr="001D6E1E">
        <w:rPr>
          <w:rFonts w:ascii="Times New Roman" w:hAnsi="Times New Roman" w:cs="Times New Roman"/>
          <w:bCs/>
        </w:rPr>
        <w:t xml:space="preserve">, indicating that </w:t>
      </w:r>
      <w:proofErr w:type="spellStart"/>
      <w:r w:rsidRPr="001D6E1E">
        <w:rPr>
          <w:rFonts w:ascii="Times New Roman" w:hAnsi="Times New Roman" w:cs="Times New Roman"/>
          <w:bCs/>
        </w:rPr>
        <w:t>DRAIN_ok</w:t>
      </w:r>
      <w:proofErr w:type="spellEnd"/>
      <w:r w:rsidRPr="001D6E1E">
        <w:rPr>
          <w:rFonts w:ascii="Times New Roman" w:hAnsi="Times New Roman" w:cs="Times New Roman"/>
          <w:bCs/>
        </w:rPr>
        <w:t xml:space="preserve"> = 0.95 is a conservative parameterization. The 5% excluded by </w:t>
      </w:r>
      <w:proofErr w:type="spellStart"/>
      <w:r w:rsidRPr="001D6E1E">
        <w:rPr>
          <w:rFonts w:ascii="Times New Roman" w:hAnsi="Times New Roman" w:cs="Times New Roman"/>
          <w:bCs/>
        </w:rPr>
        <w:t>DRAIN_ok</w:t>
      </w:r>
      <w:proofErr w:type="spellEnd"/>
      <w:r w:rsidRPr="001D6E1E">
        <w:rPr>
          <w:rFonts w:ascii="Times New Roman" w:hAnsi="Times New Roman" w:cs="Times New Roman"/>
          <w:bCs/>
        </w:rPr>
        <w:t xml:space="preserve"> accommodates </w:t>
      </w:r>
      <w:proofErr w:type="gramStart"/>
      <w:r w:rsidRPr="001D6E1E">
        <w:rPr>
          <w:rFonts w:ascii="Times New Roman" w:hAnsi="Times New Roman" w:cs="Times New Roman"/>
          <w:bCs/>
        </w:rPr>
        <w:t>long-running</w:t>
      </w:r>
      <w:proofErr w:type="gramEnd"/>
      <w:r w:rsidRPr="001D6E1E">
        <w:rPr>
          <w:rFonts w:ascii="Times New Roman" w:hAnsi="Times New Roman" w:cs="Times New Roman"/>
          <w:bCs/>
        </w:rPr>
        <w:t xml:space="preserve"> or batched inference requests, multi-turn conversational sessions with persistent state, and potential future workload types with longer completion times.</w:t>
      </w:r>
      <w:r w:rsidR="00394EB6">
        <w:rPr>
          <w:rFonts w:ascii="Times New Roman" w:hAnsi="Times New Roman" w:cs="Times New Roman"/>
          <w:bCs/>
        </w:rPr>
        <w:t xml:space="preserve"> </w:t>
      </w:r>
    </w:p>
    <w:p w14:paraId="181282BB" w14:textId="51489C3D" w:rsidR="006A1A7E" w:rsidRPr="00257069" w:rsidRDefault="006A1A7E" w:rsidP="00271730">
      <w:pPr>
        <w:rPr>
          <w:rFonts w:ascii="Times New Roman" w:hAnsi="Times New Roman" w:cs="Times New Roman"/>
          <w:b/>
          <w:sz w:val="28"/>
          <w:szCs w:val="28"/>
        </w:rPr>
      </w:pPr>
      <w:r w:rsidRPr="00257069">
        <w:rPr>
          <w:rFonts w:ascii="Times New Roman" w:hAnsi="Times New Roman" w:cs="Times New Roman"/>
          <w:b/>
          <w:sz w:val="28"/>
          <w:szCs w:val="28"/>
        </w:rPr>
        <w:t>5. Conditional Monte Carlo validation</w:t>
      </w:r>
    </w:p>
    <w:p w14:paraId="372DCF96"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We develop a conditional Monte Carlo simulation that conditions on observed per-hour grid states to capture how commitment depth depends on fleet size, destination contention, and post-</w:t>
      </w:r>
      <w:r w:rsidRPr="001D6E1E">
        <w:rPr>
          <w:rFonts w:ascii="Times New Roman" w:hAnsi="Times New Roman" w:cs="Times New Roman"/>
          <w:bCs/>
        </w:rPr>
        <w:lastRenderedPageBreak/>
        <w:t>stress recovery saturation during specific stress events. The simulation is run separately under each of the two scope scenarios; results are reported in parallel.</w:t>
      </w:r>
    </w:p>
    <w:p w14:paraId="64181462" w14:textId="77777777" w:rsidR="004D41B9" w:rsidRDefault="004D41B9" w:rsidP="001D6E1E">
      <w:pPr>
        <w:rPr>
          <w:rFonts w:ascii="Times New Roman" w:hAnsi="Times New Roman" w:cs="Times New Roman"/>
          <w:bCs/>
        </w:rPr>
      </w:pPr>
      <w:r w:rsidRPr="004D41B9">
        <w:rPr>
          <w:rFonts w:ascii="Times New Roman" w:hAnsi="Times New Roman" w:cs="Times New Roman"/>
          <w:bCs/>
        </w:rPr>
        <w:t>For a representative 500 MW inference-dominant facility, the conditional Monte Carlo yields a mean commitment depth of 40.0% under the inference-dominant scope (</w:t>
      </w:r>
      <w:proofErr w:type="spellStart"/>
      <w:r w:rsidRPr="004D41B9">
        <w:rPr>
          <w:rFonts w:ascii="Times New Roman" w:hAnsi="Times New Roman" w:cs="Times New Roman"/>
          <w:bCs/>
        </w:rPr>
        <w:t>φ_inf</w:t>
      </w:r>
      <w:proofErr w:type="spellEnd"/>
      <w:r w:rsidRPr="004D41B9">
        <w:rPr>
          <w:rFonts w:ascii="Times New Roman" w:hAnsi="Times New Roman" w:cs="Times New Roman"/>
          <w:bCs/>
        </w:rPr>
        <w:t xml:space="preserve"> = 0.70), with 5th percentile of 38.5% and conditional expected shortfall below the 5th percentile of 33.1%. Under the mixed-use scope (</w:t>
      </w:r>
      <w:proofErr w:type="spellStart"/>
      <w:r w:rsidRPr="004D41B9">
        <w:rPr>
          <w:rFonts w:ascii="Times New Roman" w:hAnsi="Times New Roman" w:cs="Times New Roman"/>
          <w:bCs/>
        </w:rPr>
        <w:t>φ_inf</w:t>
      </w:r>
      <w:proofErr w:type="spellEnd"/>
      <w:r w:rsidRPr="004D41B9">
        <w:rPr>
          <w:rFonts w:ascii="Times New Roman" w:hAnsi="Times New Roman" w:cs="Times New Roman"/>
          <w:bCs/>
        </w:rPr>
        <w:t xml:space="preserve"> = 0.43), the corresponding values are mean 24.6%, P5 23.7%, and CVaR 20.6%. The framework's conservatism at single-facility scale arises from a ratio effect: aggregate available headroom across unstressed destinations substantially exceeds the demand from a single migrating facility in </w:t>
      </w:r>
      <w:proofErr w:type="gramStart"/>
      <w:r w:rsidRPr="004D41B9">
        <w:rPr>
          <w:rFonts w:ascii="Times New Roman" w:hAnsi="Times New Roman" w:cs="Times New Roman"/>
          <w:bCs/>
        </w:rPr>
        <w:t>the large majority of</w:t>
      </w:r>
      <w:proofErr w:type="gramEnd"/>
      <w:r w:rsidRPr="004D41B9">
        <w:rPr>
          <w:rFonts w:ascii="Times New Roman" w:hAnsi="Times New Roman" w:cs="Times New Roman"/>
          <w:bCs/>
        </w:rPr>
        <w:t xml:space="preserve"> stress hours, and the deferral and DVFS mechanisms operate independently of destination contention.</w:t>
      </w:r>
    </w:p>
    <w:p w14:paraId="103B926D" w14:textId="77777777" w:rsidR="004D41B9" w:rsidRDefault="004D41B9" w:rsidP="001D6E1E">
      <w:pPr>
        <w:rPr>
          <w:rFonts w:ascii="Times New Roman" w:hAnsi="Times New Roman" w:cs="Times New Roman"/>
          <w:bCs/>
        </w:rPr>
      </w:pPr>
      <w:r w:rsidRPr="004D41B9">
        <w:rPr>
          <w:rFonts w:ascii="Times New Roman" w:hAnsi="Times New Roman" w:cs="Times New Roman"/>
          <w:bCs/>
        </w:rPr>
        <w:t xml:space="preserve">When the analysis is extended to simultaneous migration by geographically distributed facilities, commitment depth becomes </w:t>
      </w:r>
      <w:proofErr w:type="gramStart"/>
      <w:r w:rsidRPr="004D41B9">
        <w:rPr>
          <w:rFonts w:ascii="Times New Roman" w:hAnsi="Times New Roman" w:cs="Times New Roman"/>
          <w:bCs/>
        </w:rPr>
        <w:t>scale-dependent</w:t>
      </w:r>
      <w:proofErr w:type="gramEnd"/>
      <w:r w:rsidRPr="004D41B9">
        <w:rPr>
          <w:rFonts w:ascii="Times New Roman" w:hAnsi="Times New Roman" w:cs="Times New Roman"/>
          <w:bCs/>
        </w:rPr>
        <w:t>. We first evaluate an empirical fleet defined by the geographic distribution of PJM data center capacity across load zones, with per-hour co-stress identified from the intra-PJM coincidence matrix described in Section 3. Only zones experiencing simultaneous stress contribute migrating load in each hour. Across the 30 ComEd stress hours where at least one other PJM zone is also stressed, the migrating fleet averages 4,729 MW (range 747–14,379 MW), with substantial variation driven by whether the Dominion zone in Northern Virginia (9,431 MW of data center capacity) is co-stressed with ComEd. This empirical fleet yields a mean commitment depth of 33.6% under inference-dominant scope and 21.1% under mixed-use, with conditional expected shortfall below the 5th percentile of 19.8% and 12.3% respectively. A reliability assessment grounded in worst-case performance such as PJM's Loss of Load Probability framework, mapped through PJM's 92% demand-response ELCC, would credit this fleet with approximately 19.4% (inference-dominant) or 12.1% (mixed-use) of accredited capacity per fleet MW. Fleet-level accreditation depends on the mean-versus-tail metric chosen by the capacity market operator, a methodological choice with direct consequences for the economic value quantified in Section 6.</w:t>
      </w:r>
    </w:p>
    <w:p w14:paraId="2A8166F9" w14:textId="012EC9CA" w:rsidR="001D6E1E" w:rsidRPr="001D6E1E" w:rsidRDefault="007F0115" w:rsidP="001D6E1E">
      <w:pPr>
        <w:rPr>
          <w:rFonts w:ascii="Times New Roman" w:hAnsi="Times New Roman" w:cs="Times New Roman"/>
          <w:bCs/>
        </w:rPr>
      </w:pPr>
      <w:r w:rsidRPr="007F0115">
        <w:rPr>
          <w:rFonts w:ascii="Times New Roman" w:hAnsi="Times New Roman" w:cs="Times New Roman"/>
          <w:bCs/>
        </w:rPr>
        <w:t>We then evaluate commitment depth as a continuous function of fleet size using a parametric sweep from 0.5 to 15 GW. Under the inference-dominant scope, commitment depth declines from 39.8% at 1 GW to 38.5% at 10 GW. Under the mixed-use scope, commitment depth declines from 24.6% at 1 GW to 24.1% at 10 GW. The decline is driven primarily by destination contention engaging spatial migration: the share of Monte Carlo draws that are destination-constrained rises from 4.9% at 1 GW to 25.7% at 10 GW under the inference-dominant scope, and from 3.0% to 8.5% under the mixed-use scope. Spatial contention does not exceed the 50% threshold within the swept range, with onset projected beyond 15 GW. The decline in mean commitment depth is mild because deferral and DVFS contribute additively across all fleet sizes and do not saturate within the range evaluated; the 5th percentile shows a sharper decline (from 38.1% to 25.2% under inference-dominant; from 23.6% to 16.1% under mixed-use), reflecting that destination contention binds most aggressively in the worst stress hours rather than across the full distribution.</w:t>
      </w:r>
    </w:p>
    <w:p w14:paraId="7D541913" w14:textId="1B1355B4" w:rsidR="004B51CA" w:rsidRDefault="00EF5D4F" w:rsidP="004B51CA">
      <w:pPr>
        <w:keepNext/>
        <w:jc w:val="center"/>
      </w:pPr>
      <w:r>
        <w:rPr>
          <w:noProof/>
        </w:rPr>
        <w:lastRenderedPageBreak/>
        <w:drawing>
          <wp:inline distT="0" distB="0" distL="0" distR="0" wp14:anchorId="4FCB9AAE" wp14:editId="5AEEE321">
            <wp:extent cx="5943600" cy="4166235"/>
            <wp:effectExtent l="0" t="0" r="0" b="5715"/>
            <wp:docPr id="107119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271" name="Picture 1071194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66235"/>
                    </a:xfrm>
                    <a:prstGeom prst="rect">
                      <a:avLst/>
                    </a:prstGeom>
                  </pic:spPr>
                </pic:pic>
              </a:graphicData>
            </a:graphic>
          </wp:inline>
        </w:drawing>
      </w:r>
    </w:p>
    <w:p w14:paraId="495ADBDF" w14:textId="77777777" w:rsidR="001D6E1E" w:rsidRDefault="001D6E1E" w:rsidP="001D6E1E">
      <w:pPr>
        <w:rPr>
          <w:i/>
          <w:iCs/>
          <w:color w:val="0E2841" w:themeColor="text2"/>
          <w:sz w:val="18"/>
          <w:szCs w:val="18"/>
        </w:rPr>
      </w:pPr>
      <w:r w:rsidRPr="001D6E1E">
        <w:rPr>
          <w:i/>
          <w:iCs/>
          <w:color w:val="0E2841" w:themeColor="text2"/>
          <w:sz w:val="18"/>
          <w:szCs w:val="18"/>
          <w:highlight w:val="yellow"/>
        </w:rPr>
        <w:t>[Figure 2 callout (re-rendered for reformed framework, two scopes): Four-panel figure. Panels (a) and (b) report single-facility (500 MW) and empirical fleet commitment depth distributions, both showing the inference-dominant scope as the primary distribution with a mixed-use scope distribution overlaid in lower opacity. Panel (c) reports the per-GW commitment depth sweep with separate curves for the two scopes, P5–P95 bands, and dotted-line markers at contention onset and QUEUE_OK onset. Panel (d) reports the percentage of draw-hour combinations destination-constrained as a function of fleet size, plus a parallel curve for the percentage QUEUE-constrained.]</w:t>
      </w:r>
    </w:p>
    <w:p w14:paraId="2C14AC56" w14:textId="77777777" w:rsidR="009A52DD" w:rsidRDefault="009A52DD" w:rsidP="00BF52C2">
      <w:pPr>
        <w:rPr>
          <w:rFonts w:ascii="Times New Roman" w:hAnsi="Times New Roman" w:cs="Times New Roman"/>
          <w:bCs/>
        </w:rPr>
      </w:pPr>
      <w:r w:rsidRPr="009A52DD">
        <w:rPr>
          <w:rFonts w:ascii="Times New Roman" w:hAnsi="Times New Roman" w:cs="Times New Roman"/>
          <w:bCs/>
        </w:rPr>
        <w:t xml:space="preserve">The scale dependence has direct implications for how this flexibility should be quantified in capacity market design. A single operator evaluating participation faces a commitment depth distribution sharply concentrated near 40% under inference-dominant scope, with the 5th percentile at 38.5% and the conditional expected shortfall below the 5th percentile at </w:t>
      </w:r>
      <w:proofErr w:type="gramStart"/>
      <w:r w:rsidRPr="009A52DD">
        <w:rPr>
          <w:rFonts w:ascii="Times New Roman" w:hAnsi="Times New Roman" w:cs="Times New Roman"/>
          <w:bCs/>
        </w:rPr>
        <w:t>33.1% —</w:t>
      </w:r>
      <w:proofErr w:type="gramEnd"/>
      <w:r w:rsidRPr="009A52DD">
        <w:rPr>
          <w:rFonts w:ascii="Times New Roman" w:hAnsi="Times New Roman" w:cs="Times New Roman"/>
          <w:bCs/>
        </w:rPr>
        <w:t xml:space="preserve"> meaningful contribution from all three mechanisms even in the tail, supporting bids based on the mean rather than worst-case performance. Fleet-level accreditation cannot be inferred from single-facility performance: destination contention reduces the spatial contribution as fleet size grows, with the share of Monte Carlo draws destination-constrained rising from 4.9% at 1 GW to 25.7% at 10 GW under the inference-dominant scope. Mean commitment depth declines correspondingly from 39.8% at 1 GW to 38.5% at 10 GW, while the 5th percentile drops more sharply from 38.1% to 25.2%, reflecting that destination contention binds most aggressively in the worst stress hours. Capacity market operators evaluating DR class ratings for data center flexibility must therefore set accreditation at the fleet level rather than extrapolating from facility-scale studies, and must distinguish between the three mechanisms in the accreditation </w:t>
      </w:r>
      <w:r w:rsidRPr="009A52DD">
        <w:rPr>
          <w:rFonts w:ascii="Times New Roman" w:hAnsi="Times New Roman" w:cs="Times New Roman"/>
          <w:bCs/>
        </w:rPr>
        <w:lastRenderedPageBreak/>
        <w:t>framework because their saturation behaviors differ structurally — DVFS contributes additively across all fleet sizes evaluated, deferral remains nearly constant, and only spatial migration shows scale-dependent decline.</w:t>
      </w:r>
    </w:p>
    <w:p w14:paraId="1B126AF7" w14:textId="4CBA8F34" w:rsidR="00D81F26" w:rsidRPr="00257069" w:rsidRDefault="00453346" w:rsidP="00BF52C2">
      <w:pPr>
        <w:rPr>
          <w:rFonts w:ascii="Times New Roman" w:hAnsi="Times New Roman" w:cs="Times New Roman"/>
          <w:bCs/>
          <w:sz w:val="28"/>
          <w:szCs w:val="28"/>
        </w:rPr>
      </w:pPr>
      <w:r w:rsidRPr="00257069">
        <w:rPr>
          <w:rFonts w:ascii="Times New Roman" w:hAnsi="Times New Roman" w:cs="Times New Roman"/>
          <w:b/>
          <w:sz w:val="28"/>
          <w:szCs w:val="28"/>
        </w:rPr>
        <w:t>6. System-level implications</w:t>
      </w:r>
    </w:p>
    <w:p w14:paraId="16F4D5EB" w14:textId="77777777" w:rsidR="001930CA" w:rsidRPr="001930CA" w:rsidRDefault="001930CA" w:rsidP="001930CA">
      <w:pPr>
        <w:rPr>
          <w:rFonts w:ascii="Times New Roman" w:hAnsi="Times New Roman" w:cs="Times New Roman"/>
          <w:bCs/>
        </w:rPr>
      </w:pPr>
      <w:r w:rsidRPr="001930CA">
        <w:rPr>
          <w:rFonts w:ascii="Times New Roman" w:hAnsi="Times New Roman" w:cs="Times New Roman"/>
          <w:bCs/>
        </w:rPr>
        <w:t>The commitment depths estimated by the conditional Monte Carlo translate directly to resource adequacy contributions within existing capacity market frameworks. We evaluate system-level implications at two reference scales (1 GW facility and 10 GW fleet), under each of the two scope scenarios.</w:t>
      </w:r>
    </w:p>
    <w:p w14:paraId="19EE7E86" w14:textId="16F47B88" w:rsidR="001D6E1E" w:rsidRDefault="001930CA" w:rsidP="001D6E1E">
      <w:pPr>
        <w:rPr>
          <w:rFonts w:ascii="Times New Roman" w:hAnsi="Times New Roman" w:cs="Times New Roman"/>
          <w:bCs/>
        </w:rPr>
      </w:pPr>
      <w:r w:rsidRPr="001930CA">
        <w:rPr>
          <w:rFonts w:ascii="Times New Roman" w:hAnsi="Times New Roman" w:cs="Times New Roman"/>
          <w:bCs/>
        </w:rPr>
        <w:t>For an individual 1 GW inference-dominant facility, the conditional Monte Carlo yields a mean commitment depth of 39.8%, implying approximately 398 MW of curtailable load during system emergencies, or approximately 367 MW when derated to a 92% effective load carrying capability (ELCC) consistent with PJM's treatment of demand response resources. For a 10 GW inference-dominant fleet, the mean commitment depth of 38.5% implies approximately 3,546 MW accredited. Under the mixed-use scope, the corresponding 1 GW and 10 GW figures are 226 MW and 2,216 MW respectively.</w:t>
      </w:r>
    </w:p>
    <w:p w14:paraId="6203EB3F" w14:textId="45ABF12A" w:rsidR="001930CA" w:rsidRDefault="001930CA" w:rsidP="001D6E1E">
      <w:pPr>
        <w:rPr>
          <w:rFonts w:ascii="Times New Roman" w:hAnsi="Times New Roman" w:cs="Times New Roman"/>
          <w:bCs/>
        </w:rPr>
      </w:pPr>
      <w:r w:rsidRPr="001930CA">
        <w:rPr>
          <w:rFonts w:ascii="Times New Roman" w:hAnsi="Times New Roman" w:cs="Times New Roman"/>
          <w:bCs/>
        </w:rPr>
        <w:t>These accredited capacity values use mean commitment depth, consistent with PJM's standard UCAP accreditation convention for demand response. An alternative approach using the 5th-percentile commitment depth would yield approximately 350 MW (1 GW inference-dominant), 2,322 MW (10 GW inference-dominant), 217 MW (1 GW mixed-use), and 1,483 MW (10 GW mixed-use). The gap between mean-based and P5-based accreditation is small at single-facility scale (16 MW under the inference-dominant scope) but grows substantially at fleet scale (1,224 MW at 10 GW), reflecting that destination contention binds most aggressively in the worst stress hours rather than across the full distribution.</w:t>
      </w:r>
    </w:p>
    <w:p w14:paraId="04FAE5E3" w14:textId="394A61A9" w:rsidR="001930CA" w:rsidRDefault="001930CA" w:rsidP="001D6E1E">
      <w:pPr>
        <w:rPr>
          <w:rFonts w:ascii="Times New Roman" w:hAnsi="Times New Roman" w:cs="Times New Roman"/>
          <w:bCs/>
        </w:rPr>
      </w:pPr>
      <w:r w:rsidRPr="001930CA">
        <w:rPr>
          <w:rFonts w:ascii="Times New Roman" w:hAnsi="Times New Roman" w:cs="Times New Roman"/>
          <w:bCs/>
        </w:rPr>
        <w:t>To estimate the economic value to the grid, we calculate avoided capacity costs using the capacity requirements identified in Energy + Environmental Economics' 2025 Resource Adequacy Study for Illinois and cost estimates from NREL's Annual Technology Baseline. At E3's levelized CT cost of $180,000/MW-yr, the annualized avoided capacity cost is approximately $66M for an individual 1 GW inference-dominant facility and approximately $638M for a 10 GW inference-dominant fleet. Under the mixed-use scope, the corresponding figures are $41M and $399M. The four numbers represent the system planner's perspective: capacity procurement that the composed-flexibility commitments would displace.</w:t>
      </w:r>
    </w:p>
    <w:p w14:paraId="670947A0" w14:textId="7D419332" w:rsidR="00847A3F" w:rsidRDefault="001930CA" w:rsidP="00F064BF">
      <w:pPr>
        <w:rPr>
          <w:rFonts w:ascii="Times New Roman" w:hAnsi="Times New Roman" w:cs="Times New Roman"/>
          <w:bCs/>
        </w:rPr>
      </w:pPr>
      <w:r w:rsidRPr="001930CA">
        <w:rPr>
          <w:rFonts w:ascii="Times New Roman" w:hAnsi="Times New Roman" w:cs="Times New Roman"/>
          <w:bCs/>
        </w:rPr>
        <w:t xml:space="preserve">From the operator's perspective, a distinct and substantially larger incentive exists through interconnection acceleration. A flexible interconnection framework allows a facility to energize before network upgrades complete; the present value of avoided delay depends on foregone compute revenue during the waiting period. Using prevailing </w:t>
      </w:r>
      <w:proofErr w:type="spellStart"/>
      <w:r w:rsidRPr="001930CA">
        <w:rPr>
          <w:rFonts w:ascii="Times New Roman" w:hAnsi="Times New Roman" w:cs="Times New Roman"/>
          <w:bCs/>
        </w:rPr>
        <w:t>hyperscaler</w:t>
      </w:r>
      <w:proofErr w:type="spellEnd"/>
      <w:r w:rsidRPr="001930CA">
        <w:rPr>
          <w:rFonts w:ascii="Times New Roman" w:hAnsi="Times New Roman" w:cs="Times New Roman"/>
          <w:bCs/>
        </w:rPr>
        <w:t xml:space="preserve"> capital expenditure rates and a three-year acceleration window for a 1 GW facility, we estimate a central NPV of approximately $23.1B under the inference-dominant scope. This figure exceeds the present value </w:t>
      </w:r>
      <w:r w:rsidRPr="001930CA">
        <w:rPr>
          <w:rFonts w:ascii="Times New Roman" w:hAnsi="Times New Roman" w:cs="Times New Roman"/>
          <w:bCs/>
        </w:rPr>
        <w:lastRenderedPageBreak/>
        <w:t>of avoided capacity payments over a comparable horizon by approximately two orders of magnitude, indicating that operators' primary economic motivation under this framework derives from accelerated energization rather than capacity payments. The dominance ratio is robust across the two scope scenarios because IX NPV scales with foregone compute revenue (a function of facility productivity, not commitment depth), while avoided capacity cost scales with commitment depth directly.</w:t>
      </w:r>
      <w:r w:rsidR="001A63E5">
        <w:rPr>
          <w:rFonts w:ascii="Times New Roman" w:hAnsi="Times New Roman" w:cs="Times New Roman"/>
          <w:bCs/>
        </w:rPr>
        <w:t xml:space="preserve"> </w:t>
      </w:r>
    </w:p>
    <w:p w14:paraId="228494D5" w14:textId="4ED0B2D2" w:rsidR="003E7288" w:rsidRPr="00257069" w:rsidRDefault="003E7288" w:rsidP="00F064BF">
      <w:pPr>
        <w:rPr>
          <w:rFonts w:ascii="Times New Roman" w:hAnsi="Times New Roman" w:cs="Times New Roman"/>
          <w:b/>
          <w:sz w:val="28"/>
          <w:szCs w:val="28"/>
        </w:rPr>
      </w:pPr>
      <w:r w:rsidRPr="00257069">
        <w:rPr>
          <w:rFonts w:ascii="Times New Roman" w:hAnsi="Times New Roman" w:cs="Times New Roman"/>
          <w:b/>
          <w:sz w:val="28"/>
          <w:szCs w:val="28"/>
        </w:rPr>
        <w:t>7. Discussion</w:t>
      </w:r>
    </w:p>
    <w:p w14:paraId="0F8BB86A" w14:textId="25079238"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Several limitations </w:t>
      </w:r>
      <w:proofErr w:type="gramStart"/>
      <w:r w:rsidRPr="001D6E1E">
        <w:rPr>
          <w:rFonts w:ascii="Times New Roman" w:hAnsi="Times New Roman" w:cs="Times New Roman"/>
          <w:bCs/>
        </w:rPr>
        <w:t>qualify</w:t>
      </w:r>
      <w:proofErr w:type="gramEnd"/>
      <w:r w:rsidRPr="001D6E1E">
        <w:rPr>
          <w:rFonts w:ascii="Times New Roman" w:hAnsi="Times New Roman" w:cs="Times New Roman"/>
          <w:bCs/>
        </w:rPr>
        <w:t xml:space="preserve"> these results. Most importantly, the parameters that dominate model uncertainty — destination compute absorption (</w:t>
      </w:r>
      <w:proofErr w:type="spellStart"/>
      <w:r w:rsidRPr="001D6E1E">
        <w:rPr>
          <w:rFonts w:ascii="Times New Roman" w:hAnsi="Times New Roman" w:cs="Times New Roman"/>
          <w:bCs/>
        </w:rPr>
        <w:t>DEST_absorb</w:t>
      </w:r>
      <w:proofErr w:type="spellEnd"/>
      <w:r w:rsidRPr="001D6E1E">
        <w:rPr>
          <w:rFonts w:ascii="Times New Roman" w:hAnsi="Times New Roman" w:cs="Times New Roman"/>
          <w:bCs/>
        </w:rPr>
        <w:t>), the unpinned fraction of migration eligibility (</w:t>
      </w:r>
      <w:proofErr w:type="spellStart"/>
      <w:r w:rsidRPr="001D6E1E">
        <w:rPr>
          <w:rFonts w:ascii="Times New Roman" w:hAnsi="Times New Roman" w:cs="Times New Roman"/>
          <w:bCs/>
        </w:rPr>
        <w:t>MIG_elig</w:t>
      </w:r>
      <w:proofErr w:type="spellEnd"/>
      <w:r w:rsidRPr="001D6E1E">
        <w:rPr>
          <w:rFonts w:ascii="Times New Roman" w:hAnsi="Times New Roman" w:cs="Times New Roman"/>
          <w:bCs/>
        </w:rPr>
        <w:t xml:space="preserve"> Component B), and post-stress queue absorption at fleet scale (QUEUE_</w:t>
      </w:r>
      <w:proofErr w:type="gramStart"/>
      <w:r w:rsidRPr="001D6E1E">
        <w:rPr>
          <w:rFonts w:ascii="Times New Roman" w:hAnsi="Times New Roman" w:cs="Times New Roman"/>
          <w:bCs/>
        </w:rPr>
        <w:t>OK) —</w:t>
      </w:r>
      <w:proofErr w:type="gramEnd"/>
      <w:r w:rsidRPr="001D6E1E">
        <w:rPr>
          <w:rFonts w:ascii="Times New Roman" w:hAnsi="Times New Roman" w:cs="Times New Roman"/>
          <w:bCs/>
        </w:rPr>
        <w:t xml:space="preserve"> are not directly observable in public data. The literature dispute on destination utilization rates is particularly material: credible estimates span a factor of two, from LBNL's 40% modeling assumption to the IEA's reported 90% for accelerated servers, with Zhou et al.'s empirical traces from seven AI-HPC centers placing the central value at 70–80% with low variance. We do not interpret the framework as providing a precise universal estimate of accreditable flexibility for AI data centers. The contribution of the cascade and conditional Monte Carlo is to show that, after the physical feasibility of cross-region migration and the operational feasibility of dispatch window compliance are established empirically (Sections 3 and 4), the remaining uncertainty is concentrated in a small set of operational and institutional choices. The framework therefore identifies where operator behavior, disclosure, or contractual commitments would have the highest impact on realized resource adequacy </w:t>
      </w:r>
      <w:proofErr w:type="gramStart"/>
      <w:r w:rsidRPr="001D6E1E">
        <w:rPr>
          <w:rFonts w:ascii="Times New Roman" w:hAnsi="Times New Roman" w:cs="Times New Roman"/>
          <w:bCs/>
        </w:rPr>
        <w:t>value, and</w:t>
      </w:r>
      <w:proofErr w:type="gramEnd"/>
      <w:r w:rsidRPr="001D6E1E">
        <w:rPr>
          <w:rFonts w:ascii="Times New Roman" w:hAnsi="Times New Roman" w:cs="Times New Roman"/>
          <w:bCs/>
        </w:rPr>
        <w:t xml:space="preserve"> bounds the consequences of those choices across a plausible parameter space.</w:t>
      </w:r>
      <w:r w:rsidR="00A1522D" w:rsidRPr="00A1522D">
        <w:t xml:space="preserve"> </w:t>
      </w:r>
      <w:r w:rsidR="00A1522D" w:rsidRPr="00A1522D">
        <w:rPr>
          <w:rFonts w:ascii="Times New Roman" w:hAnsi="Times New Roman" w:cs="Times New Roman"/>
          <w:bCs/>
        </w:rPr>
        <w:t>We additionally verified that the cascade math is source-invariant at single-facility scale by replicating the analysis with PJM Dominion as the source zone, yielding 40.2% mean commitment depth under inference-dominant scope versus 40.0% with ComEd as the source (see Extended Data).</w:t>
      </w:r>
    </w:p>
    <w:p w14:paraId="7E2E8150"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flexibility quantified here is a physical property of multi-region, multi-mechanism </w:t>
      </w:r>
      <w:proofErr w:type="gramStart"/>
      <w:r w:rsidRPr="001D6E1E">
        <w:rPr>
          <w:rFonts w:ascii="Times New Roman" w:hAnsi="Times New Roman" w:cs="Times New Roman"/>
          <w:bCs/>
        </w:rPr>
        <w:t>compute</w:t>
      </w:r>
      <w:proofErr w:type="gramEnd"/>
      <w:r w:rsidRPr="001D6E1E">
        <w:rPr>
          <w:rFonts w:ascii="Times New Roman" w:hAnsi="Times New Roman" w:cs="Times New Roman"/>
          <w:bCs/>
        </w:rPr>
        <w:t xml:space="preserve"> infrastructure: inference workloads can be geographically relocated, temporally deferred, and power-managed during stress events regardless of what drove the underlying capacity shortfall. The relevant counterfactual is not a grid without data centers but a grid with data centers treated as inflexible firm load — the current planning convention. Under that convention, every megawatt of data center load requires a corresponding megawatt of generation or storage procurement. If some fraction of that load is demonstrably flexible, failing to recognize it results in over-procurement of supply-side resources at ratepayer cost.</w:t>
      </w:r>
    </w:p>
    <w:p w14:paraId="5923CCDA"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nature of the concentrated uncertainty is decision-relevant rather than irreducible. </w:t>
      </w:r>
      <w:proofErr w:type="spellStart"/>
      <w:r w:rsidRPr="001D6E1E">
        <w:rPr>
          <w:rFonts w:ascii="Times New Roman" w:hAnsi="Times New Roman" w:cs="Times New Roman"/>
          <w:bCs/>
        </w:rPr>
        <w:t>DEST_absorb</w:t>
      </w:r>
      <w:proofErr w:type="spellEnd"/>
      <w:r w:rsidRPr="001D6E1E">
        <w:rPr>
          <w:rFonts w:ascii="Times New Roman" w:hAnsi="Times New Roman" w:cs="Times New Roman"/>
          <w:bCs/>
        </w:rPr>
        <w:t xml:space="preserve"> reflects how much GPU headroom operators choose to maintain at destination facilities, the compatibility of destination hardware with source workloads, and the aggressiveness of model weight pre-staging across geographically diverse facilities. Each of those is an investment or operational decision, not a physical constraint, and the literature dispute </w:t>
      </w:r>
      <w:r w:rsidRPr="001D6E1E">
        <w:rPr>
          <w:rFonts w:ascii="Times New Roman" w:hAnsi="Times New Roman" w:cs="Times New Roman"/>
          <w:bCs/>
        </w:rPr>
        <w:lastRenderedPageBreak/>
        <w:t xml:space="preserve">on destination utilization rates is itself evidence that the parameter is operationally tunable rather than empirically determined. </w:t>
      </w:r>
      <w:proofErr w:type="spellStart"/>
      <w:r w:rsidRPr="001D6E1E">
        <w:rPr>
          <w:rFonts w:ascii="Times New Roman" w:hAnsi="Times New Roman" w:cs="Times New Roman"/>
          <w:bCs/>
        </w:rPr>
        <w:t>MIG_elig</w:t>
      </w:r>
      <w:proofErr w:type="spellEnd"/>
      <w:r w:rsidRPr="001D6E1E">
        <w:rPr>
          <w:rFonts w:ascii="Times New Roman" w:hAnsi="Times New Roman" w:cs="Times New Roman"/>
          <w:bCs/>
        </w:rPr>
        <w:t xml:space="preserve"> Component B reflects the prevalence of contractual workload pinning, an entirely commercial and organizational property that standardized DR-participation contract language could measurably tighten. QUEUE_OK reflects whether multiple facilities defer into the same recovery window in coordinated or uncoordinated fashion; aggregator-level visibility into post-stress fleet behavior — analogous to demand response aggregation in existing capacity markets — would directly reduce the saturation behavior at fleet scale. The gap between the physical potential for composed flexibility and realized commitment depth is therefore governed by institutional choices including disclosure requirements, contractual standardization, and coordination mechanisms, rather than by the physics of </w:t>
      </w:r>
      <w:proofErr w:type="gramStart"/>
      <w:r w:rsidRPr="001D6E1E">
        <w:rPr>
          <w:rFonts w:ascii="Times New Roman" w:hAnsi="Times New Roman" w:cs="Times New Roman"/>
          <w:bCs/>
        </w:rPr>
        <w:t>compute</w:t>
      </w:r>
      <w:proofErr w:type="gramEnd"/>
      <w:r w:rsidRPr="001D6E1E">
        <w:rPr>
          <w:rFonts w:ascii="Times New Roman" w:hAnsi="Times New Roman" w:cs="Times New Roman"/>
          <w:bCs/>
        </w:rPr>
        <w:t xml:space="preserve"> migration, deferral, or power management itself.</w:t>
      </w:r>
    </w:p>
    <w:p w14:paraId="4D76AB86" w14:textId="6623AB4C"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Each of the dominant parameters corresponds to a concrete policy or investment lever. The two-dimensional sensitivity surface (Fig. 3a) shows that mean commitment depth at 10 GW under the inference-dominant scope ranges from </w:t>
      </w:r>
      <w:r w:rsidR="001930CA">
        <w:rPr>
          <w:rFonts w:ascii="Times New Roman" w:hAnsi="Times New Roman" w:cs="Times New Roman"/>
          <w:bCs/>
        </w:rPr>
        <w:t>32.5%</w:t>
      </w:r>
      <w:r w:rsidRPr="001D6E1E">
        <w:rPr>
          <w:rFonts w:ascii="Times New Roman" w:hAnsi="Times New Roman" w:cs="Times New Roman"/>
          <w:bCs/>
        </w:rPr>
        <w:t xml:space="preserve"> to </w:t>
      </w:r>
      <w:r w:rsidR="001930CA">
        <w:rPr>
          <w:rFonts w:ascii="Times New Roman" w:hAnsi="Times New Roman" w:cs="Times New Roman"/>
          <w:bCs/>
        </w:rPr>
        <w:t>40.0%</w:t>
      </w:r>
      <w:r w:rsidRPr="001D6E1E">
        <w:rPr>
          <w:rFonts w:ascii="Times New Roman" w:hAnsi="Times New Roman" w:cs="Times New Roman"/>
          <w:bCs/>
        </w:rPr>
        <w:t xml:space="preserve"> across the plausible ranges of </w:t>
      </w:r>
      <w:proofErr w:type="spellStart"/>
      <w:r w:rsidRPr="001D6E1E">
        <w:rPr>
          <w:rFonts w:ascii="Times New Roman" w:hAnsi="Times New Roman" w:cs="Times New Roman"/>
          <w:bCs/>
        </w:rPr>
        <w:t>DEST_absorb</w:t>
      </w:r>
      <w:proofErr w:type="spellEnd"/>
      <w:r w:rsidRPr="001D6E1E">
        <w:rPr>
          <w:rFonts w:ascii="Times New Roman" w:hAnsi="Times New Roman" w:cs="Times New Roman"/>
          <w:bCs/>
        </w:rPr>
        <w:t xml:space="preserve"> and QUEUE_OK. The tornado chart (Fig. 3b) confirms that </w:t>
      </w:r>
      <w:proofErr w:type="spellStart"/>
      <w:r w:rsidRPr="001D6E1E">
        <w:rPr>
          <w:rFonts w:ascii="Times New Roman" w:hAnsi="Times New Roman" w:cs="Times New Roman"/>
          <w:bCs/>
        </w:rPr>
        <w:t>DEST_absorb</w:t>
      </w:r>
      <w:proofErr w:type="spellEnd"/>
      <w:r w:rsidRPr="001D6E1E">
        <w:rPr>
          <w:rFonts w:ascii="Times New Roman" w:hAnsi="Times New Roman" w:cs="Times New Roman"/>
          <w:bCs/>
        </w:rPr>
        <w:t xml:space="preserve">, QUEUE_OK, and </w:t>
      </w:r>
      <w:proofErr w:type="spellStart"/>
      <w:r w:rsidRPr="001D6E1E">
        <w:rPr>
          <w:rFonts w:ascii="Times New Roman" w:hAnsi="Times New Roman" w:cs="Times New Roman"/>
          <w:bCs/>
        </w:rPr>
        <w:t>MIG_elig</w:t>
      </w:r>
      <w:proofErr w:type="spellEnd"/>
      <w:r w:rsidRPr="001D6E1E">
        <w:rPr>
          <w:rFonts w:ascii="Times New Roman" w:hAnsi="Times New Roman" w:cs="Times New Roman"/>
          <w:bCs/>
        </w:rPr>
        <w:t xml:space="preserve"> together account for the dominant share of fleet-scale sensitivity, while parameters with tight empirical anchoring (</w:t>
      </w:r>
      <w:proofErr w:type="spellStart"/>
      <w:r w:rsidRPr="001D6E1E">
        <w:rPr>
          <w:rFonts w:ascii="Times New Roman" w:hAnsi="Times New Roman" w:cs="Times New Roman"/>
          <w:bCs/>
        </w:rPr>
        <w:t>DRAIN_ok</w:t>
      </w:r>
      <w:proofErr w:type="spellEnd"/>
      <w:r w:rsidRPr="001D6E1E">
        <w:rPr>
          <w:rFonts w:ascii="Times New Roman" w:hAnsi="Times New Roman" w:cs="Times New Roman"/>
          <w:bCs/>
        </w:rPr>
        <w:t xml:space="preserve">, </w:t>
      </w:r>
      <w:proofErr w:type="spellStart"/>
      <w:r w:rsidRPr="001D6E1E">
        <w:rPr>
          <w:rFonts w:ascii="Times New Roman" w:hAnsi="Times New Roman" w:cs="Times New Roman"/>
          <w:bCs/>
        </w:rPr>
        <w:t>DEST_avail</w:t>
      </w:r>
      <w:proofErr w:type="spellEnd"/>
      <w:r w:rsidRPr="001D6E1E">
        <w:rPr>
          <w:rFonts w:ascii="Times New Roman" w:hAnsi="Times New Roman" w:cs="Times New Roman"/>
          <w:bCs/>
        </w:rPr>
        <w:t xml:space="preserve">, NET_OK) show near-zero sensitivity. Source-side parameters that vary widely across the framework's ensembles do not change fleet-scale outcomes materially because the fleet is destination-constrained for spatial migration and queue-constrained for deferral. Of the dominant parameters, </w:t>
      </w:r>
      <w:proofErr w:type="spellStart"/>
      <w:r w:rsidRPr="001D6E1E">
        <w:rPr>
          <w:rFonts w:ascii="Times New Roman" w:hAnsi="Times New Roman" w:cs="Times New Roman"/>
          <w:bCs/>
        </w:rPr>
        <w:t>DEST_absorb</w:t>
      </w:r>
      <w:proofErr w:type="spellEnd"/>
      <w:r w:rsidRPr="001D6E1E">
        <w:rPr>
          <w:rFonts w:ascii="Times New Roman" w:hAnsi="Times New Roman" w:cs="Times New Roman"/>
          <w:bCs/>
        </w:rPr>
        <w:t xml:space="preserve"> is the most directly actionable: it requires no change in hardware or workload composition, only operational investment in destination headroom maintenance, hardware compatibility planning, and model weight pre-staging across geographically diverse facilities. The IEA 2025 </w:t>
      </w:r>
      <w:r w:rsidRPr="001D6E1E">
        <w:rPr>
          <w:rFonts w:ascii="Times New Roman" w:hAnsi="Times New Roman" w:cs="Times New Roman"/>
          <w:bCs/>
          <w:i/>
          <w:iCs/>
        </w:rPr>
        <w:t>Energy and AI</w:t>
      </w:r>
      <w:r w:rsidRPr="001D6E1E">
        <w:rPr>
          <w:rFonts w:ascii="Times New Roman" w:hAnsi="Times New Roman" w:cs="Times New Roman"/>
          <w:bCs/>
        </w:rPr>
        <w:t xml:space="preserve"> report and Knittel et al.'s capacity-expansion modeling each independently identify these institutional levers as the binding constraint on realized data-center flexibility value, arrived at through methodologies entirely distinct from the bottom-up cascade decomposition developed here. The convergence of methodology-independent analyses on the same conclusion strengthens the policy case beyond what any single analytic approach would justify.</w:t>
      </w:r>
    </w:p>
    <w:p w14:paraId="5C9F15D6" w14:textId="603004AD"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scale dependence identified in Section 5 implies that accreditation frameworks should distinguish between individual facility commitments and fleet-level resource contributions, and between the three mechanisms within the composed-flexibility portfolio. Aggregation of spatial-migration commitments across multiple operators, analogous to demand response aggregation in existing capacity markets, could allocate destination headroom more efficiently than uncoordinated facility-level decisions. Aggregation of deferral commitments could prevent post-stress queue saturation by coordinating recovery-window utilization. DVFS commitments require no inter-facility coordination because they operate within a single facility, and their accreditation can be set at the facility level without regard to fleet composition. Zhang et al.'s virtual-link framework provides a formal basis for incorporating spatially flexible loads into market clearing, though its application to reliability-committed resources under the destination </w:t>
      </w:r>
      <w:r w:rsidRPr="001D6E1E">
        <w:rPr>
          <w:rFonts w:ascii="Times New Roman" w:hAnsi="Times New Roman" w:cs="Times New Roman"/>
          <w:bCs/>
        </w:rPr>
        <w:lastRenderedPageBreak/>
        <w:t xml:space="preserve">contention conditions identified here remains unexplored. </w:t>
      </w:r>
      <w:r w:rsidR="0092661B" w:rsidRPr="0092661B">
        <w:rPr>
          <w:rFonts w:ascii="Times New Roman" w:hAnsi="Times New Roman" w:cs="Times New Roman"/>
          <w:bCs/>
        </w:rPr>
        <w:t>The development of such mechanisms is a precondition for fleet-level composed flexibility to deliver commitment depths in tail scenarios consistent with single-facility scale</w:t>
      </w:r>
      <w:r w:rsidRPr="001D6E1E">
        <w:rPr>
          <w:rFonts w:ascii="Times New Roman" w:hAnsi="Times New Roman" w:cs="Times New Roman"/>
          <w:bCs/>
        </w:rPr>
        <w:t xml:space="preserve">. </w:t>
      </w:r>
      <w:r w:rsidR="0092661B" w:rsidRPr="0092661B">
        <w:rPr>
          <w:rFonts w:ascii="Times New Roman" w:hAnsi="Times New Roman" w:cs="Times New Roman"/>
          <w:bCs/>
        </w:rPr>
        <w:t>The conditional Monte Carlo developed here provides a quantitative basis for evaluating how parameter improvements — driven by coordination, disclosure, or contractual standardization — would translate to accredited capacity.</w:t>
      </w:r>
    </w:p>
    <w:p w14:paraId="5E158AA2"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Top-down capacity-expansion modeling (Knittel et al. 2025) has shown that data-center temporal flexibility reduces system costs across all three regions hosting 82% of </w:t>
      </w:r>
      <w:proofErr w:type="gramStart"/>
      <w:r w:rsidRPr="001D6E1E">
        <w:rPr>
          <w:rFonts w:ascii="Times New Roman" w:hAnsi="Times New Roman" w:cs="Times New Roman"/>
          <w:bCs/>
        </w:rPr>
        <w:t>projected 2030</w:t>
      </w:r>
      <w:proofErr w:type="gramEnd"/>
      <w:r w:rsidRPr="001D6E1E">
        <w:rPr>
          <w:rFonts w:ascii="Times New Roman" w:hAnsi="Times New Roman" w:cs="Times New Roman"/>
          <w:bCs/>
        </w:rPr>
        <w:t xml:space="preserve"> data-center demand, with </w:t>
      </w:r>
      <w:proofErr w:type="gramStart"/>
      <w:r w:rsidRPr="001D6E1E">
        <w:rPr>
          <w:rFonts w:ascii="Times New Roman" w:hAnsi="Times New Roman" w:cs="Times New Roman"/>
          <w:bCs/>
        </w:rPr>
        <w:t>emissions effects</w:t>
      </w:r>
      <w:proofErr w:type="gramEnd"/>
      <w:r w:rsidRPr="001D6E1E">
        <w:rPr>
          <w:rFonts w:ascii="Times New Roman" w:hAnsi="Times New Roman" w:cs="Times New Roman"/>
          <w:bCs/>
        </w:rPr>
        <w:t xml:space="preserve"> conditional on grid mix. Those models parameterize "share of flexible workload" as an exogenous sweep over a 1-to-100% range; the cascade decomposition developed here provides the endogenous bottom-up determination, anchoring which level of flexibility is physically and operationally defensible given empirical production inference workloads. Parallel work by Zhou et al. (2024) quantifies the single-facility cost of providing grid ancillary services from AI-focused HPC data centers at approximately half the cost incurred by CPU-heavy general-purpose </w:t>
      </w:r>
      <w:proofErr w:type="gramStart"/>
      <w:r w:rsidRPr="001D6E1E">
        <w:rPr>
          <w:rFonts w:ascii="Times New Roman" w:hAnsi="Times New Roman" w:cs="Times New Roman"/>
          <w:bCs/>
        </w:rPr>
        <w:t>HPC, and</w:t>
      </w:r>
      <w:proofErr w:type="gramEnd"/>
      <w:r w:rsidRPr="001D6E1E">
        <w:rPr>
          <w:rFonts w:ascii="Times New Roman" w:hAnsi="Times New Roman" w:cs="Times New Roman"/>
          <w:bCs/>
        </w:rPr>
        <w:t xml:space="preserve"> notes spatial flexibility as a future-work direction. The framework developed here addresses that direction explicitly through the spatial mini-cascade and provides the cross-region empirical backbone (Section 3) that single-facility ancillary-service models cannot.</w:t>
      </w:r>
    </w:p>
    <w:p w14:paraId="7B744529"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Production precedent for AI-inference-specific demand response is not hypothetical. Google's 2025 agreements with the Tennessee Valley Authority and Indiana Michigan Power target machine-learning workloads explicitly and follow a demonstration with Omaha Public Power District in which Google reduced the power demand associated with ML workloads during three grid stress events. Google's own published framing of this program acknowledges both the potential — load flexibility as part of the strategy to serve AI-driven load — and the constraint that bounds the framework's commitment depth: high levels of reliability are critical for services like Search and Maps, as well as Cloud customers in essential industries. The framework decomposes those limits into their constituent mechanisms and conditions and expresses the result in capacity-accreditation terms. The IEA's 2025 estimate of approximately USD 700 per megawatt-hour of energy shifted as the cost of overbuilding data-center capacity for flexibility provision is consistent with historical scarcity-pricing events in ERCOT but prohibitive for daily arbitrage. This economic frame clarifies what the cascade's decomposition implies for mechanism design: composed flexibility has capacity-adequacy value at the hours when capacity is scarce, not energy-market value at the hours when energy is cheap, and policy frameworks should target the former.</w:t>
      </w:r>
    </w:p>
    <w:p w14:paraId="368E2DB5"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system-level calculations apply PJM's 92% ELCC for demand response, but the conditional Monte Carlo tail profile indicates that a full sequential Monte Carlo reliability determination would likely yield a different accreditation value. The workload validation draws from two production datasets totaling 49.4 million requests across 128 days of observation; while the consistency of drain-time results across both datasets provides partial cross-validation, </w:t>
      </w:r>
      <w:r w:rsidRPr="001D6E1E">
        <w:rPr>
          <w:rFonts w:ascii="Times New Roman" w:hAnsi="Times New Roman" w:cs="Times New Roman"/>
          <w:bCs/>
        </w:rPr>
        <w:lastRenderedPageBreak/>
        <w:t>generalization to other providers, model architectures, and deployment configurations remains an open empirical question.</w:t>
      </w:r>
    </w:p>
    <w:p w14:paraId="077C3D51" w14:textId="77777777" w:rsidR="001D6E1E" w:rsidRPr="001D6E1E" w:rsidRDefault="001D6E1E" w:rsidP="001D6E1E">
      <w:pPr>
        <w:rPr>
          <w:rFonts w:ascii="Times New Roman" w:hAnsi="Times New Roman" w:cs="Times New Roman"/>
          <w:bCs/>
        </w:rPr>
      </w:pPr>
      <w:r w:rsidRPr="001D6E1E">
        <w:rPr>
          <w:rFonts w:ascii="Times New Roman" w:hAnsi="Times New Roman" w:cs="Times New Roman"/>
          <w:bCs/>
        </w:rPr>
        <w:t xml:space="preserve">The framework proposed here reallocates reliability risk. Under current practice, the grid operator bears the full obligation to procure capacity to serve data center load at nameplate rating, and procurement costs are allocated to retail ratepayers. Under this framework, the data center operator assumes responsibility for managing a portion of its own power availability during system emergencies through a portfolio of three composable mechanisms. The cross-region decorrelation of grid stress demonstrated in Section 3 is a physical property of the North American transmission system, the within-facility power management precedent is established at three independent </w:t>
      </w:r>
      <w:proofErr w:type="spellStart"/>
      <w:r w:rsidRPr="001D6E1E">
        <w:rPr>
          <w:rFonts w:ascii="Times New Roman" w:hAnsi="Times New Roman" w:cs="Times New Roman"/>
          <w:bCs/>
        </w:rPr>
        <w:t>hyperscalers</w:t>
      </w:r>
      <w:proofErr w:type="spellEnd"/>
      <w:r w:rsidRPr="001D6E1E">
        <w:rPr>
          <w:rFonts w:ascii="Times New Roman" w:hAnsi="Times New Roman" w:cs="Times New Roman"/>
          <w:bCs/>
        </w:rPr>
        <w:t>, and major data center operators have already constructed the multi-region infrastructure that would activate the spatial mechanism. What remains is institutional mechanism design: flexible interconnection frameworks for facilities in the interconnection queue and accredited demand response participation for operating facilities, mutually exclusive and sequenced by grid position. The U.S. Department of Energy has explicitly called for the development of a flexibility taxonomy and framework to guide implementation; the framework developed here responds to that call. Direct empirical measurement of the parameters that dominate framework uncertainty would sharpen quantitative predictions, but the institutional gap is the binding constraint on realized value.</w:t>
      </w:r>
    </w:p>
    <w:p w14:paraId="0A8B5B7A" w14:textId="61017253" w:rsidR="000D5784" w:rsidRDefault="000D5784" w:rsidP="00F064BF">
      <w:pPr>
        <w:rPr>
          <w:rFonts w:ascii="Times New Roman" w:hAnsi="Times New Roman" w:cs="Times New Roman"/>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4808"/>
      </w:tblGrid>
      <w:tr w:rsidR="00EF5D4F" w14:paraId="6A366D34" w14:textId="77777777" w:rsidTr="00036805">
        <w:tc>
          <w:tcPr>
            <w:tcW w:w="4675" w:type="dxa"/>
          </w:tcPr>
          <w:p w14:paraId="077F1A0F" w14:textId="5D966CE0" w:rsidR="00C8753F" w:rsidRDefault="00EF5D4F" w:rsidP="00EF5D4F">
            <w:pPr>
              <w:keepNext/>
            </w:pPr>
            <w:r>
              <w:rPr>
                <w:noProof/>
              </w:rPr>
              <w:drawing>
                <wp:inline distT="0" distB="0" distL="0" distR="0" wp14:anchorId="6EDBAE1B" wp14:editId="1A376A1F">
                  <wp:extent cx="2842546" cy="2149523"/>
                  <wp:effectExtent l="0" t="0" r="0" b="3175"/>
                  <wp:docPr id="51127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2131" name="Picture 5112721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4431" cy="2181196"/>
                          </a:xfrm>
                          <a:prstGeom prst="rect">
                            <a:avLst/>
                          </a:prstGeom>
                        </pic:spPr>
                      </pic:pic>
                    </a:graphicData>
                  </a:graphic>
                </wp:inline>
              </w:drawing>
            </w:r>
          </w:p>
          <w:p w14:paraId="32175976" w14:textId="77777777" w:rsidR="00C8753F" w:rsidRDefault="00C8753F" w:rsidP="00036805">
            <w:pPr>
              <w:pStyle w:val="Caption"/>
              <w:rPr>
                <w:rFonts w:ascii="Times New Roman" w:hAnsi="Times New Roman" w:cs="Times New Roman"/>
                <w:bCs/>
              </w:rPr>
            </w:pPr>
            <w:r w:rsidRPr="00886523">
              <w:rPr>
                <w:highlight w:val="yellow"/>
              </w:rPr>
              <w:t>Fig. 3a. Two-dimensional sensitivity surface: mean fleet commitment depth at 10 GW across the D2 (utilization headroom) × D5 (pre-staging readiness) parameter space, with D3 and D4 held at central values. Crosshairs mark central values (D2 = 0.33, D5 = 0.65). Depth ranges from 21.6% to 34.1%.</w:t>
            </w:r>
          </w:p>
        </w:tc>
        <w:tc>
          <w:tcPr>
            <w:tcW w:w="4675" w:type="dxa"/>
          </w:tcPr>
          <w:p w14:paraId="44CFDD8E" w14:textId="45763698" w:rsidR="00C8753F" w:rsidRDefault="00EF5D4F" w:rsidP="00036805">
            <w:pPr>
              <w:keepNext/>
            </w:pPr>
            <w:r>
              <w:rPr>
                <w:noProof/>
              </w:rPr>
              <w:drawing>
                <wp:inline distT="0" distB="0" distL="0" distR="0" wp14:anchorId="63193FF5" wp14:editId="7DBB6C51">
                  <wp:extent cx="3002507" cy="2093415"/>
                  <wp:effectExtent l="0" t="0" r="7620" b="2540"/>
                  <wp:docPr id="194047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5014" name="Picture 19404750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2248" cy="2107179"/>
                          </a:xfrm>
                          <a:prstGeom prst="rect">
                            <a:avLst/>
                          </a:prstGeom>
                        </pic:spPr>
                      </pic:pic>
                    </a:graphicData>
                  </a:graphic>
                </wp:inline>
              </w:drawing>
            </w:r>
          </w:p>
          <w:p w14:paraId="75737AAE" w14:textId="77777777" w:rsidR="00C8753F" w:rsidRDefault="00C8753F" w:rsidP="00036805">
            <w:pPr>
              <w:pStyle w:val="Caption"/>
              <w:rPr>
                <w:rFonts w:ascii="Times New Roman" w:hAnsi="Times New Roman" w:cs="Times New Roman"/>
                <w:bCs/>
              </w:rPr>
            </w:pPr>
            <w:r w:rsidRPr="00886523">
              <w:rPr>
                <w:highlight w:val="yellow"/>
              </w:rPr>
              <w:t>Fig. 3b. Tornado chart: one-at-a-time parameter sensitivity at 10 GW fleet scale. D2, D4, and D5 together account for the full sensitivity range. Source-side parameters (S2, S3) show zero sensitivity at fleet scale because the fleet is entirely destination-constrained.</w:t>
            </w:r>
          </w:p>
        </w:tc>
      </w:tr>
    </w:tbl>
    <w:p w14:paraId="24E88690" w14:textId="77777777" w:rsidR="00C8753F" w:rsidRDefault="00C8753F" w:rsidP="00F064BF">
      <w:pPr>
        <w:rPr>
          <w:rFonts w:ascii="Times New Roman" w:hAnsi="Times New Roman" w:cs="Times New Roman"/>
          <w:bCs/>
        </w:rPr>
      </w:pPr>
    </w:p>
    <w:p w14:paraId="3305255B" w14:textId="6E292AE8" w:rsidR="002922E6" w:rsidRPr="00257069" w:rsidRDefault="002922E6" w:rsidP="00F064BF">
      <w:pPr>
        <w:rPr>
          <w:rFonts w:ascii="Times New Roman" w:hAnsi="Times New Roman" w:cs="Times New Roman"/>
          <w:bCs/>
        </w:rPr>
      </w:pPr>
      <w:r w:rsidRPr="00257069">
        <w:rPr>
          <w:rFonts w:ascii="Times New Roman" w:hAnsi="Times New Roman" w:cs="Times New Roman"/>
          <w:b/>
          <w:sz w:val="32"/>
          <w:szCs w:val="32"/>
        </w:rPr>
        <w:t>Methods</w:t>
      </w:r>
    </w:p>
    <w:p w14:paraId="6424AA63" w14:textId="77777777" w:rsidR="001D6E1E" w:rsidRPr="001D6E1E" w:rsidRDefault="001D6E1E" w:rsidP="001D6E1E">
      <w:pPr>
        <w:spacing w:before="240" w:after="180"/>
        <w:rPr>
          <w:rFonts w:ascii="Times New Roman" w:eastAsia="Calibri" w:hAnsi="Times New Roman" w:cs="Times New Roman"/>
          <w:b/>
          <w:bCs/>
        </w:rPr>
      </w:pPr>
      <w:r w:rsidRPr="001D6E1E">
        <w:rPr>
          <w:rFonts w:ascii="Times New Roman" w:eastAsia="Calibri" w:hAnsi="Times New Roman" w:cs="Times New Roman"/>
          <w:b/>
          <w:bCs/>
        </w:rPr>
        <w:t>Framework structure</w:t>
      </w:r>
    </w:p>
    <w:p w14:paraId="6DA98283" w14:textId="77777777" w:rsidR="001D6E1E" w:rsidRPr="001D6E1E" w:rsidRDefault="001D6E1E" w:rsidP="001D6E1E">
      <w:pPr>
        <w:spacing w:before="240" w:after="180"/>
        <w:rPr>
          <w:rFonts w:ascii="Times New Roman" w:eastAsia="Calibri" w:hAnsi="Times New Roman" w:cs="Times New Roman"/>
        </w:rPr>
      </w:pPr>
      <w:r w:rsidRPr="001D6E1E">
        <w:rPr>
          <w:rFonts w:ascii="Times New Roman" w:eastAsia="Calibri" w:hAnsi="Times New Roman" w:cs="Times New Roman"/>
        </w:rPr>
        <w:lastRenderedPageBreak/>
        <w:t xml:space="preserve">The framework decomposes accreditable system slack — the fraction of nameplate inference load that is simultaneously flexible, operationally committable, and capacity-accreditable during a grid dispatch event — into three composable mechanisms operating on distinct operational axes: spatial migration across balancing authorities, temporal deferral of non-interactive workloads, and dynamic voltage-frequency scaling on residual compute. Each mechanism is decomposed into a small mini-cascade of </w:t>
      </w:r>
      <w:proofErr w:type="gramStart"/>
      <w:r w:rsidRPr="001D6E1E">
        <w:rPr>
          <w:rFonts w:ascii="Times New Roman" w:eastAsia="Calibri" w:hAnsi="Times New Roman" w:cs="Times New Roman"/>
        </w:rPr>
        <w:t>multiplicatively-composed</w:t>
      </w:r>
      <w:proofErr w:type="gramEnd"/>
      <w:r w:rsidRPr="001D6E1E">
        <w:rPr>
          <w:rFonts w:ascii="Times New Roman" w:eastAsia="Calibri" w:hAnsi="Times New Roman" w:cs="Times New Roman"/>
        </w:rPr>
        <w:t xml:space="preserve"> parameters representing the conditions that must hold for one MW of that mechanism's contribution to realize during a dispatch event. The three mini-cascades compose additively at the megawatt layer with sequential ordering — spatial first, deferral on residual after spatial, DVFS on residual after both — and an explicit overlap correction reflecting that DVFS at the source partially substitutes for deferral when work returns post-event.</w:t>
      </w:r>
    </w:p>
    <w:p w14:paraId="1B00C0AC" w14:textId="77777777" w:rsidR="001D6E1E" w:rsidRPr="001D6E1E" w:rsidRDefault="001D6E1E" w:rsidP="001D6E1E">
      <w:pPr>
        <w:spacing w:before="240" w:after="180"/>
        <w:rPr>
          <w:rFonts w:ascii="Times New Roman" w:eastAsia="Calibri" w:hAnsi="Times New Roman" w:cs="Times New Roman"/>
        </w:rPr>
      </w:pPr>
      <w:r w:rsidRPr="001D6E1E">
        <w:rPr>
          <w:rFonts w:ascii="Times New Roman" w:eastAsia="Calibri" w:hAnsi="Times New Roman" w:cs="Times New Roman"/>
        </w:rPr>
        <w:t>The framework is reported under two scope scenarios reflecting the bi-modal heterogeneity of the projected 2030 data-center fleet: a mixed-use facility (</w:t>
      </w:r>
      <w:proofErr w:type="spellStart"/>
      <w:r w:rsidRPr="001D6E1E">
        <w:rPr>
          <w:rFonts w:ascii="Times New Roman" w:eastAsia="Calibri" w:hAnsi="Times New Roman" w:cs="Times New Roman"/>
        </w:rPr>
        <w:t>φ_</w:t>
      </w:r>
      <w:proofErr w:type="gramStart"/>
      <w:r w:rsidRPr="001D6E1E">
        <w:rPr>
          <w:rFonts w:ascii="Times New Roman" w:eastAsia="Calibri" w:hAnsi="Times New Roman" w:cs="Times New Roman"/>
        </w:rPr>
        <w:t>inf,mixed</w:t>
      </w:r>
      <w:proofErr w:type="spellEnd"/>
      <w:proofErr w:type="gramEnd"/>
      <w:r w:rsidRPr="001D6E1E">
        <w:rPr>
          <w:rFonts w:ascii="Times New Roman" w:eastAsia="Calibri" w:hAnsi="Times New Roman" w:cs="Times New Roman"/>
        </w:rPr>
        <w:t xml:space="preserve"> = 0.43, McKinsey December 2025) and an inference-dominant facility (</w:t>
      </w:r>
      <w:proofErr w:type="spellStart"/>
      <w:r w:rsidRPr="001D6E1E">
        <w:rPr>
          <w:rFonts w:ascii="Times New Roman" w:eastAsia="Calibri" w:hAnsi="Times New Roman" w:cs="Times New Roman"/>
        </w:rPr>
        <w:t>φ_</w:t>
      </w:r>
      <w:proofErr w:type="gramStart"/>
      <w:r w:rsidRPr="001D6E1E">
        <w:rPr>
          <w:rFonts w:ascii="Times New Roman" w:eastAsia="Calibri" w:hAnsi="Times New Roman" w:cs="Times New Roman"/>
        </w:rPr>
        <w:t>inf,dominant</w:t>
      </w:r>
      <w:proofErr w:type="spellEnd"/>
      <w:proofErr w:type="gramEnd"/>
      <w:r w:rsidRPr="001D6E1E">
        <w:rPr>
          <w:rFonts w:ascii="Times New Roman" w:eastAsia="Calibri" w:hAnsi="Times New Roman" w:cs="Times New Roman"/>
        </w:rPr>
        <w:t xml:space="preserve"> = 0.70, scenario construction anchored in IEA 2025 and Zhou et al. 2024). The two scopes are reported in parallel rather than as alternatives. Detailed parameter specifications, grounding categories, and composition logic are reported in the Technical Appendix.</w:t>
      </w:r>
    </w:p>
    <w:p w14:paraId="1104B6D9" w14:textId="77777777" w:rsidR="001D6E1E" w:rsidRPr="001D6E1E" w:rsidRDefault="001D6E1E" w:rsidP="00877A4C">
      <w:pPr>
        <w:spacing w:before="240" w:after="180"/>
        <w:rPr>
          <w:rFonts w:ascii="Times New Roman" w:eastAsia="Calibri" w:hAnsi="Times New Roman" w:cs="Times New Roman"/>
        </w:rPr>
      </w:pPr>
    </w:p>
    <w:p w14:paraId="5689EB7D" w14:textId="7FEB3120" w:rsidR="00877A4C" w:rsidRPr="00190400" w:rsidRDefault="001D6E1E" w:rsidP="00877A4C">
      <w:pPr>
        <w:spacing w:before="240" w:after="180"/>
        <w:rPr>
          <w:rFonts w:ascii="Times New Roman" w:hAnsi="Times New Roman" w:cs="Times New Roman"/>
        </w:rPr>
      </w:pPr>
      <w:r>
        <w:rPr>
          <w:rFonts w:ascii="Times New Roman" w:eastAsia="Calibri" w:hAnsi="Times New Roman" w:cs="Times New Roman"/>
          <w:b/>
          <w:bCs/>
        </w:rPr>
        <w:t>P</w:t>
      </w:r>
      <w:r w:rsidR="00877A4C" w:rsidRPr="00190400">
        <w:rPr>
          <w:rFonts w:ascii="Times New Roman" w:eastAsia="Calibri" w:hAnsi="Times New Roman" w:cs="Times New Roman"/>
          <w:b/>
          <w:bCs/>
        </w:rPr>
        <w:t>arameter specifications.</w:t>
      </w:r>
    </w:p>
    <w:p w14:paraId="6D9E3A1C" w14:textId="77777777" w:rsidR="00877A4C" w:rsidRDefault="001D6E1E" w:rsidP="00877A4C">
      <w:pPr>
        <w:spacing w:before="120" w:after="120" w:line="300" w:lineRule="auto"/>
        <w:rPr>
          <w:rFonts w:ascii="Times New Roman" w:eastAsia="Calibri" w:hAnsi="Times New Roman" w:cs="Times New Roman"/>
        </w:rPr>
      </w:pPr>
      <w:r w:rsidRPr="001D6E1E">
        <w:rPr>
          <w:rFonts w:ascii="Times New Roman" w:eastAsia="Calibri" w:hAnsi="Times New Roman" w:cs="Times New Roman"/>
        </w:rPr>
        <w:t>Specifications for all eleven framework parameters are reported in Table M1. Parameters are organized into four groups: scope scalar (1 parameter), spatial mini-cascade (6 parameters), deferral mini-cascade (3 parameters), and DVFS mini-cascade (2 parameters)</w:t>
      </w:r>
      <w:r w:rsidR="00877A4C" w:rsidRPr="00190400">
        <w:rPr>
          <w:rFonts w:ascii="Times New Roman" w:eastAsia="Calibri" w:hAnsi="Times New Roman" w:cs="Times New Roman"/>
        </w:rPr>
        <w:t>.</w:t>
      </w:r>
    </w:p>
    <w:p w14:paraId="6A282AF9" w14:textId="647CB737" w:rsidR="00923425" w:rsidRPr="00923425" w:rsidRDefault="00F407A0" w:rsidP="00923425">
      <w:r w:rsidRPr="00F407A0">
        <w:rPr>
          <w:rFonts w:ascii="Times New Roman" w:hAnsi="Times New Roman" w:cs="Times New Roman"/>
          <w:bCs/>
        </w:rPr>
        <w:t xml:space="preserve">The framework's eleven parameters are graded by the strength of empirical grounding underlying their central values and ranges. </w:t>
      </w:r>
      <w:r w:rsidR="00923425" w:rsidRPr="00923425">
        <w:rPr>
          <w:rFonts w:ascii="Times New Roman" w:hAnsi="Times New Roman" w:cs="Times New Roman"/>
          <w:bCs/>
        </w:rPr>
        <w:t xml:space="preserve">The decomposition makes the framework's logic explicit. Each parameter carries a grounding category. DATA-grounded parameters are directly measured from publicly available production traces, the author's own analyses, or peer-reviewed field demonstrations: the destination decorrelation finding from 35,060 hours of day-ahead pricing across five U.S. grid regions (Section 3), the drain-time finding from 49.4 million production inference requests (Section 4), the peak-power-reduction anchor from Colangelo's field demonstration. ESTIMATED-MODERATE parameters are </w:t>
      </w:r>
      <w:proofErr w:type="gramStart"/>
      <w:r w:rsidR="00923425" w:rsidRPr="00923425">
        <w:rPr>
          <w:rFonts w:ascii="Times New Roman" w:hAnsi="Times New Roman" w:cs="Times New Roman"/>
          <w:bCs/>
        </w:rPr>
        <w:t>bounded</w:t>
      </w:r>
      <w:proofErr w:type="gramEnd"/>
      <w:r w:rsidR="00923425" w:rsidRPr="00923425">
        <w:rPr>
          <w:rFonts w:ascii="Times New Roman" w:hAnsi="Times New Roman" w:cs="Times New Roman"/>
          <w:bCs/>
        </w:rPr>
        <w:t xml:space="preserve"> by convergent evidence from related but non-direct measurements: </w:t>
      </w:r>
      <w:proofErr w:type="spellStart"/>
      <w:r w:rsidR="00923425" w:rsidRPr="00923425">
        <w:rPr>
          <w:rFonts w:ascii="Times New Roman" w:hAnsi="Times New Roman" w:cs="Times New Roman"/>
          <w:bCs/>
        </w:rPr>
        <w:t>hyperscaler</w:t>
      </w:r>
      <w:proofErr w:type="spellEnd"/>
      <w:r w:rsidR="00923425" w:rsidRPr="00923425">
        <w:rPr>
          <w:rFonts w:ascii="Times New Roman" w:hAnsi="Times New Roman" w:cs="Times New Roman"/>
          <w:bCs/>
        </w:rPr>
        <w:t xml:space="preserve"> within-facility orchestration reliability, peak-to-valley headroom for post-stress absorption. ESTIMATED-WEAK parameters are bounded only by operational floors and upper assumptions in the absence of direct measurement: destination compute absorption, contractual workload pinning, fleet-scale deferral saturation.</w:t>
      </w:r>
    </w:p>
    <w:p w14:paraId="7E1BE149" w14:textId="5A3B04CC" w:rsidR="00923425" w:rsidRDefault="00923425" w:rsidP="00877A4C">
      <w:pPr>
        <w:spacing w:before="120" w:after="120" w:line="300" w:lineRule="auto"/>
        <w:rPr>
          <w:rFonts w:ascii="Times New Roman" w:eastAsia="Calibri" w:hAnsi="Times New Roman" w:cs="Times New Roman"/>
        </w:rPr>
        <w:sectPr w:rsidR="00923425">
          <w:endnotePr>
            <w:numFmt w:val="decimal"/>
          </w:endnotePr>
          <w:pgSz w:w="12240" w:h="15840"/>
          <w:pgMar w:top="1440" w:right="1440" w:bottom="1440" w:left="1440" w:header="720" w:footer="720" w:gutter="0"/>
          <w:cols w:space="720"/>
          <w:docGrid w:linePitch="360"/>
        </w:sectPr>
      </w:pPr>
    </w:p>
    <w:p w14:paraId="3F64CDB3" w14:textId="42CE80A9" w:rsidR="00877A4C" w:rsidRPr="00190400" w:rsidRDefault="00877A4C" w:rsidP="00877A4C">
      <w:pPr>
        <w:spacing w:before="240" w:after="120"/>
        <w:rPr>
          <w:rFonts w:ascii="Times New Roman" w:hAnsi="Times New Roman" w:cs="Times New Roman"/>
        </w:rPr>
      </w:pPr>
      <w:r w:rsidRPr="00190400">
        <w:rPr>
          <w:rFonts w:ascii="Times New Roman" w:eastAsia="Calibri" w:hAnsi="Times New Roman" w:cs="Times New Roman"/>
          <w:b/>
          <w:bCs/>
          <w:i/>
          <w:iCs/>
        </w:rPr>
        <w:lastRenderedPageBreak/>
        <w:t>Table M1. Cascade parameter specifications.</w:t>
      </w:r>
    </w:p>
    <w:tbl>
      <w:tblPr>
        <w:tblW w:w="13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5"/>
        <w:gridCol w:w="936"/>
        <w:gridCol w:w="1224"/>
        <w:gridCol w:w="900"/>
        <w:gridCol w:w="2070"/>
        <w:gridCol w:w="4066"/>
        <w:gridCol w:w="2919"/>
      </w:tblGrid>
      <w:tr w:rsidR="00710748" w:rsidRPr="00A025CD" w14:paraId="35144E17" w14:textId="77777777" w:rsidTr="00710748">
        <w:trPr>
          <w:trHeight w:val="243"/>
        </w:trPr>
        <w:tc>
          <w:tcPr>
            <w:tcW w:w="1075"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193417C8" w14:textId="162B955D" w:rsidR="001D6E1E" w:rsidRPr="00A025CD" w:rsidRDefault="001D6E1E" w:rsidP="00A025CD">
            <w:pPr>
              <w:spacing w:line="240" w:lineRule="auto"/>
              <w:rPr>
                <w:rFonts w:ascii="Times New Roman" w:hAnsi="Times New Roman" w:cs="Times New Roman"/>
                <w:sz w:val="16"/>
                <w:szCs w:val="16"/>
              </w:rPr>
            </w:pPr>
            <w:r>
              <w:rPr>
                <w:rFonts w:ascii="Times New Roman" w:eastAsia="Calibri" w:hAnsi="Times New Roman" w:cs="Times New Roman"/>
                <w:b/>
                <w:bCs/>
                <w:sz w:val="16"/>
                <w:szCs w:val="16"/>
              </w:rPr>
              <w:t>Mechanism</w:t>
            </w:r>
          </w:p>
        </w:tc>
        <w:tc>
          <w:tcPr>
            <w:tcW w:w="936" w:type="dxa"/>
            <w:tcBorders>
              <w:top w:val="single" w:sz="4" w:space="0" w:color="666666"/>
              <w:left w:val="single" w:sz="4" w:space="0" w:color="666666"/>
              <w:bottom w:val="single" w:sz="4" w:space="0" w:color="666666"/>
              <w:right w:val="single" w:sz="4" w:space="0" w:color="666666"/>
            </w:tcBorders>
            <w:shd w:val="clear" w:color="auto" w:fill="E8E8E8"/>
          </w:tcPr>
          <w:p w14:paraId="0C546E9C" w14:textId="1C72DD51" w:rsidR="001D6E1E" w:rsidRPr="00A025CD" w:rsidRDefault="001D6E1E" w:rsidP="001D6E1E">
            <w:pPr>
              <w:spacing w:line="240" w:lineRule="auto"/>
              <w:jc w:val="center"/>
              <w:rPr>
                <w:rFonts w:ascii="Times New Roman" w:eastAsia="Calibri" w:hAnsi="Times New Roman" w:cs="Times New Roman"/>
                <w:b/>
                <w:bCs/>
                <w:sz w:val="16"/>
                <w:szCs w:val="16"/>
              </w:rPr>
            </w:pPr>
            <w:r>
              <w:rPr>
                <w:rFonts w:ascii="Times New Roman" w:eastAsia="Calibri" w:hAnsi="Times New Roman" w:cs="Times New Roman"/>
                <w:b/>
                <w:bCs/>
                <w:sz w:val="16"/>
                <w:szCs w:val="16"/>
              </w:rPr>
              <w:t>Parameter</w:t>
            </w:r>
          </w:p>
        </w:tc>
        <w:tc>
          <w:tcPr>
            <w:tcW w:w="1224"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7E811FA1" w14:textId="59B192AA" w:rsidR="001D6E1E" w:rsidRPr="00A025CD" w:rsidRDefault="001D6E1E" w:rsidP="00A025CD">
            <w:pPr>
              <w:spacing w:line="240" w:lineRule="auto"/>
              <w:rPr>
                <w:rFonts w:ascii="Times New Roman" w:hAnsi="Times New Roman" w:cs="Times New Roman"/>
                <w:sz w:val="16"/>
                <w:szCs w:val="16"/>
              </w:rPr>
            </w:pPr>
            <w:r w:rsidRPr="00A025CD">
              <w:rPr>
                <w:rFonts w:ascii="Times New Roman" w:eastAsia="Calibri" w:hAnsi="Times New Roman" w:cs="Times New Roman"/>
                <w:b/>
                <w:bCs/>
                <w:sz w:val="16"/>
                <w:szCs w:val="16"/>
              </w:rPr>
              <w:t>Symbol</w:t>
            </w:r>
          </w:p>
        </w:tc>
        <w:tc>
          <w:tcPr>
            <w:tcW w:w="90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3AA76ABC"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Central</w:t>
            </w:r>
          </w:p>
        </w:tc>
        <w:tc>
          <w:tcPr>
            <w:tcW w:w="2070"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3B682E4"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Distribution</w:t>
            </w:r>
          </w:p>
        </w:tc>
        <w:tc>
          <w:tcPr>
            <w:tcW w:w="4066"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4BC84170" w14:textId="77777777" w:rsidR="001D6E1E" w:rsidRPr="003A1A7B" w:rsidRDefault="001D6E1E" w:rsidP="00A025CD">
            <w:pPr>
              <w:spacing w:line="240" w:lineRule="auto"/>
              <w:rPr>
                <w:rFonts w:ascii="Times New Roman" w:hAnsi="Times New Roman" w:cs="Times New Roman"/>
                <w:sz w:val="16"/>
                <w:szCs w:val="16"/>
              </w:rPr>
            </w:pPr>
            <w:r w:rsidRPr="003A1A7B">
              <w:rPr>
                <w:rFonts w:ascii="Times New Roman" w:eastAsia="Calibri" w:hAnsi="Times New Roman" w:cs="Times New Roman"/>
                <w:b/>
                <w:bCs/>
                <w:sz w:val="16"/>
                <w:szCs w:val="16"/>
              </w:rPr>
              <w:t>Empirical basis</w:t>
            </w:r>
          </w:p>
        </w:tc>
        <w:tc>
          <w:tcPr>
            <w:tcW w:w="2919" w:type="dxa"/>
            <w:tcBorders>
              <w:top w:val="single" w:sz="4" w:space="0" w:color="666666"/>
              <w:left w:val="single" w:sz="4" w:space="0" w:color="666666"/>
              <w:bottom w:val="single" w:sz="4" w:space="0" w:color="666666"/>
              <w:right w:val="single" w:sz="4" w:space="0" w:color="666666"/>
            </w:tcBorders>
            <w:shd w:val="clear" w:color="auto" w:fill="E8E8E8"/>
            <w:tcMar>
              <w:top w:w="80" w:type="dxa"/>
              <w:left w:w="100" w:type="dxa"/>
              <w:bottom w:w="80" w:type="dxa"/>
              <w:right w:w="100" w:type="dxa"/>
            </w:tcMar>
          </w:tcPr>
          <w:p w14:paraId="5C835302" w14:textId="77777777" w:rsidR="001D6E1E" w:rsidRPr="00E33BC8" w:rsidRDefault="001D6E1E" w:rsidP="00A025CD">
            <w:pPr>
              <w:spacing w:line="240" w:lineRule="auto"/>
              <w:rPr>
                <w:rFonts w:ascii="Times New Roman" w:hAnsi="Times New Roman" w:cs="Times New Roman"/>
                <w:sz w:val="16"/>
                <w:szCs w:val="16"/>
              </w:rPr>
            </w:pPr>
            <w:r w:rsidRPr="00E33BC8">
              <w:rPr>
                <w:rFonts w:ascii="Times New Roman" w:eastAsia="Calibri" w:hAnsi="Times New Roman" w:cs="Times New Roman"/>
                <w:b/>
                <w:bCs/>
                <w:sz w:val="16"/>
                <w:szCs w:val="16"/>
              </w:rPr>
              <w:t>Key sources</w:t>
            </w:r>
          </w:p>
        </w:tc>
      </w:tr>
      <w:tr w:rsidR="00710748" w:rsidRPr="00A025CD" w14:paraId="077803C4"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704A471" w14:textId="70CB65FA"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67C2E42E" w14:textId="636A5173" w:rsidR="001D6E1E" w:rsidRPr="00A025CD" w:rsidRDefault="005657DD" w:rsidP="005657DD">
            <w:pPr>
              <w:jc w:val="center"/>
              <w:rPr>
                <w:rFonts w:ascii="Times New Roman" w:eastAsia="Calibri" w:hAnsi="Times New Roman" w:cs="Times New Roman"/>
                <w:sz w:val="16"/>
                <w:szCs w:val="16"/>
              </w:rPr>
            </w:pPr>
            <w:r>
              <w:rPr>
                <w:rFonts w:ascii="Times New Roman" w:eastAsia="Calibri" w:hAnsi="Times New Roman" w:cs="Times New Roman"/>
                <w:sz w:val="16"/>
                <w:szCs w:val="16"/>
              </w:rPr>
              <w:t>Mixed-use inference share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2565F5" w14:textId="25014361" w:rsidR="001D6E1E" w:rsidRPr="00A025CD" w:rsidRDefault="005657DD" w:rsidP="00036805">
            <w:pPr>
              <w:rPr>
                <w:rFonts w:ascii="Times New Roman" w:hAnsi="Times New Roman" w:cs="Times New Roman"/>
                <w:sz w:val="16"/>
                <w:szCs w:val="16"/>
              </w:rPr>
            </w:pPr>
            <w:proofErr w:type="spellStart"/>
            <w:r w:rsidRPr="005657DD">
              <w:rPr>
                <w:rFonts w:ascii="Times New Roman" w:eastAsia="Calibri" w:hAnsi="Times New Roman" w:cs="Times New Roman"/>
                <w:sz w:val="16"/>
                <w:szCs w:val="16"/>
              </w:rPr>
              <w:t>φ_</w:t>
            </w:r>
            <w:proofErr w:type="gramStart"/>
            <w:r w:rsidRPr="005657DD">
              <w:rPr>
                <w:rFonts w:ascii="Times New Roman" w:eastAsia="Calibri" w:hAnsi="Times New Roman" w:cs="Times New Roman"/>
                <w:sz w:val="16"/>
                <w:szCs w:val="16"/>
              </w:rPr>
              <w:t>inf,mixed</w:t>
            </w:r>
            <w:proofErr w:type="spellEnd"/>
            <w:proofErr w:type="gram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C538DB" w14:textId="3D082AE3"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43</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222DCA8" w14:textId="4E8C9DCD" w:rsidR="001D6E1E" w:rsidRPr="003A1A7B" w:rsidRDefault="003A1A7B" w:rsidP="00036805">
            <w:pPr>
              <w:rPr>
                <w:rFonts w:ascii="Times New Roman" w:hAnsi="Times New Roman" w:cs="Times New Roman"/>
                <w:sz w:val="16"/>
                <w:szCs w:val="16"/>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0.30,0.50]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781496" w14:textId="1358109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McKinsey Dec 2025 base case: 93.3 GW inference / 219 GW total in 2030; "more than 40 percent of data center demand"</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BAAC7D" w14:textId="049A8842"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w:t>
            </w:r>
          </w:p>
        </w:tc>
      </w:tr>
      <w:tr w:rsidR="00710748" w:rsidRPr="00A025CD" w14:paraId="1D16C180"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2352D34" w14:textId="43E3A366"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Scope scalar</w:t>
            </w:r>
          </w:p>
        </w:tc>
        <w:tc>
          <w:tcPr>
            <w:tcW w:w="936" w:type="dxa"/>
            <w:tcBorders>
              <w:top w:val="single" w:sz="4" w:space="0" w:color="666666"/>
              <w:left w:val="single" w:sz="4" w:space="0" w:color="666666"/>
              <w:bottom w:val="single" w:sz="4" w:space="0" w:color="666666"/>
              <w:right w:val="single" w:sz="4" w:space="0" w:color="666666"/>
            </w:tcBorders>
          </w:tcPr>
          <w:p w14:paraId="5B1C405E" w14:textId="584FA31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Inference-dominant scope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13E3CD" w14:textId="1940DC6D" w:rsidR="001D6E1E" w:rsidRPr="00A025CD" w:rsidRDefault="005657DD" w:rsidP="00036805">
            <w:pPr>
              <w:rPr>
                <w:rFonts w:ascii="Times New Roman" w:hAnsi="Times New Roman" w:cs="Times New Roman"/>
                <w:sz w:val="16"/>
                <w:szCs w:val="16"/>
              </w:rPr>
            </w:pPr>
            <w:proofErr w:type="spellStart"/>
            <w:r w:rsidRPr="005657DD">
              <w:rPr>
                <w:rFonts w:ascii="Times New Roman" w:eastAsia="Calibri" w:hAnsi="Times New Roman" w:cs="Times New Roman"/>
                <w:sz w:val="16"/>
                <w:szCs w:val="16"/>
              </w:rPr>
              <w:t>φ_</w:t>
            </w:r>
            <w:proofErr w:type="gramStart"/>
            <w:r w:rsidRPr="005657DD">
              <w:rPr>
                <w:rFonts w:ascii="Times New Roman" w:eastAsia="Calibri" w:hAnsi="Times New Roman" w:cs="Times New Roman"/>
                <w:sz w:val="16"/>
                <w:szCs w:val="16"/>
              </w:rPr>
              <w:t>inf,</w:t>
            </w:r>
            <w:r>
              <w:rPr>
                <w:rFonts w:ascii="Times New Roman" w:eastAsia="Calibri" w:hAnsi="Times New Roman" w:cs="Times New Roman"/>
                <w:sz w:val="16"/>
                <w:szCs w:val="16"/>
              </w:rPr>
              <w:t>dominant</w:t>
            </w:r>
            <w:proofErr w:type="spellEnd"/>
            <w:proofErr w:type="gram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F172D5B" w14:textId="77777777"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0.70</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33B588" w14:textId="7DB8D802" w:rsidR="001D6E1E" w:rsidRPr="003A1A7B" w:rsidRDefault="001D6E1E" w:rsidP="00036805">
            <w:pPr>
              <w:rPr>
                <w:rFonts w:ascii="Times New Roman" w:hAnsi="Times New Roman" w:cs="Times New Roman"/>
                <w:sz w:val="16"/>
                <w:szCs w:val="16"/>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0.60, 0.</w:t>
            </w:r>
            <w:r w:rsidR="003A1A7B" w:rsidRPr="003A1A7B">
              <w:rPr>
                <w:rFonts w:ascii="Times New Roman" w:eastAsia="Calibri" w:hAnsi="Times New Roman" w:cs="Times New Roman"/>
                <w:sz w:val="16"/>
                <w:szCs w:val="16"/>
              </w:rPr>
              <w:t>85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5C7E219" w14:textId="578A46C0"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Scenario construction; AI-focused HPC class per IEA and Zhou et al.; threshold below which facility no longer inference-dominant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99BB1" w14:textId="2BD8C8BD"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IEA (2025); Zhou et al. (2024)</w:t>
            </w:r>
          </w:p>
        </w:tc>
      </w:tr>
      <w:tr w:rsidR="00710748" w:rsidRPr="00A025CD" w14:paraId="68D925A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D0A0A12" w14:textId="1B190E7B"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BFFDF40" w14:textId="77F679A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Migration eligibility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30FB5A" w14:textId="2A7DBA8E"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MIG_elig</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32788FB" w14:textId="78AE48CE"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65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EBEE47E" w14:textId="0B59529B" w:rsidR="001D6E1E" w:rsidRPr="00093498" w:rsidRDefault="001D6E1E" w:rsidP="00036805">
            <w:pPr>
              <w:rPr>
                <w:rFonts w:ascii="Times New Roman"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4</w:t>
            </w:r>
            <w:r w:rsidRPr="003A1A7B">
              <w:rPr>
                <w:rFonts w:ascii="Times New Roman" w:eastAsia="Calibri" w:hAnsi="Times New Roman" w:cs="Times New Roman"/>
                <w:sz w:val="16"/>
                <w:szCs w:val="16"/>
              </w:rPr>
              <w:t>5, 0.</w:t>
            </w:r>
            <w:r w:rsidR="003A1A7B" w:rsidRPr="003A1A7B">
              <w:rPr>
                <w:rFonts w:ascii="Times New Roman" w:eastAsia="Calibri" w:hAnsi="Times New Roman" w:cs="Times New Roman"/>
                <w:sz w:val="16"/>
                <w:szCs w:val="16"/>
              </w:rPr>
              <w:t>8</w:t>
            </w:r>
            <w:r w:rsidRPr="003A1A7B">
              <w:rPr>
                <w:rFonts w:ascii="Times New Roman" w:eastAsia="Calibri" w:hAnsi="Times New Roman" w:cs="Times New Roman"/>
                <w:sz w:val="16"/>
                <w:szCs w:val="16"/>
              </w:rPr>
              <w:t>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C509169" w14:textId="3401C350"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 xml:space="preserve">Architectural portability (McKinsey </w:t>
            </w:r>
            <w:proofErr w:type="spellStart"/>
            <w:r w:rsidRPr="00817783">
              <w:rPr>
                <w:rFonts w:ascii="Times New Roman" w:eastAsia="Calibri" w:hAnsi="Times New Roman" w:cs="Times New Roman"/>
                <w:sz w:val="16"/>
                <w:szCs w:val="16"/>
              </w:rPr>
              <w:t>atomizability</w:t>
            </w:r>
            <w:proofErr w:type="spellEnd"/>
            <w:r w:rsidRPr="00817783">
              <w:rPr>
                <w:rFonts w:ascii="Times New Roman" w:eastAsia="Calibri" w:hAnsi="Times New Roman" w:cs="Times New Roman"/>
                <w:sz w:val="16"/>
                <w:szCs w:val="16"/>
              </w:rPr>
              <w:t>) × unpinned (no published measurement; bounded by enterprise contractual restrictions)</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9E7489A" w14:textId="077031CC" w:rsidR="001D6E1E" w:rsidRPr="00E33BC8" w:rsidRDefault="00E33BC8" w:rsidP="00036805">
            <w:pPr>
              <w:rPr>
                <w:rFonts w:ascii="Times New Roman" w:hAnsi="Times New Roman" w:cs="Times New Roman"/>
                <w:sz w:val="16"/>
                <w:szCs w:val="16"/>
              </w:rPr>
            </w:pPr>
            <w:r w:rsidRPr="00E33BC8">
              <w:rPr>
                <w:rFonts w:ascii="Times New Roman" w:eastAsia="Calibri" w:hAnsi="Times New Roman" w:cs="Times New Roman"/>
                <w:sz w:val="16"/>
                <w:szCs w:val="16"/>
              </w:rPr>
              <w:t>McKinsey (2025); Patel et al., ISCA (2024); Zhong et al., OSDI (2024); Qin et al. (2024)</w:t>
            </w:r>
          </w:p>
        </w:tc>
      </w:tr>
      <w:tr w:rsidR="00710748" w:rsidRPr="00A025CD" w14:paraId="39E0592A"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86F646" w14:textId="1720B168"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09A37DC2" w14:textId="3536C0B6"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Drain within window</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DA2BD82" w14:textId="57C27D46"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DRAIN_ok</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74D1B97" w14:textId="60C735A4" w:rsidR="001D6E1E" w:rsidRPr="003A1A7B" w:rsidRDefault="003A1A7B" w:rsidP="00036805">
            <w:pPr>
              <w:rPr>
                <w:rFonts w:ascii="Times New Roman" w:hAnsi="Times New Roman" w:cs="Times New Roman"/>
                <w:sz w:val="16"/>
                <w:szCs w:val="16"/>
              </w:rPr>
            </w:pPr>
            <w:r>
              <w:rPr>
                <w:rFonts w:ascii="Times New Roman" w:eastAsia="Calibri" w:hAnsi="Times New Roman" w:cs="Times New Roman"/>
                <w:sz w:val="16"/>
                <w:szCs w:val="16"/>
              </w:rPr>
              <w:t>0.9</w:t>
            </w:r>
            <w:r w:rsidR="00817783">
              <w:rPr>
                <w:rFonts w:ascii="Times New Roman" w:eastAsia="Calibri" w:hAnsi="Times New Roman" w:cs="Times New Roman"/>
                <w:sz w:val="16"/>
                <w:szCs w:val="16"/>
              </w:rPr>
              <w:t>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2830F9" w14:textId="4D4323A1" w:rsidR="001D6E1E" w:rsidRPr="00093498" w:rsidRDefault="003A1A7B" w:rsidP="00036805">
            <w:pPr>
              <w:rPr>
                <w:rFonts w:ascii="Times New Roman"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0.90,0.98]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4EB6E04" w14:textId="15D66214"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P99 drain times 4.5–12.1 s vs. 10-minute minimum dispatch window</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6E853B7" w14:textId="1817AF46" w:rsidR="001D6E1E" w:rsidRPr="00E33BC8" w:rsidRDefault="001D6E1E" w:rsidP="00036805">
            <w:pPr>
              <w:rPr>
                <w:rFonts w:ascii="Times New Roman" w:hAnsi="Times New Roman" w:cs="Times New Roman"/>
                <w:sz w:val="16"/>
                <w:szCs w:val="16"/>
              </w:rPr>
            </w:pPr>
            <w:r w:rsidRPr="00E33BC8">
              <w:rPr>
                <w:rFonts w:ascii="Times New Roman" w:eastAsia="Calibri" w:hAnsi="Times New Roman" w:cs="Times New Roman"/>
                <w:sz w:val="16"/>
                <w:szCs w:val="16"/>
              </w:rPr>
              <w:t xml:space="preserve">This paper, Section </w:t>
            </w:r>
            <w:r w:rsidR="00E33BC8" w:rsidRPr="00E33BC8">
              <w:rPr>
                <w:rFonts w:ascii="Times New Roman" w:eastAsia="Calibri" w:hAnsi="Times New Roman" w:cs="Times New Roman"/>
                <w:sz w:val="16"/>
                <w:szCs w:val="16"/>
              </w:rPr>
              <w:t>4</w:t>
            </w:r>
          </w:p>
        </w:tc>
      </w:tr>
      <w:tr w:rsidR="00710748" w:rsidRPr="00A025CD" w14:paraId="469CBED1"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EC9773F" w14:textId="3A778AF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3475D5FC" w14:textId="74F9289E"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region availability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1F0A7AB" w14:textId="411E0998"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DEST_avail</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85D27A8" w14:textId="27728384"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Observed</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8C73E62" w14:textId="33817FD7" w:rsidR="001D6E1E" w:rsidRPr="00093498" w:rsidRDefault="003A1A7B" w:rsidP="00036805">
            <w:pPr>
              <w:rPr>
                <w:rFonts w:ascii="Times New Roman" w:hAnsi="Times New Roman" w:cs="Times New Roman"/>
                <w:sz w:val="16"/>
                <w:szCs w:val="16"/>
                <w:highlight w:val="yellow"/>
              </w:rPr>
            </w:pPr>
            <w:r w:rsidRPr="003A1A7B">
              <w:rPr>
                <w:rFonts w:ascii="Times New Roman" w:eastAsia="Calibri" w:hAnsi="Times New Roman" w:cs="Times New Roman"/>
                <w:sz w:val="16"/>
                <w:szCs w:val="16"/>
              </w:rPr>
              <w:t>Per-hour from data</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EB11416" w14:textId="1B3862DE" w:rsidR="001D6E1E"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200 ComEd stress hours × unstressed-destination capacities from day-ahead LMP across five RTOs; capacity-weighted any-destination availability 94.5%</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5C6BB4" w14:textId="2A3FC206" w:rsidR="001D6E1E" w:rsidRPr="00093498" w:rsidRDefault="00E33BC8" w:rsidP="00552814">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This paper, Section 3; IEA (2025)</w:t>
            </w:r>
          </w:p>
        </w:tc>
      </w:tr>
      <w:tr w:rsidR="00710748" w:rsidRPr="00A025CD" w14:paraId="50F58CC2"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513D75" w14:textId="3FBECCE9"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19E26A05" w14:textId="76AD214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Destination compute absorption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5AF69B2" w14:textId="6E846936" w:rsidR="001D6E1E" w:rsidRPr="00A025CD" w:rsidRDefault="001D6E1E" w:rsidP="00036805">
            <w:pPr>
              <w:rPr>
                <w:rFonts w:ascii="Times New Roman" w:hAnsi="Times New Roman" w:cs="Times New Roman"/>
                <w:sz w:val="16"/>
                <w:szCs w:val="16"/>
              </w:rPr>
            </w:pPr>
            <w:proofErr w:type="spellStart"/>
            <w:r w:rsidRPr="00A025CD">
              <w:rPr>
                <w:rFonts w:ascii="Times New Roman" w:eastAsia="Calibri" w:hAnsi="Times New Roman" w:cs="Times New Roman"/>
                <w:sz w:val="16"/>
                <w:szCs w:val="16"/>
              </w:rPr>
              <w:t>D</w:t>
            </w:r>
            <w:r w:rsidR="005657DD">
              <w:rPr>
                <w:rFonts w:ascii="Times New Roman" w:eastAsia="Calibri" w:hAnsi="Times New Roman" w:cs="Times New Roman"/>
                <w:sz w:val="16"/>
                <w:szCs w:val="16"/>
              </w:rPr>
              <w:t>EST_absorp</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76DAB5" w14:textId="4775129B" w:rsidR="001D6E1E" w:rsidRPr="003A1A7B" w:rsidRDefault="003A1A7B" w:rsidP="00036805">
            <w:pPr>
              <w:rPr>
                <w:rFonts w:ascii="Times New Roman" w:hAnsi="Times New Roman" w:cs="Times New Roman"/>
                <w:sz w:val="16"/>
                <w:szCs w:val="16"/>
              </w:rPr>
            </w:pPr>
            <w:r w:rsidRPr="003A1A7B">
              <w:rPr>
                <w:rFonts w:ascii="Times New Roman" w:eastAsia="Calibri" w:hAnsi="Times New Roman" w:cs="Times New Roman"/>
                <w:sz w:val="16"/>
                <w:szCs w:val="16"/>
              </w:rPr>
              <w:t>0.30</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B13423" w14:textId="0D85CADF" w:rsidR="001D6E1E" w:rsidRPr="003A1A7B" w:rsidRDefault="003A1A7B" w:rsidP="00036805">
            <w:pPr>
              <w:rPr>
                <w:rFonts w:ascii="Times New Roman" w:hAnsi="Times New Roman" w:cs="Times New Roman"/>
                <w:sz w:val="16"/>
                <w:szCs w:val="16"/>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0.15,0.55]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829E925" w14:textId="0A911DCD"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Headroom × hardware compatibility × pre-staging; literature dispute on utilization (LBNL 40%, IEA 90%, Knittel 80%, Zhou 70-80%, Guidi 75%, Uptime &lt;40%)</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AE226C0" w14:textId="68172D64"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 xml:space="preserve">Shehabi et al., LBNL (2024); IEA (2025); Zhou et al. (2024); Knittel et al. (2025); NVIDIA CUDA documentation; NVIDIA </w:t>
            </w:r>
            <w:proofErr w:type="spellStart"/>
            <w:r w:rsidRPr="00E33BC8">
              <w:rPr>
                <w:rFonts w:ascii="Times New Roman" w:eastAsia="Calibri" w:hAnsi="Times New Roman" w:cs="Times New Roman"/>
                <w:sz w:val="16"/>
                <w:szCs w:val="16"/>
              </w:rPr>
              <w:t>Run:ai</w:t>
            </w:r>
            <w:proofErr w:type="spellEnd"/>
            <w:r w:rsidRPr="00E33BC8">
              <w:rPr>
                <w:rFonts w:ascii="Times New Roman" w:eastAsia="Calibri" w:hAnsi="Times New Roman" w:cs="Times New Roman"/>
                <w:sz w:val="16"/>
                <w:szCs w:val="16"/>
              </w:rPr>
              <w:t xml:space="preserve"> Model Streamer (2025)</w:t>
            </w:r>
          </w:p>
        </w:tc>
      </w:tr>
      <w:tr w:rsidR="00710748" w:rsidRPr="00A025CD" w14:paraId="1F487BF8"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725D5CD" w14:textId="69D2F287"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 xml:space="preserve">Spatial </w:t>
            </w:r>
          </w:p>
        </w:tc>
        <w:tc>
          <w:tcPr>
            <w:tcW w:w="936" w:type="dxa"/>
            <w:tcBorders>
              <w:top w:val="single" w:sz="4" w:space="0" w:color="666666"/>
              <w:left w:val="single" w:sz="4" w:space="0" w:color="666666"/>
              <w:bottom w:val="single" w:sz="4" w:space="0" w:color="666666"/>
              <w:right w:val="single" w:sz="4" w:space="0" w:color="666666"/>
            </w:tcBorders>
          </w:tcPr>
          <w:p w14:paraId="7EF75135" w14:textId="3F9303C7"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Network adequacy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18805D3" w14:textId="68AFC3C2"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NET_ok</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A5415F0" w14:textId="10C02514"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98</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6DA916C" w14:textId="16E2951C" w:rsidR="001D6E1E" w:rsidRPr="00093498" w:rsidRDefault="001D6E1E" w:rsidP="00036805">
            <w:pPr>
              <w:rPr>
                <w:rFonts w:ascii="Times New Roman"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995</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A09BD7D" w14:textId="1D4E9FA9" w:rsidR="001D6E1E" w:rsidRPr="00093498" w:rsidRDefault="00817783" w:rsidP="00036805">
            <w:pPr>
              <w:rPr>
                <w:rFonts w:ascii="Times New Roman" w:hAnsi="Times New Roman" w:cs="Times New Roman"/>
                <w:sz w:val="16"/>
                <w:szCs w:val="16"/>
                <w:highlight w:val="yellow"/>
              </w:rPr>
            </w:pPr>
            <w:proofErr w:type="spellStart"/>
            <w:r w:rsidRPr="00817783">
              <w:rPr>
                <w:rFonts w:ascii="Times New Roman" w:eastAsia="Calibri" w:hAnsi="Times New Roman" w:cs="Times New Roman"/>
                <w:sz w:val="16"/>
                <w:szCs w:val="16"/>
              </w:rPr>
              <w:t>Hyperscaler</w:t>
            </w:r>
            <w:proofErr w:type="spellEnd"/>
            <w:r w:rsidRPr="00817783">
              <w:rPr>
                <w:rFonts w:ascii="Times New Roman" w:eastAsia="Calibri" w:hAnsi="Times New Roman" w:cs="Times New Roman"/>
                <w:sz w:val="16"/>
                <w:szCs w:val="16"/>
              </w:rPr>
              <w:t xml:space="preserve"> wavelength purchases on a single carrier grew 133% from 18.2 Tb (2020) to 42.4 Tb (2024); Azure inter-region P50 latencies; B4 </w:t>
            </w:r>
            <w:proofErr w:type="gramStart"/>
            <w:r w:rsidRPr="00817783">
              <w:rPr>
                <w:rFonts w:ascii="Times New Roman" w:eastAsia="Calibri" w:hAnsi="Times New Roman" w:cs="Times New Roman"/>
                <w:sz w:val="16"/>
                <w:szCs w:val="16"/>
              </w:rPr>
              <w:t>globally-deployed</w:t>
            </w:r>
            <w:proofErr w:type="gramEnd"/>
            <w:r w:rsidRPr="00817783">
              <w:rPr>
                <w:rFonts w:ascii="Times New Roman" w:eastAsia="Calibri" w:hAnsi="Times New Roman" w:cs="Times New Roman"/>
                <w:sz w:val="16"/>
                <w:szCs w:val="16"/>
              </w:rPr>
              <w:t xml:space="preserve"> WAN</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2B75BC6" w14:textId="129BAD55" w:rsidR="001D6E1E"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Jain et al., ACM SIGCOMM (2013); Zayo (2025)</w:t>
            </w:r>
          </w:p>
        </w:tc>
      </w:tr>
      <w:tr w:rsidR="00710748" w:rsidRPr="00A025CD" w14:paraId="33089705"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AC8A60C" w14:textId="79E3EE74"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Spatial</w:t>
            </w:r>
          </w:p>
        </w:tc>
        <w:tc>
          <w:tcPr>
            <w:tcW w:w="936" w:type="dxa"/>
            <w:tcBorders>
              <w:top w:val="single" w:sz="4" w:space="0" w:color="666666"/>
              <w:left w:val="single" w:sz="4" w:space="0" w:color="666666"/>
              <w:bottom w:val="single" w:sz="4" w:space="0" w:color="666666"/>
              <w:right w:val="single" w:sz="4" w:space="0" w:color="666666"/>
            </w:tcBorders>
          </w:tcPr>
          <w:p w14:paraId="43D77C1D" w14:textId="1ADF8DE3"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Orchestration reliability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E96E2BE" w14:textId="3FBC900D"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ORCH_ok</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D855855" w14:textId="432B5A5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95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F9A8F65" w14:textId="2A8E8492" w:rsidR="001D6E1E" w:rsidRPr="00093498" w:rsidRDefault="001D6E1E" w:rsidP="00036805">
            <w:pPr>
              <w:rPr>
                <w:rFonts w:ascii="Times New Roman"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88</w:t>
            </w:r>
            <w:r w:rsidRPr="003A1A7B">
              <w:rPr>
                <w:rFonts w:ascii="Times New Roman" w:eastAsia="Calibri" w:hAnsi="Times New Roman" w:cs="Times New Roman"/>
                <w:sz w:val="16"/>
                <w:szCs w:val="16"/>
              </w:rPr>
              <w:t>, 0.</w:t>
            </w:r>
            <w:r w:rsidR="003A1A7B" w:rsidRPr="003A1A7B">
              <w:rPr>
                <w:rFonts w:ascii="Times New Roman" w:eastAsia="Calibri" w:hAnsi="Times New Roman" w:cs="Times New Roman"/>
                <w:sz w:val="16"/>
                <w:szCs w:val="16"/>
              </w:rPr>
              <w:t>99</w:t>
            </w:r>
            <w:r w:rsidRPr="003A1A7B">
              <w:rPr>
                <w:rFonts w:ascii="Times New Roman" w:eastAsia="Calibri" w:hAnsi="Times New Roman" w:cs="Times New Roman"/>
                <w:sz w:val="16"/>
                <w:szCs w:val="16"/>
              </w:rPr>
              <w: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77BD95A" w14:textId="14091F97" w:rsidR="001D6E1E" w:rsidRPr="00093498" w:rsidRDefault="00817783" w:rsidP="00036805">
            <w:pPr>
              <w:rPr>
                <w:rFonts w:ascii="Times New Roman" w:hAnsi="Times New Roman" w:cs="Times New Roman"/>
                <w:sz w:val="16"/>
                <w:szCs w:val="16"/>
                <w:highlight w:val="yellow"/>
              </w:rPr>
            </w:pPr>
            <w:r w:rsidRPr="00817783">
              <w:rPr>
                <w:rFonts w:ascii="Times New Roman" w:eastAsia="Calibri" w:hAnsi="Times New Roman" w:cs="Times New Roman"/>
                <w:sz w:val="16"/>
                <w:szCs w:val="16"/>
              </w:rPr>
              <w:t xml:space="preserve">Within-facility production precedent at three </w:t>
            </w:r>
            <w:proofErr w:type="spellStart"/>
            <w:r w:rsidRPr="00817783">
              <w:rPr>
                <w:rFonts w:ascii="Times New Roman" w:eastAsia="Calibri" w:hAnsi="Times New Roman" w:cs="Times New Roman"/>
                <w:sz w:val="16"/>
                <w:szCs w:val="16"/>
              </w:rPr>
              <w:t>hyperscalers</w:t>
            </w:r>
            <w:proofErr w:type="spellEnd"/>
            <w:r w:rsidRPr="00817783">
              <w:rPr>
                <w:rFonts w:ascii="Times New Roman" w:eastAsia="Calibri" w:hAnsi="Times New Roman" w:cs="Times New Roman"/>
                <w:sz w:val="16"/>
                <w:szCs w:val="16"/>
              </w:rPr>
              <w:t>; cross-facility-grid-dispatch interface novel; load balancer SLAs ≥99.99%</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54E2C5C" w14:textId="6C6DD199"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Zhang et al., ISCA (2021); Wu et al., ISCA (2016); Li et al., OSDI (2020); American Public Power Association (2025)</w:t>
            </w:r>
          </w:p>
        </w:tc>
      </w:tr>
      <w:tr w:rsidR="00710748" w:rsidRPr="00A025CD" w14:paraId="552F74B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966D3C" w14:textId="7C9269B5"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lastRenderedPageBreak/>
              <w:t>Deferral</w:t>
            </w:r>
          </w:p>
        </w:tc>
        <w:tc>
          <w:tcPr>
            <w:tcW w:w="936" w:type="dxa"/>
            <w:tcBorders>
              <w:top w:val="single" w:sz="4" w:space="0" w:color="666666"/>
              <w:left w:val="single" w:sz="4" w:space="0" w:color="666666"/>
              <w:bottom w:val="single" w:sz="4" w:space="0" w:color="666666"/>
              <w:right w:val="single" w:sz="4" w:space="0" w:color="666666"/>
            </w:tcBorders>
          </w:tcPr>
          <w:p w14:paraId="5AFBCC22" w14:textId="37D2BE0C"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 xml:space="preserve">NIW </w:t>
            </w:r>
            <w:proofErr w:type="gramStart"/>
            <w:r>
              <w:rPr>
                <w:rFonts w:ascii="Times New Roman" w:eastAsia="Calibri" w:hAnsi="Times New Roman" w:cs="Times New Roman"/>
                <w:sz w:val="16"/>
                <w:szCs w:val="16"/>
              </w:rPr>
              <w:t>compute</w:t>
            </w:r>
            <w:proofErr w:type="gramEnd"/>
            <w:r>
              <w:rPr>
                <w:rFonts w:ascii="Times New Roman" w:eastAsia="Calibri" w:hAnsi="Times New Roman" w:cs="Times New Roman"/>
                <w:sz w:val="16"/>
                <w:szCs w:val="16"/>
              </w:rPr>
              <w:t xml:space="preserve"> share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E98F83" w14:textId="39E356D1" w:rsidR="001D6E1E" w:rsidRPr="00A025CD" w:rsidRDefault="005657DD" w:rsidP="00036805">
            <w:pPr>
              <w:rPr>
                <w:rFonts w:ascii="Times New Roman" w:hAnsi="Times New Roman" w:cs="Times New Roman"/>
                <w:sz w:val="16"/>
                <w:szCs w:val="16"/>
              </w:rPr>
            </w:pPr>
            <w:proofErr w:type="spellStart"/>
            <w:r>
              <w:rPr>
                <w:rFonts w:ascii="Times New Roman" w:eastAsia="Calibri" w:hAnsi="Times New Roman" w:cs="Times New Roman"/>
                <w:sz w:val="16"/>
                <w:szCs w:val="16"/>
              </w:rPr>
              <w:t>NIW_share</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F3339AF" w14:textId="7A64A890"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28 (B)</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B389EAE" w14:textId="2A90B897" w:rsidR="001D6E1E" w:rsidRPr="00710748"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 xml:space="preserve">Ensemble-dependent;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A: </w:t>
            </w: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 xml:space="preserve">0.10, 0.20]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w:t>
            </w: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 xml:space="preserve">0.22, 0.35]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C: </w:t>
            </w: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0.32, 0.50]</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62C4438" w14:textId="20DE2730" w:rsidR="001D6E1E" w:rsidRPr="00093498" w:rsidRDefault="00817783" w:rsidP="00036805">
            <w:pPr>
              <w:rPr>
                <w:rFonts w:ascii="Times New Roman" w:hAnsi="Times New Roman" w:cs="Times New Roman"/>
                <w:sz w:val="16"/>
                <w:szCs w:val="16"/>
                <w:highlight w:val="yellow"/>
              </w:rPr>
            </w:pPr>
            <w:proofErr w:type="spellStart"/>
            <w:r w:rsidRPr="00817783">
              <w:rPr>
                <w:rFonts w:ascii="Times New Roman" w:eastAsia="Calibri" w:hAnsi="Times New Roman" w:cs="Times New Roman"/>
                <w:sz w:val="16"/>
                <w:szCs w:val="16"/>
              </w:rPr>
              <w:t>SageServe</w:t>
            </w:r>
            <w:proofErr w:type="spellEnd"/>
            <w:r w:rsidRPr="00817783">
              <w:rPr>
                <w:rFonts w:ascii="Times New Roman" w:eastAsia="Calibri" w:hAnsi="Times New Roman" w:cs="Times New Roman"/>
                <w:sz w:val="16"/>
                <w:szCs w:val="16"/>
              </w:rPr>
              <w:t xml:space="preserve"> O365 Copilot production traces: IW-F + IW-N = 72% of requests/TPS, NIW = 28%</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B41C500" w14:textId="6835A896" w:rsidR="001D6E1E" w:rsidRPr="00093498" w:rsidRDefault="00E33BC8" w:rsidP="00036805">
            <w:pPr>
              <w:rPr>
                <w:rFonts w:ascii="Times New Roman" w:hAnsi="Times New Roman" w:cs="Times New Roman"/>
                <w:sz w:val="16"/>
                <w:szCs w:val="16"/>
                <w:highlight w:val="yellow"/>
              </w:rPr>
            </w:pPr>
            <w:r w:rsidRPr="00E33BC8">
              <w:rPr>
                <w:rFonts w:ascii="Times New Roman" w:hAnsi="Times New Roman" w:cs="Times New Roman"/>
                <w:sz w:val="16"/>
                <w:szCs w:val="16"/>
              </w:rPr>
              <w:t>Jaiswal et al. (2025)</w:t>
            </w:r>
          </w:p>
        </w:tc>
      </w:tr>
      <w:tr w:rsidR="00093498" w:rsidRPr="00A025CD" w14:paraId="1CE70ED2"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203B769" w14:textId="55D91543"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3A01F86" w14:textId="17A51BEB" w:rsidR="00093498" w:rsidRDefault="00093498" w:rsidP="00036805">
            <w:pPr>
              <w:rPr>
                <w:rFonts w:ascii="Times New Roman" w:eastAsia="Calibri" w:hAnsi="Times New Roman" w:cs="Times New Roman"/>
                <w:sz w:val="16"/>
                <w:szCs w:val="16"/>
              </w:rPr>
            </w:pPr>
            <w:r>
              <w:rPr>
                <w:rFonts w:ascii="Times New Roman" w:eastAsia="Calibri" w:hAnsi="Times New Roman" w:cs="Times New Roman"/>
                <w:sz w:val="16"/>
                <w:szCs w:val="16"/>
              </w:rPr>
              <w:t>Window feasibility</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E60C21" w14:textId="3264D37B" w:rsidR="00093498" w:rsidRDefault="00093498" w:rsidP="00036805">
            <w:pPr>
              <w:rPr>
                <w:rFonts w:ascii="Times New Roman" w:eastAsia="Calibri" w:hAnsi="Times New Roman" w:cs="Times New Roman"/>
                <w:sz w:val="16"/>
                <w:szCs w:val="16"/>
              </w:rPr>
            </w:pPr>
            <w:proofErr w:type="spellStart"/>
            <w:r>
              <w:rPr>
                <w:rFonts w:ascii="Times New Roman" w:eastAsia="Calibri" w:hAnsi="Times New Roman" w:cs="Times New Roman"/>
                <w:sz w:val="16"/>
                <w:szCs w:val="16"/>
              </w:rPr>
              <w:t>WINDOW_ok</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246C2D86" w14:textId="6708FC8E" w:rsidR="00093498"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51B37DB" w14:textId="6CFDB230" w:rsidR="00093498" w:rsidRPr="00093498" w:rsidRDefault="003A1A7B" w:rsidP="00036805">
            <w:pPr>
              <w:rPr>
                <w:rFonts w:ascii="Times New Roman" w:eastAsia="Calibri"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0.80, 0.99] (scope-dependent)</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603AC604" w14:textId="222767DE" w:rsidR="00093498"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24-hour NIW deadline vs. 6-hour PJM emergency DR profile; production precedent in Google-TVA agreement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9CB7227" w14:textId="61E50D2C" w:rsidR="00093498"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Jaiswal et al. (2025); American Public Power Association (2025)</w:t>
            </w:r>
          </w:p>
        </w:tc>
      </w:tr>
      <w:tr w:rsidR="00710748" w:rsidRPr="00A025CD" w14:paraId="05C28441"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9DFAC9" w14:textId="1ED326BC" w:rsidR="001D6E1E" w:rsidRPr="00A025CD" w:rsidRDefault="005657DD" w:rsidP="00036805">
            <w:pPr>
              <w:rPr>
                <w:rFonts w:ascii="Times New Roman" w:hAnsi="Times New Roman" w:cs="Times New Roman"/>
                <w:sz w:val="16"/>
                <w:szCs w:val="16"/>
              </w:rPr>
            </w:pPr>
            <w:r>
              <w:rPr>
                <w:rFonts w:ascii="Times New Roman" w:eastAsia="Calibri" w:hAnsi="Times New Roman" w:cs="Times New Roman"/>
                <w:sz w:val="16"/>
                <w:szCs w:val="16"/>
              </w:rPr>
              <w:t>Deferral</w:t>
            </w:r>
          </w:p>
        </w:tc>
        <w:tc>
          <w:tcPr>
            <w:tcW w:w="936" w:type="dxa"/>
            <w:tcBorders>
              <w:top w:val="single" w:sz="4" w:space="0" w:color="666666"/>
              <w:left w:val="single" w:sz="4" w:space="0" w:color="666666"/>
              <w:bottom w:val="single" w:sz="4" w:space="0" w:color="666666"/>
              <w:right w:val="single" w:sz="4" w:space="0" w:color="666666"/>
            </w:tcBorders>
          </w:tcPr>
          <w:p w14:paraId="2743D7E7" w14:textId="6F0288AB" w:rsidR="001D6E1E" w:rsidRPr="00A025C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Post-stress queue absorption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FAAA41E" w14:textId="7CF57A2B" w:rsidR="001D6E1E" w:rsidRPr="00A025CD" w:rsidRDefault="00093498" w:rsidP="00036805">
            <w:pPr>
              <w:rPr>
                <w:rFonts w:ascii="Times New Roman" w:hAnsi="Times New Roman" w:cs="Times New Roman"/>
                <w:sz w:val="16"/>
                <w:szCs w:val="16"/>
              </w:rPr>
            </w:pPr>
            <w:proofErr w:type="spellStart"/>
            <w:r>
              <w:rPr>
                <w:rFonts w:ascii="Times New Roman" w:hAnsi="Times New Roman" w:cs="Times New Roman"/>
                <w:sz w:val="16"/>
                <w:szCs w:val="16"/>
              </w:rPr>
              <w:t>QUEUE_ok</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0670E74" w14:textId="2AD94942" w:rsidR="001D6E1E" w:rsidRPr="003A1A7B" w:rsidRDefault="001D6E1E" w:rsidP="00036805">
            <w:pPr>
              <w:rPr>
                <w:rFonts w:ascii="Times New Roman" w:hAnsi="Times New Roman" w:cs="Times New Roman"/>
                <w:sz w:val="16"/>
                <w:szCs w:val="16"/>
              </w:rPr>
            </w:pPr>
            <w:r w:rsidRPr="003A1A7B">
              <w:rPr>
                <w:rFonts w:ascii="Times New Roman" w:eastAsia="Calibri" w:hAnsi="Times New Roman" w:cs="Times New Roman"/>
                <w:sz w:val="16"/>
                <w:szCs w:val="16"/>
              </w:rPr>
              <w:t>0.</w:t>
            </w:r>
            <w:r w:rsidR="003A1A7B" w:rsidRPr="003A1A7B">
              <w:rPr>
                <w:rFonts w:ascii="Times New Roman" w:eastAsia="Calibri" w:hAnsi="Times New Roman" w:cs="Times New Roman"/>
                <w:sz w:val="16"/>
                <w:szCs w:val="16"/>
              </w:rPr>
              <w:t>85</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CA26636" w14:textId="6D1E9D87" w:rsidR="001D6E1E" w:rsidRPr="00093498" w:rsidRDefault="003A1A7B" w:rsidP="00036805">
            <w:pPr>
              <w:rPr>
                <w:rFonts w:ascii="Times New Roman"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0.65, 0.98]</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D37F8F1" w14:textId="014DDA41" w:rsidR="001D6E1E" w:rsidRPr="00093498" w:rsidRDefault="00817783" w:rsidP="00036805">
            <w:pPr>
              <w:rPr>
                <w:rFonts w:ascii="Times New Roman" w:eastAsia="Calibri" w:hAnsi="Times New Roman" w:cs="Times New Roman"/>
                <w:sz w:val="16"/>
                <w:szCs w:val="16"/>
                <w:highlight w:val="yellow"/>
              </w:rPr>
            </w:pPr>
            <w:proofErr w:type="spellStart"/>
            <w:r w:rsidRPr="00817783">
              <w:rPr>
                <w:rFonts w:ascii="Times New Roman" w:eastAsia="Calibri" w:hAnsi="Times New Roman" w:cs="Times New Roman"/>
                <w:sz w:val="16"/>
                <w:szCs w:val="16"/>
              </w:rPr>
              <w:t>DynamoLLM</w:t>
            </w:r>
            <w:proofErr w:type="spellEnd"/>
            <w:r w:rsidRPr="00817783">
              <w:rPr>
                <w:rFonts w:ascii="Times New Roman" w:eastAsia="Calibri" w:hAnsi="Times New Roman" w:cs="Times New Roman"/>
                <w:sz w:val="16"/>
                <w:szCs w:val="16"/>
              </w:rPr>
              <w:t xml:space="preserve"> peak-to-valley ratios 3.3× to 34.6× at single-facility scale; fleet-scale saturation extrapolation novel</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755E86E" w14:textId="3D72869F" w:rsidR="001D6E1E" w:rsidRPr="00093498" w:rsidRDefault="00E33BC8" w:rsidP="00036805">
            <w:pPr>
              <w:rPr>
                <w:rFonts w:ascii="Times New Roman" w:hAnsi="Times New Roman" w:cs="Times New Roman"/>
                <w:sz w:val="16"/>
                <w:szCs w:val="16"/>
                <w:highlight w:val="yellow"/>
              </w:rPr>
            </w:pPr>
            <w:r w:rsidRPr="00E33BC8">
              <w:rPr>
                <w:rFonts w:ascii="Times New Roman" w:eastAsia="Calibri" w:hAnsi="Times New Roman" w:cs="Times New Roman"/>
                <w:sz w:val="16"/>
                <w:szCs w:val="16"/>
              </w:rPr>
              <w:t>Stojkovic et al., HPCA (2025)</w:t>
            </w:r>
          </w:p>
        </w:tc>
      </w:tr>
      <w:tr w:rsidR="005657DD" w:rsidRPr="00A025CD" w14:paraId="0C15B68B"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57B88878" w14:textId="3A9F406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5D584C44" w14:textId="280A4FED"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Sustained peak-power reduction</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F72C364" w14:textId="2100C057" w:rsidR="005657DD" w:rsidRPr="00A025CD" w:rsidRDefault="00093498" w:rsidP="00036805">
            <w:pPr>
              <w:rPr>
                <w:rFonts w:ascii="Times New Roman" w:eastAsia="Calibri" w:hAnsi="Times New Roman" w:cs="Times New Roman"/>
                <w:sz w:val="16"/>
                <w:szCs w:val="16"/>
              </w:rPr>
            </w:pPr>
            <w:proofErr w:type="spellStart"/>
            <w:r>
              <w:rPr>
                <w:rFonts w:ascii="Times New Roman" w:eastAsia="Calibri" w:hAnsi="Times New Roman" w:cs="Times New Roman"/>
                <w:sz w:val="16"/>
                <w:szCs w:val="16"/>
              </w:rPr>
              <w:t>DVFS_headroom</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0BEA261" w14:textId="202565F9"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0.25 (B)</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7C682EEA" w14:textId="22D401BC" w:rsidR="005657DD" w:rsidRPr="00093498" w:rsidRDefault="003A1A7B" w:rsidP="00036805">
            <w:pPr>
              <w:rPr>
                <w:rFonts w:ascii="Times New Roman" w:eastAsia="Calibri" w:hAnsi="Times New Roman" w:cs="Times New Roman"/>
                <w:sz w:val="16"/>
                <w:szCs w:val="16"/>
                <w:highlight w:val="yellow"/>
              </w:rPr>
            </w:pPr>
            <w:r w:rsidRPr="003A1A7B">
              <w:rPr>
                <w:rFonts w:ascii="Times New Roman" w:eastAsia="Calibri" w:hAnsi="Times New Roman" w:cs="Times New Roman"/>
                <w:sz w:val="16"/>
                <w:szCs w:val="16"/>
              </w:rPr>
              <w:t xml:space="preserve">Ensemble-dependent ±0.07; A: 0.18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 xml:space="preserve">B: 0.25 </w:t>
            </w:r>
            <w:r w:rsidR="00710748">
              <w:rPr>
                <w:rFonts w:ascii="Times New Roman" w:eastAsia="Calibri" w:hAnsi="Times New Roman" w:cs="Times New Roman"/>
                <w:sz w:val="16"/>
                <w:szCs w:val="16"/>
              </w:rPr>
              <w:br/>
            </w:r>
            <w:r w:rsidRPr="003A1A7B">
              <w:rPr>
                <w:rFonts w:ascii="Times New Roman" w:eastAsia="Calibri" w:hAnsi="Times New Roman" w:cs="Times New Roman"/>
                <w:sz w:val="16"/>
                <w:szCs w:val="16"/>
              </w:rPr>
              <w:t>C: 0.32</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DCB261" w14:textId="60DB69A5"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25% sustained cluster-level peak power reduction over 3 hours; corroborated by Patel 21% inference headroom and Dynamo Fig. 13 knee</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04B41852" w14:textId="63945197"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 xml:space="preserve">Colangelo et al. (2026); Patel et al., ASPLOS (2024); Wu et al., ISCA (2016); </w:t>
            </w:r>
            <w:proofErr w:type="spellStart"/>
            <w:r w:rsidRPr="00E33BC8">
              <w:rPr>
                <w:rFonts w:ascii="Times New Roman" w:eastAsia="Calibri" w:hAnsi="Times New Roman" w:cs="Times New Roman"/>
                <w:sz w:val="16"/>
                <w:szCs w:val="16"/>
              </w:rPr>
              <w:t>Kakolyris</w:t>
            </w:r>
            <w:proofErr w:type="spellEnd"/>
            <w:r w:rsidRPr="00E33BC8">
              <w:rPr>
                <w:rFonts w:ascii="Times New Roman" w:eastAsia="Calibri" w:hAnsi="Times New Roman" w:cs="Times New Roman"/>
                <w:sz w:val="16"/>
                <w:szCs w:val="16"/>
              </w:rPr>
              <w:t xml:space="preserve"> et al., IEEE CAL (2024)</w:t>
            </w:r>
          </w:p>
        </w:tc>
      </w:tr>
      <w:tr w:rsidR="005657DD" w:rsidRPr="00A025CD" w14:paraId="33A3E88A" w14:textId="77777777" w:rsidTr="00710748">
        <w:tc>
          <w:tcPr>
            <w:tcW w:w="1075"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377266C1" w14:textId="72CA863A"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DVFS</w:t>
            </w:r>
          </w:p>
        </w:tc>
        <w:tc>
          <w:tcPr>
            <w:tcW w:w="936" w:type="dxa"/>
            <w:tcBorders>
              <w:top w:val="single" w:sz="4" w:space="0" w:color="666666"/>
              <w:left w:val="single" w:sz="4" w:space="0" w:color="666666"/>
              <w:bottom w:val="single" w:sz="4" w:space="0" w:color="666666"/>
              <w:right w:val="single" w:sz="4" w:space="0" w:color="666666"/>
            </w:tcBorders>
          </w:tcPr>
          <w:p w14:paraId="3ADCCAF6" w14:textId="05F6B9B6" w:rsidR="005657DD" w:rsidRDefault="005657DD" w:rsidP="00036805">
            <w:pPr>
              <w:rPr>
                <w:rFonts w:ascii="Times New Roman" w:eastAsia="Calibri" w:hAnsi="Times New Roman" w:cs="Times New Roman"/>
                <w:sz w:val="16"/>
                <w:szCs w:val="16"/>
              </w:rPr>
            </w:pPr>
            <w:r>
              <w:rPr>
                <w:rFonts w:ascii="Times New Roman" w:eastAsia="Calibri" w:hAnsi="Times New Roman" w:cs="Times New Roman"/>
                <w:sz w:val="16"/>
                <w:szCs w:val="16"/>
              </w:rPr>
              <w:t>Within-window SLO compliance</w:t>
            </w:r>
          </w:p>
        </w:tc>
        <w:tc>
          <w:tcPr>
            <w:tcW w:w="1224"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36318D5" w14:textId="541815FD" w:rsidR="005657DD" w:rsidRPr="00A025CD" w:rsidRDefault="005657DD" w:rsidP="00036805">
            <w:pPr>
              <w:rPr>
                <w:rFonts w:ascii="Times New Roman" w:eastAsia="Calibri" w:hAnsi="Times New Roman" w:cs="Times New Roman"/>
                <w:sz w:val="16"/>
                <w:szCs w:val="16"/>
              </w:rPr>
            </w:pPr>
            <w:proofErr w:type="spellStart"/>
            <w:r>
              <w:rPr>
                <w:rFonts w:ascii="Times New Roman" w:eastAsia="Calibri" w:hAnsi="Times New Roman" w:cs="Times New Roman"/>
                <w:sz w:val="16"/>
                <w:szCs w:val="16"/>
              </w:rPr>
              <w:t>DVFS_reliabilit</w:t>
            </w:r>
            <w:r w:rsidR="00093498">
              <w:rPr>
                <w:rFonts w:ascii="Times New Roman" w:eastAsia="Calibri" w:hAnsi="Times New Roman" w:cs="Times New Roman"/>
                <w:sz w:val="16"/>
                <w:szCs w:val="16"/>
              </w:rPr>
              <w:t>y</w:t>
            </w:r>
            <w:proofErr w:type="spellEnd"/>
          </w:p>
        </w:tc>
        <w:tc>
          <w:tcPr>
            <w:tcW w:w="90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BBC7892" w14:textId="612B5D7C" w:rsidR="005657DD" w:rsidRPr="003A1A7B" w:rsidRDefault="003A1A7B" w:rsidP="00036805">
            <w:pPr>
              <w:rPr>
                <w:rFonts w:ascii="Times New Roman" w:eastAsia="Calibri" w:hAnsi="Times New Roman" w:cs="Times New Roman"/>
                <w:sz w:val="16"/>
                <w:szCs w:val="16"/>
              </w:rPr>
            </w:pPr>
            <w:r w:rsidRPr="003A1A7B">
              <w:rPr>
                <w:rFonts w:ascii="Times New Roman" w:eastAsia="Calibri" w:hAnsi="Times New Roman" w:cs="Times New Roman"/>
                <w:sz w:val="16"/>
                <w:szCs w:val="16"/>
              </w:rPr>
              <w:t>0.98</w:t>
            </w:r>
          </w:p>
        </w:tc>
        <w:tc>
          <w:tcPr>
            <w:tcW w:w="2070"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86A6709" w14:textId="15BDF1C7" w:rsidR="005657DD" w:rsidRPr="00093498" w:rsidRDefault="003A1A7B" w:rsidP="00036805">
            <w:pPr>
              <w:rPr>
                <w:rFonts w:ascii="Times New Roman" w:eastAsia="Calibri" w:hAnsi="Times New Roman" w:cs="Times New Roman"/>
                <w:sz w:val="16"/>
                <w:szCs w:val="16"/>
                <w:highlight w:val="yellow"/>
              </w:rPr>
            </w:pPr>
            <w:proofErr w:type="gramStart"/>
            <w:r w:rsidRPr="003A1A7B">
              <w:rPr>
                <w:rFonts w:ascii="Times New Roman" w:eastAsia="Calibri" w:hAnsi="Times New Roman" w:cs="Times New Roman"/>
                <w:sz w:val="16"/>
                <w:szCs w:val="16"/>
              </w:rPr>
              <w:t>Uniform[</w:t>
            </w:r>
            <w:proofErr w:type="gramEnd"/>
            <w:r w:rsidRPr="003A1A7B">
              <w:rPr>
                <w:rFonts w:ascii="Times New Roman" w:eastAsia="Calibri" w:hAnsi="Times New Roman" w:cs="Times New Roman"/>
                <w:sz w:val="16"/>
                <w:szCs w:val="16"/>
              </w:rPr>
              <w:t>0.95, 0.995]</w:t>
            </w:r>
          </w:p>
        </w:tc>
        <w:tc>
          <w:tcPr>
            <w:tcW w:w="4066"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44FF909F" w14:textId="156CF08D" w:rsidR="005657DD" w:rsidRPr="00093498" w:rsidRDefault="00817783" w:rsidP="00036805">
            <w:pPr>
              <w:rPr>
                <w:rFonts w:ascii="Times New Roman" w:eastAsia="Calibri" w:hAnsi="Times New Roman" w:cs="Times New Roman"/>
                <w:sz w:val="16"/>
                <w:szCs w:val="16"/>
                <w:highlight w:val="yellow"/>
              </w:rPr>
            </w:pPr>
            <w:r w:rsidRPr="00817783">
              <w:rPr>
                <w:rFonts w:ascii="Times New Roman" w:eastAsia="Calibri" w:hAnsi="Times New Roman" w:cs="Times New Roman"/>
                <w:sz w:val="16"/>
                <w:szCs w:val="16"/>
              </w:rPr>
              <w:t>Colangelo et al. zero SLA violations across 33 experiments / 212 jobs; corroborated by Thunderbolt and Flex production precedent</w:t>
            </w:r>
          </w:p>
        </w:tc>
        <w:tc>
          <w:tcPr>
            <w:tcW w:w="2919" w:type="dxa"/>
            <w:tcBorders>
              <w:top w:val="single" w:sz="4" w:space="0" w:color="666666"/>
              <w:left w:val="single" w:sz="4" w:space="0" w:color="666666"/>
              <w:bottom w:val="single" w:sz="4" w:space="0" w:color="666666"/>
              <w:right w:val="single" w:sz="4" w:space="0" w:color="666666"/>
            </w:tcBorders>
            <w:tcMar>
              <w:top w:w="80" w:type="dxa"/>
              <w:left w:w="100" w:type="dxa"/>
              <w:bottom w:w="80" w:type="dxa"/>
              <w:right w:w="100" w:type="dxa"/>
            </w:tcMar>
          </w:tcPr>
          <w:p w14:paraId="1B5C0120" w14:textId="027806BE" w:rsidR="005657DD" w:rsidRPr="00093498" w:rsidRDefault="00E33BC8" w:rsidP="00036805">
            <w:pPr>
              <w:rPr>
                <w:rFonts w:ascii="Times New Roman" w:eastAsia="Calibri" w:hAnsi="Times New Roman" w:cs="Times New Roman"/>
                <w:sz w:val="16"/>
                <w:szCs w:val="16"/>
                <w:highlight w:val="yellow"/>
              </w:rPr>
            </w:pPr>
            <w:r w:rsidRPr="00E33BC8">
              <w:rPr>
                <w:rFonts w:ascii="Times New Roman" w:eastAsia="Calibri" w:hAnsi="Times New Roman" w:cs="Times New Roman"/>
                <w:sz w:val="16"/>
                <w:szCs w:val="16"/>
              </w:rPr>
              <w:t>Colangelo et al. (2026); Li et al., OSDI (2020); Zhang et al., ISCA (2021)</w:t>
            </w:r>
          </w:p>
        </w:tc>
      </w:tr>
    </w:tbl>
    <w:p w14:paraId="4FDF57A9" w14:textId="77777777" w:rsidR="00877A4C" w:rsidRDefault="00877A4C" w:rsidP="00877A4C">
      <w:pPr>
        <w:spacing w:before="120" w:after="120" w:line="300" w:lineRule="auto"/>
        <w:rPr>
          <w:rFonts w:ascii="Times New Roman" w:eastAsia="Calibri" w:hAnsi="Times New Roman" w:cs="Times New Roman"/>
          <w:b/>
          <w:bCs/>
        </w:rPr>
        <w:sectPr w:rsidR="00877A4C" w:rsidSect="00877A4C">
          <w:pgSz w:w="15840" w:h="12240" w:orient="landscape"/>
          <w:pgMar w:top="1440" w:right="1440" w:bottom="1440" w:left="1440" w:header="720" w:footer="720" w:gutter="0"/>
          <w:cols w:space="720"/>
          <w:docGrid w:linePitch="360"/>
        </w:sectPr>
      </w:pPr>
    </w:p>
    <w:p w14:paraId="4BE0B5C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Composition formulas</w:t>
      </w:r>
    </w:p>
    <w:p w14:paraId="06AB9ED8"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three </w:t>
      </w:r>
      <w:proofErr w:type="gramStart"/>
      <w:r w:rsidRPr="00C74245">
        <w:rPr>
          <w:rFonts w:ascii="Times New Roman" w:hAnsi="Times New Roman" w:cs="Times New Roman"/>
          <w:bCs/>
        </w:rPr>
        <w:t>mini-cascades</w:t>
      </w:r>
      <w:proofErr w:type="gramEnd"/>
      <w:r w:rsidRPr="00C74245">
        <w:rPr>
          <w:rFonts w:ascii="Times New Roman" w:hAnsi="Times New Roman" w:cs="Times New Roman"/>
          <w:bCs/>
        </w:rPr>
        <w:t xml:space="preserve"> compose multiplicatively within mechanism and additively across mechanisms with sequential ordering:</w:t>
      </w:r>
    </w:p>
    <w:p w14:paraId="00F97361"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Spatial mechanism:</w:t>
      </w:r>
    </w:p>
    <w:p w14:paraId="7CCBF879" w14:textId="47C57D57" w:rsidR="00C74245" w:rsidRPr="00C74245" w:rsidRDefault="002A3C16" w:rsidP="00C74245">
      <w:pPr>
        <w:rPr>
          <w:rFonts w:ascii="Times New Roman" w:hAnsi="Times New Roman" w:cs="Times New Roman"/>
          <w:bCs/>
        </w:rPr>
      </w:pPr>
      <m:oMathPara>
        <m:oMath>
          <m:r>
            <w:rPr>
              <w:rFonts w:ascii="Cambria Math" w:hAnsi="Cambria Math" w:cs="Times New Roman"/>
            </w:rPr>
            <m:t>M_spatial = (nameplate × (1/PUE) × φ_inf,scope) × (MIG_elig × DRAIN_ok × DEST_avail × DEST_absorb × NET_ok × ORCH_ok)</m:t>
          </m:r>
        </m:oMath>
      </m:oMathPara>
    </w:p>
    <w:p w14:paraId="3808288E"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Deferral mechanism (sequential, on residual after spatial):</w:t>
      </w:r>
    </w:p>
    <w:p w14:paraId="2C089280" w14:textId="1E2ED3A4"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NI</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share</m:t>
                  </m:r>
                </m:sub>
              </m:sSub>
              <m:r>
                <w:rPr>
                  <w:rFonts w:ascii="Cambria Math" w:hAnsi="Cambria Math" w:cs="Times New Roman"/>
                </w:rPr>
                <m:t>× WINDO</m:t>
              </m:r>
              <m:sSub>
                <m:sSubPr>
                  <m:ctrlPr>
                    <w:rPr>
                      <w:rFonts w:ascii="Cambria Math" w:hAnsi="Cambria Math" w:cs="Times New Roman"/>
                      <w:bCs/>
                      <w:i/>
                    </w:rPr>
                  </m:ctrlPr>
                </m:sSubPr>
                <m:e>
                  <m:r>
                    <w:rPr>
                      <w:rFonts w:ascii="Cambria Math" w:hAnsi="Cambria Math" w:cs="Times New Roman"/>
                    </w:rPr>
                    <m:t>W</m:t>
                  </m:r>
                </m:e>
                <m:sub>
                  <m:r>
                    <w:rPr>
                      <w:rFonts w:ascii="Cambria Math" w:hAnsi="Cambria Math" w:cs="Times New Roman"/>
                    </w:rPr>
                    <m:t>ok</m:t>
                  </m:r>
                </m:sub>
              </m:sSub>
              <m:r>
                <w:rPr>
                  <w:rFonts w:ascii="Cambria Math" w:hAnsi="Cambria Math" w:cs="Times New Roman"/>
                </w:rPr>
                <m:t>× QUEU</m:t>
              </m:r>
              <m:sSub>
                <m:sSubPr>
                  <m:ctrlPr>
                    <w:rPr>
                      <w:rFonts w:ascii="Cambria Math" w:hAnsi="Cambria Math" w:cs="Times New Roman"/>
                      <w:bCs/>
                      <w:i/>
                    </w:rPr>
                  </m:ctrlPr>
                </m:sSubPr>
                <m:e>
                  <m:r>
                    <w:rPr>
                      <w:rFonts w:ascii="Cambria Math" w:hAnsi="Cambria Math" w:cs="Times New Roman"/>
                    </w:rPr>
                    <m:t>E</m:t>
                  </m:r>
                </m:e>
                <m:sub>
                  <m:r>
                    <w:rPr>
                      <w:rFonts w:ascii="Cambria Math" w:hAnsi="Cambria Math" w:cs="Times New Roman"/>
                    </w:rPr>
                    <m:t>ok</m:t>
                  </m:r>
                </m:sub>
              </m:sSub>
            </m:e>
          </m:d>
        </m:oMath>
      </m:oMathPara>
    </w:p>
    <w:p w14:paraId="5FE8F3D7"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DVFS mechanism (sequential, on residual after spatial + deferral):</w:t>
      </w:r>
    </w:p>
    <w:p w14:paraId="06DF79EB" w14:textId="21AB001E" w:rsidR="00C74245" w:rsidRPr="00C74245" w:rsidRDefault="002A3C16" w:rsidP="00C74245">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DVFS</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 xml:space="preserve">facility inference MW -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spatial</m:t>
                  </m:r>
                </m:sub>
              </m:sSub>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defer</m:t>
                  </m:r>
                </m:sub>
              </m:sSub>
            </m:e>
          </m:d>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headroom</m:t>
                  </m:r>
                </m:sub>
              </m:sSub>
              <m:r>
                <w:rPr>
                  <w:rFonts w:ascii="Cambria Math" w:hAnsi="Cambria Math" w:cs="Times New Roman"/>
                </w:rPr>
                <m:t>× DVF</m:t>
              </m:r>
              <m:sSub>
                <m:sSubPr>
                  <m:ctrlPr>
                    <w:rPr>
                      <w:rFonts w:ascii="Cambria Math" w:hAnsi="Cambria Math" w:cs="Times New Roman"/>
                      <w:bCs/>
                      <w:i/>
                    </w:rPr>
                  </m:ctrlPr>
                </m:sSubPr>
                <m:e>
                  <m:r>
                    <w:rPr>
                      <w:rFonts w:ascii="Cambria Math" w:hAnsi="Cambria Math" w:cs="Times New Roman"/>
                    </w:rPr>
                    <m:t>S</m:t>
                  </m:r>
                </m:e>
                <m:sub>
                  <m:r>
                    <w:rPr>
                      <w:rFonts w:ascii="Cambria Math" w:hAnsi="Cambria Math" w:cs="Times New Roman"/>
                    </w:rPr>
                    <m:t>reliability</m:t>
                  </m:r>
                </m:sub>
              </m:sSub>
            </m:e>
          </m:d>
        </m:oMath>
      </m:oMathPara>
    </w:p>
    <w:p w14:paraId="4654D4A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Total commitment depth per facility MW:</w:t>
      </w:r>
    </w:p>
    <w:p w14:paraId="3F700CC6" w14:textId="29AAD3D5" w:rsidR="00C74245" w:rsidRPr="00C74245" w:rsidRDefault="002A3C16" w:rsidP="00C74245">
      <w:pPr>
        <w:rPr>
          <w:rFonts w:ascii="Times New Roman" w:hAnsi="Times New Roman" w:cs="Times New Roman"/>
          <w:bCs/>
        </w:rPr>
      </w:pPr>
      <m:oMathPara>
        <m:oMath>
          <m:r>
            <w:rPr>
              <w:rFonts w:ascii="Cambria Math" w:hAnsi="Cambria Math" w:cs="Times New Roman"/>
            </w:rPr>
            <m:t>Commitment depth = (M_spatial + M_defer + M_DVFS) / nameplate</m:t>
          </m:r>
        </m:oMath>
      </m:oMathPara>
    </w:p>
    <w:p w14:paraId="48A6E18B"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sequential ordering implements the overlap correction between DVFS and deferral. Colangelo et al.'s observation that 25% peak-power reduction translates to only 5% energy reduction reflects work returning post-event — that is, DVFS at the source partially substitutes for deferral. By applying DVFS only to inference residual after deferral has removed its NIW slice, the same megawatt of NIW load cannot be counted twice: it is either deferred (work pushed to post-event hours) or DVFS-reduced (work done at lower power within the dispatch window), not both.</w:t>
      </w:r>
    </w:p>
    <w:p w14:paraId="452774A0"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The PUE assumption (1.3) is applied at the megawatt-translation layer inside the spatial composition formula above. Translations to facility-metered quantities in Section 6 therefore do not require an additional PUE step; commitment depth is reported as a fraction of facility nameplate directly.</w:t>
      </w:r>
    </w:p>
    <w:p w14:paraId="15B203E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Conditional Monte Carlo simulation</w:t>
      </w:r>
    </w:p>
    <w:p w14:paraId="694B9BD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For each of the 200 ComEd stress hours, the conditional Monte Carlo simulation identifies the set of unstressed destination zones from DA LMP flags (the </w:t>
      </w:r>
      <w:proofErr w:type="spellStart"/>
      <w:r w:rsidRPr="00C74245">
        <w:rPr>
          <w:rFonts w:ascii="Times New Roman" w:hAnsi="Times New Roman" w:cs="Times New Roman"/>
          <w:bCs/>
        </w:rPr>
        <w:t>DEST_avail</w:t>
      </w:r>
      <w:proofErr w:type="spellEnd"/>
      <w:r w:rsidRPr="00C74245">
        <w:rPr>
          <w:rFonts w:ascii="Times New Roman" w:hAnsi="Times New Roman" w:cs="Times New Roman"/>
          <w:bCs/>
        </w:rPr>
        <w:t xml:space="preserve"> observation) and uses their realized capacities directly. For each unstressed destination, available headroom is computed as destination capacity × </w:t>
      </w:r>
      <w:proofErr w:type="spellStart"/>
      <w:r w:rsidRPr="00C74245">
        <w:rPr>
          <w:rFonts w:ascii="Times New Roman" w:hAnsi="Times New Roman" w:cs="Times New Roman"/>
          <w:bCs/>
        </w:rPr>
        <w:t>DEST_absorb</w:t>
      </w:r>
      <w:proofErr w:type="spellEnd"/>
      <w:r w:rsidRPr="00C74245">
        <w:rPr>
          <w:rFonts w:ascii="Times New Roman" w:hAnsi="Times New Roman" w:cs="Times New Roman"/>
          <w:bCs/>
        </w:rPr>
        <w:t xml:space="preserve">. Migrating demand from the source facility or fleet is allocated across destinations in proportion to available headroom; when aggregate demand exceeds aggregate headroom, destinations fill to their individual </w:t>
      </w:r>
      <w:proofErr w:type="gramStart"/>
      <w:r w:rsidRPr="00C74245">
        <w:rPr>
          <w:rFonts w:ascii="Times New Roman" w:hAnsi="Times New Roman" w:cs="Times New Roman"/>
          <w:bCs/>
        </w:rPr>
        <w:t>capacities</w:t>
      </w:r>
      <w:proofErr w:type="gramEnd"/>
      <w:r w:rsidRPr="00C74245">
        <w:rPr>
          <w:rFonts w:ascii="Times New Roman" w:hAnsi="Times New Roman" w:cs="Times New Roman"/>
          <w:bCs/>
        </w:rPr>
        <w:t xml:space="preserve"> and the unallocated demand contributes nothing to the spatial mechanism (but the deferral and DVFS mechanisms still contribute on the residual).</w:t>
      </w:r>
    </w:p>
    <w:p w14:paraId="14A65D6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lastRenderedPageBreak/>
        <w:t>The conditional MC uses the following parameter scheme:</w:t>
      </w:r>
    </w:p>
    <w:p w14:paraId="4D5ADBAA"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Observed per-hour from empirical data (1 parameter):</w:t>
      </w:r>
      <w:r w:rsidRPr="00C74245">
        <w:rPr>
          <w:rFonts w:ascii="Times New Roman" w:hAnsi="Times New Roman" w:cs="Times New Roman"/>
          <w:bCs/>
        </w:rPr>
        <w:t xml:space="preserve"> </w:t>
      </w:r>
      <w:proofErr w:type="spellStart"/>
      <w:r w:rsidRPr="00C74245">
        <w:rPr>
          <w:rFonts w:ascii="Times New Roman" w:hAnsi="Times New Roman" w:cs="Times New Roman"/>
          <w:bCs/>
        </w:rPr>
        <w:t>DEST_avail</w:t>
      </w:r>
      <w:proofErr w:type="spellEnd"/>
      <w:r w:rsidRPr="00C74245">
        <w:rPr>
          <w:rFonts w:ascii="Times New Roman" w:hAnsi="Times New Roman" w:cs="Times New Roman"/>
          <w:bCs/>
        </w:rPr>
        <w:t>. The simulation conditions on the empirical realization rather than drawing from a distribution; this is the "conditional" in conditional Monte Carlo.</w:t>
      </w:r>
    </w:p>
    <w:p w14:paraId="31A9E406"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Drawn independently per iteration from specified distributions (3 parameters):</w:t>
      </w:r>
      <w:r w:rsidRPr="00C74245">
        <w:rPr>
          <w:rFonts w:ascii="Times New Roman" w:hAnsi="Times New Roman" w:cs="Times New Roman"/>
          <w:bCs/>
        </w:rPr>
        <w:t xml:space="preserve"> </w:t>
      </w:r>
      <w:proofErr w:type="spellStart"/>
      <w:r w:rsidRPr="00C74245">
        <w:rPr>
          <w:rFonts w:ascii="Times New Roman" w:hAnsi="Times New Roman" w:cs="Times New Roman"/>
          <w:bCs/>
        </w:rPr>
        <w:t>DEST_absorb</w:t>
      </w:r>
      <w:proofErr w:type="spellEnd"/>
      <w:r w:rsidRPr="00C74245">
        <w:rPr>
          <w:rFonts w:ascii="Times New Roman" w:hAnsi="Times New Roman" w:cs="Times New Roman"/>
          <w:bCs/>
        </w:rPr>
        <w:t xml:space="preserve"> (</w:t>
      </w:r>
      <w:proofErr w:type="gramStart"/>
      <w:r w:rsidRPr="00C74245">
        <w:rPr>
          <w:rFonts w:ascii="Times New Roman" w:hAnsi="Times New Roman" w:cs="Times New Roman"/>
          <w:bCs/>
        </w:rPr>
        <w:t>Uniform[</w:t>
      </w:r>
      <w:proofErr w:type="gramEnd"/>
      <w:r w:rsidRPr="00C74245">
        <w:rPr>
          <w:rFonts w:ascii="Times New Roman" w:hAnsi="Times New Roman" w:cs="Times New Roman"/>
          <w:bCs/>
        </w:rPr>
        <w:t xml:space="preserve">0.15, 0.55]), </w:t>
      </w:r>
      <w:proofErr w:type="spellStart"/>
      <w:r w:rsidRPr="00C74245">
        <w:rPr>
          <w:rFonts w:ascii="Times New Roman" w:hAnsi="Times New Roman" w:cs="Times New Roman"/>
          <w:bCs/>
        </w:rPr>
        <w:t>QUEUE_ok</w:t>
      </w:r>
      <w:proofErr w:type="spellEnd"/>
      <w:r w:rsidRPr="00C74245">
        <w:rPr>
          <w:rFonts w:ascii="Times New Roman" w:hAnsi="Times New Roman" w:cs="Times New Roman"/>
          <w:bCs/>
        </w:rPr>
        <w:t xml:space="preserve"> (</w:t>
      </w:r>
      <w:proofErr w:type="gramStart"/>
      <w:r w:rsidRPr="00C74245">
        <w:rPr>
          <w:rFonts w:ascii="Times New Roman" w:hAnsi="Times New Roman" w:cs="Times New Roman"/>
          <w:bCs/>
        </w:rPr>
        <w:t>Uniform[</w:t>
      </w:r>
      <w:proofErr w:type="gramEnd"/>
      <w:r w:rsidRPr="00C74245">
        <w:rPr>
          <w:rFonts w:ascii="Times New Roman" w:hAnsi="Times New Roman" w:cs="Times New Roman"/>
          <w:bCs/>
        </w:rPr>
        <w:t xml:space="preserve">0.65, 0.98]), and one of </w:t>
      </w:r>
      <w:proofErr w:type="spellStart"/>
      <w:r w:rsidRPr="00C74245">
        <w:rPr>
          <w:rFonts w:ascii="Times New Roman" w:hAnsi="Times New Roman" w:cs="Times New Roman"/>
          <w:bCs/>
        </w:rPr>
        <w:t>NIW_share</w:t>
      </w:r>
      <w:proofErr w:type="spellEnd"/>
      <w:r w:rsidRPr="00C74245">
        <w:rPr>
          <w:rFonts w:ascii="Times New Roman" w:hAnsi="Times New Roman" w:cs="Times New Roman"/>
          <w:bCs/>
        </w:rPr>
        <w:t xml:space="preserve"> / </w:t>
      </w:r>
      <w:proofErr w:type="spellStart"/>
      <w:r w:rsidRPr="00C74245">
        <w:rPr>
          <w:rFonts w:ascii="Times New Roman" w:hAnsi="Times New Roman" w:cs="Times New Roman"/>
          <w:bCs/>
        </w:rPr>
        <w:t>DVFS_headroom</w:t>
      </w:r>
      <w:proofErr w:type="spellEnd"/>
      <w:r w:rsidRPr="00C74245">
        <w:rPr>
          <w:rFonts w:ascii="Times New Roman" w:hAnsi="Times New Roman" w:cs="Times New Roman"/>
          <w:bCs/>
        </w:rPr>
        <w:t xml:space="preserve"> per ensemble specification. These represent the residual absorption uncertainty the operator cannot observe at commitment time.</w:t>
      </w:r>
    </w:p>
    <w:p w14:paraId="5D9D76CC"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
          <w:bCs/>
        </w:rPr>
        <w:t>Held fixed at central values (7 parameters):</w:t>
      </w:r>
      <w:r w:rsidRPr="00C74245">
        <w:rPr>
          <w:rFonts w:ascii="Times New Roman" w:hAnsi="Times New Roman" w:cs="Times New Roman"/>
          <w:bCs/>
        </w:rPr>
        <w:t xml:space="preserve"> </w:t>
      </w:r>
      <w:proofErr w:type="spellStart"/>
      <w:r w:rsidRPr="00C74245">
        <w:rPr>
          <w:rFonts w:ascii="Times New Roman" w:hAnsi="Times New Roman" w:cs="Times New Roman"/>
          <w:bCs/>
        </w:rPr>
        <w:t>φ_inf</w:t>
      </w:r>
      <w:proofErr w:type="spellEnd"/>
      <w:r w:rsidRPr="00C74245">
        <w:rPr>
          <w:rFonts w:ascii="Times New Roman" w:hAnsi="Times New Roman" w:cs="Times New Roman"/>
          <w:bCs/>
        </w:rPr>
        <w:t xml:space="preserve"> at the scope-scenario value (run separately for mixed-use and inference-dominant), </w:t>
      </w:r>
      <w:proofErr w:type="spellStart"/>
      <w:r w:rsidRPr="00C74245">
        <w:rPr>
          <w:rFonts w:ascii="Times New Roman" w:hAnsi="Times New Roman" w:cs="Times New Roman"/>
          <w:bCs/>
        </w:rPr>
        <w:t>MIG_elig</w:t>
      </w:r>
      <w:proofErr w:type="spellEnd"/>
      <w:r w:rsidRPr="00C74245">
        <w:rPr>
          <w:rFonts w:ascii="Times New Roman" w:hAnsi="Times New Roman" w:cs="Times New Roman"/>
          <w:bCs/>
        </w:rPr>
        <w:t xml:space="preserve"> = 0.65, </w:t>
      </w:r>
      <w:proofErr w:type="spellStart"/>
      <w:r w:rsidRPr="00C74245">
        <w:rPr>
          <w:rFonts w:ascii="Times New Roman" w:hAnsi="Times New Roman" w:cs="Times New Roman"/>
          <w:bCs/>
        </w:rPr>
        <w:t>DRAIN_ok</w:t>
      </w:r>
      <w:proofErr w:type="spellEnd"/>
      <w:r w:rsidRPr="00C74245">
        <w:rPr>
          <w:rFonts w:ascii="Times New Roman" w:hAnsi="Times New Roman" w:cs="Times New Roman"/>
          <w:bCs/>
        </w:rPr>
        <w:t xml:space="preserve"> = 0.95, </w:t>
      </w:r>
      <w:proofErr w:type="spellStart"/>
      <w:r w:rsidRPr="00C74245">
        <w:rPr>
          <w:rFonts w:ascii="Times New Roman" w:hAnsi="Times New Roman" w:cs="Times New Roman"/>
          <w:bCs/>
        </w:rPr>
        <w:t>NET_ok</w:t>
      </w:r>
      <w:proofErr w:type="spellEnd"/>
      <w:r w:rsidRPr="00C74245">
        <w:rPr>
          <w:rFonts w:ascii="Times New Roman" w:hAnsi="Times New Roman" w:cs="Times New Roman"/>
          <w:bCs/>
        </w:rPr>
        <w:t xml:space="preserve"> = 0.98, </w:t>
      </w:r>
      <w:proofErr w:type="spellStart"/>
      <w:r w:rsidRPr="00C74245">
        <w:rPr>
          <w:rFonts w:ascii="Times New Roman" w:hAnsi="Times New Roman" w:cs="Times New Roman"/>
          <w:bCs/>
        </w:rPr>
        <w:t>ORCH_ok</w:t>
      </w:r>
      <w:proofErr w:type="spellEnd"/>
      <w:r w:rsidRPr="00C74245">
        <w:rPr>
          <w:rFonts w:ascii="Times New Roman" w:hAnsi="Times New Roman" w:cs="Times New Roman"/>
          <w:bCs/>
        </w:rPr>
        <w:t xml:space="preserve"> = 0.95, </w:t>
      </w:r>
      <w:proofErr w:type="spellStart"/>
      <w:r w:rsidRPr="00C74245">
        <w:rPr>
          <w:rFonts w:ascii="Times New Roman" w:hAnsi="Times New Roman" w:cs="Times New Roman"/>
          <w:bCs/>
        </w:rPr>
        <w:t>WINDOW_ok</w:t>
      </w:r>
      <w:proofErr w:type="spellEnd"/>
      <w:r w:rsidRPr="00C74245">
        <w:rPr>
          <w:rFonts w:ascii="Times New Roman" w:hAnsi="Times New Roman" w:cs="Times New Roman"/>
          <w:bCs/>
        </w:rPr>
        <w:t xml:space="preserve"> = 0.95, </w:t>
      </w:r>
      <w:proofErr w:type="spellStart"/>
      <w:r w:rsidRPr="00C74245">
        <w:rPr>
          <w:rFonts w:ascii="Times New Roman" w:hAnsi="Times New Roman" w:cs="Times New Roman"/>
          <w:bCs/>
        </w:rPr>
        <w:t>DVFS_reliability</w:t>
      </w:r>
      <w:proofErr w:type="spellEnd"/>
      <w:r w:rsidRPr="00C74245">
        <w:rPr>
          <w:rFonts w:ascii="Times New Roman" w:hAnsi="Times New Roman" w:cs="Times New Roman"/>
          <w:bCs/>
        </w:rPr>
        <w:t xml:space="preserve"> = 0.98. These are either scope-defining (</w:t>
      </w:r>
      <w:proofErr w:type="spellStart"/>
      <w:r w:rsidRPr="00C74245">
        <w:rPr>
          <w:rFonts w:ascii="Times New Roman" w:hAnsi="Times New Roman" w:cs="Times New Roman"/>
          <w:bCs/>
        </w:rPr>
        <w:t>φ_inf</w:t>
      </w:r>
      <w:proofErr w:type="spellEnd"/>
      <w:r w:rsidRPr="00C74245">
        <w:rPr>
          <w:rFonts w:ascii="Times New Roman" w:hAnsi="Times New Roman" w:cs="Times New Roman"/>
          <w:bCs/>
        </w:rPr>
        <w:t>), known by-construction software properties (</w:t>
      </w:r>
      <w:proofErr w:type="spellStart"/>
      <w:r w:rsidRPr="00C74245">
        <w:rPr>
          <w:rFonts w:ascii="Times New Roman" w:hAnsi="Times New Roman" w:cs="Times New Roman"/>
          <w:bCs/>
        </w:rPr>
        <w:t>DRAIN_ok</w:t>
      </w:r>
      <w:proofErr w:type="spellEnd"/>
      <w:r w:rsidRPr="00C74245">
        <w:rPr>
          <w:rFonts w:ascii="Times New Roman" w:hAnsi="Times New Roman" w:cs="Times New Roman"/>
          <w:bCs/>
        </w:rPr>
        <w:t>), or high-confidence infrastructure SLAs (</w:t>
      </w:r>
      <w:proofErr w:type="spellStart"/>
      <w:r w:rsidRPr="00C74245">
        <w:rPr>
          <w:rFonts w:ascii="Times New Roman" w:hAnsi="Times New Roman" w:cs="Times New Roman"/>
          <w:bCs/>
        </w:rPr>
        <w:t>NET_ok</w:t>
      </w:r>
      <w:proofErr w:type="spellEnd"/>
      <w:r w:rsidRPr="00C74245">
        <w:rPr>
          <w:rFonts w:ascii="Times New Roman" w:hAnsi="Times New Roman" w:cs="Times New Roman"/>
          <w:bCs/>
        </w:rPr>
        <w:t xml:space="preserve">, </w:t>
      </w:r>
      <w:proofErr w:type="spellStart"/>
      <w:r w:rsidRPr="00C74245">
        <w:rPr>
          <w:rFonts w:ascii="Times New Roman" w:hAnsi="Times New Roman" w:cs="Times New Roman"/>
          <w:bCs/>
        </w:rPr>
        <w:t>ORCH_ok</w:t>
      </w:r>
      <w:proofErr w:type="spellEnd"/>
      <w:r w:rsidRPr="00C74245">
        <w:rPr>
          <w:rFonts w:ascii="Times New Roman" w:hAnsi="Times New Roman" w:cs="Times New Roman"/>
          <w:bCs/>
        </w:rPr>
        <w:t xml:space="preserve">, </w:t>
      </w:r>
      <w:proofErr w:type="spellStart"/>
      <w:r w:rsidRPr="00C74245">
        <w:rPr>
          <w:rFonts w:ascii="Times New Roman" w:hAnsi="Times New Roman" w:cs="Times New Roman"/>
          <w:bCs/>
        </w:rPr>
        <w:t>DVFS_reliability</w:t>
      </w:r>
      <w:proofErr w:type="spellEnd"/>
      <w:r w:rsidRPr="00C74245">
        <w:rPr>
          <w:rFonts w:ascii="Times New Roman" w:hAnsi="Times New Roman" w:cs="Times New Roman"/>
          <w:bCs/>
        </w:rPr>
        <w:t>).</w:t>
      </w:r>
    </w:p>
    <w:p w14:paraId="364B2471" w14:textId="1A99E9C2" w:rsidR="00C74245" w:rsidRPr="00C74245" w:rsidRDefault="006C38FF" w:rsidP="00C74245">
      <w:pPr>
        <w:rPr>
          <w:rFonts w:ascii="Times New Roman" w:hAnsi="Times New Roman" w:cs="Times New Roman"/>
          <w:bCs/>
        </w:rPr>
      </w:pPr>
      <w:r w:rsidRPr="006C38FF">
        <w:rPr>
          <w:rFonts w:ascii="Times New Roman" w:hAnsi="Times New Roman" w:cs="Times New Roman"/>
          <w:bCs/>
        </w:rPr>
        <w:t>We additionally ran the conditional MC with PJM Dominion as the source zone as a robustness check; results are reported in Extended Data Table 3.</w:t>
      </w:r>
    </w:p>
    <w:p w14:paraId="3CC8E071"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Variance decomposition</w:t>
      </w:r>
    </w:p>
    <w:p w14:paraId="015717F6" w14:textId="3B48542B" w:rsidR="00C74245" w:rsidRDefault="00C74245" w:rsidP="00C74245">
      <w:pPr>
        <w:rPr>
          <w:rFonts w:ascii="Times New Roman" w:hAnsi="Times New Roman" w:cs="Times New Roman"/>
          <w:bCs/>
        </w:rPr>
      </w:pPr>
      <w:r w:rsidRPr="00C74245">
        <w:rPr>
          <w:rFonts w:ascii="Times New Roman" w:hAnsi="Times New Roman" w:cs="Times New Roman"/>
          <w:bCs/>
        </w:rPr>
        <w:t xml:space="preserve">The unconditional cascade Monte Carlo (N = 50,000) draws all variable parameters independently from their specified distributions, computes the multiplicative-within-mechanism and additive-across-mechanism composition, and applies the commitment depth formula. </w:t>
      </w:r>
      <w:proofErr w:type="spellStart"/>
      <w:r w:rsidR="006C38FF" w:rsidRPr="006C38FF">
        <w:rPr>
          <w:rFonts w:ascii="Times New Roman" w:hAnsi="Times New Roman" w:cs="Times New Roman"/>
          <w:bCs/>
        </w:rPr>
        <w:t>φ_inf</w:t>
      </w:r>
      <w:proofErr w:type="spellEnd"/>
      <w:r w:rsidR="006C38FF" w:rsidRPr="006C38FF">
        <w:rPr>
          <w:rFonts w:ascii="Times New Roman" w:hAnsi="Times New Roman" w:cs="Times New Roman"/>
          <w:bCs/>
        </w:rPr>
        <w:t xml:space="preserve"> is held at one of the two scope-scenario centrals (run separately for each scope); all eleven non-scope parameters are drawn independently from their specified ranges.</w:t>
      </w:r>
      <w:r w:rsidRPr="00C74245">
        <w:rPr>
          <w:rFonts w:ascii="Times New Roman" w:hAnsi="Times New Roman" w:cs="Times New Roman"/>
          <w:bCs/>
        </w:rPr>
        <w:t xml:space="preserve"> Variance attribution uses the η² correlation ratio, computed by digitizing each variable parameter into 20 quantile bins and measuring the between-bin variance of cascade output as a fraction of total variance.</w:t>
      </w:r>
    </w:p>
    <w:p w14:paraId="024DEA5A" w14:textId="37605879" w:rsidR="006C38FF" w:rsidRPr="00C74245" w:rsidRDefault="006C38FF" w:rsidP="00C74245">
      <w:pPr>
        <w:rPr>
          <w:rFonts w:ascii="Times New Roman" w:hAnsi="Times New Roman" w:cs="Times New Roman"/>
          <w:bCs/>
        </w:rPr>
      </w:pPr>
      <w:r w:rsidRPr="006C38FF">
        <w:rPr>
          <w:rFonts w:ascii="Times New Roman" w:hAnsi="Times New Roman" w:cs="Times New Roman"/>
          <w:bCs/>
        </w:rPr>
        <w:t xml:space="preserve">Variance attribution under inference-dominant scope identifies five parameters that together account for over 96% of cascade output variance: </w:t>
      </w:r>
      <w:proofErr w:type="spellStart"/>
      <w:r w:rsidRPr="006C38FF">
        <w:rPr>
          <w:rFonts w:ascii="Times New Roman" w:hAnsi="Times New Roman" w:cs="Times New Roman"/>
          <w:bCs/>
        </w:rPr>
        <w:t>DEST_absorb</w:t>
      </w:r>
      <w:proofErr w:type="spellEnd"/>
      <w:r w:rsidRPr="006C38FF">
        <w:rPr>
          <w:rFonts w:ascii="Times New Roman" w:hAnsi="Times New Roman" w:cs="Times New Roman"/>
          <w:bCs/>
        </w:rPr>
        <w:t xml:space="preserve"> (η² = 0.43, 44% of total), </w:t>
      </w:r>
      <w:proofErr w:type="spellStart"/>
      <w:r w:rsidRPr="006C38FF">
        <w:rPr>
          <w:rFonts w:ascii="Times New Roman" w:hAnsi="Times New Roman" w:cs="Times New Roman"/>
          <w:bCs/>
        </w:rPr>
        <w:t>DVFS_headroom</w:t>
      </w:r>
      <w:proofErr w:type="spellEnd"/>
      <w:r w:rsidRPr="006C38FF">
        <w:rPr>
          <w:rFonts w:ascii="Times New Roman" w:hAnsi="Times New Roman" w:cs="Times New Roman"/>
          <w:bCs/>
        </w:rPr>
        <w:t xml:space="preserve"> (0.22, 22%), </w:t>
      </w:r>
      <w:proofErr w:type="spellStart"/>
      <w:r w:rsidRPr="006C38FF">
        <w:rPr>
          <w:rFonts w:ascii="Times New Roman" w:hAnsi="Times New Roman" w:cs="Times New Roman"/>
          <w:bCs/>
        </w:rPr>
        <w:t>MIG_elig</w:t>
      </w:r>
      <w:proofErr w:type="spellEnd"/>
      <w:r w:rsidRPr="006C38FF">
        <w:rPr>
          <w:rFonts w:ascii="Times New Roman" w:hAnsi="Times New Roman" w:cs="Times New Roman"/>
          <w:bCs/>
        </w:rPr>
        <w:t xml:space="preserve"> (0.13, 13%), </w:t>
      </w:r>
      <w:proofErr w:type="spellStart"/>
      <w:r w:rsidRPr="006C38FF">
        <w:rPr>
          <w:rFonts w:ascii="Times New Roman" w:hAnsi="Times New Roman" w:cs="Times New Roman"/>
          <w:bCs/>
        </w:rPr>
        <w:t>NIW_share</w:t>
      </w:r>
      <w:proofErr w:type="spellEnd"/>
      <w:r w:rsidRPr="006C38FF">
        <w:rPr>
          <w:rFonts w:ascii="Times New Roman" w:hAnsi="Times New Roman" w:cs="Times New Roman"/>
          <w:bCs/>
        </w:rPr>
        <w:t xml:space="preserve"> (0.10, 10%), and </w:t>
      </w:r>
      <w:proofErr w:type="spellStart"/>
      <w:r w:rsidRPr="006C38FF">
        <w:rPr>
          <w:rFonts w:ascii="Times New Roman" w:hAnsi="Times New Roman" w:cs="Times New Roman"/>
          <w:bCs/>
        </w:rPr>
        <w:t>QUEUE_ok</w:t>
      </w:r>
      <w:proofErr w:type="spellEnd"/>
      <w:r w:rsidRPr="006C38FF">
        <w:rPr>
          <w:rFonts w:ascii="Times New Roman" w:hAnsi="Times New Roman" w:cs="Times New Roman"/>
          <w:bCs/>
        </w:rPr>
        <w:t xml:space="preserve"> (0.07, 8%). The remaining six </w:t>
      </w:r>
      <w:proofErr w:type="gramStart"/>
      <w:r w:rsidRPr="006C38FF">
        <w:rPr>
          <w:rFonts w:ascii="Times New Roman" w:hAnsi="Times New Roman" w:cs="Times New Roman"/>
          <w:bCs/>
        </w:rPr>
        <w:t>parameters together</w:t>
      </w:r>
      <w:proofErr w:type="gramEnd"/>
      <w:r w:rsidRPr="006C38FF">
        <w:rPr>
          <w:rFonts w:ascii="Times New Roman" w:hAnsi="Times New Roman" w:cs="Times New Roman"/>
          <w:bCs/>
        </w:rPr>
        <w:t xml:space="preserve"> contribute under 4% of variance, reflecting their tighter empirical anchoring (</w:t>
      </w:r>
      <w:proofErr w:type="spellStart"/>
      <w:r w:rsidRPr="006C38FF">
        <w:rPr>
          <w:rFonts w:ascii="Times New Roman" w:hAnsi="Times New Roman" w:cs="Times New Roman"/>
          <w:bCs/>
        </w:rPr>
        <w:t>DRAIN_ok</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DEST_avail</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NET_ok</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DVFS_reliability</w:t>
      </w:r>
      <w:proofErr w:type="spellEnd"/>
      <w:r w:rsidRPr="006C38FF">
        <w:rPr>
          <w:rFonts w:ascii="Times New Roman" w:hAnsi="Times New Roman" w:cs="Times New Roman"/>
          <w:bCs/>
        </w:rPr>
        <w:t>) or narrower operational ranges (</w:t>
      </w:r>
      <w:proofErr w:type="spellStart"/>
      <w:r w:rsidRPr="006C38FF">
        <w:rPr>
          <w:rFonts w:ascii="Times New Roman" w:hAnsi="Times New Roman" w:cs="Times New Roman"/>
          <w:bCs/>
        </w:rPr>
        <w:t>WINDOW_ok</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ORCH_ok</w:t>
      </w:r>
      <w:proofErr w:type="spellEnd"/>
      <w:r w:rsidRPr="006C38FF">
        <w:rPr>
          <w:rFonts w:ascii="Times New Roman" w:hAnsi="Times New Roman" w:cs="Times New Roman"/>
          <w:bCs/>
        </w:rPr>
        <w:t>). Of the dominant contributors, three are ESTIMATED-WEAK or ESTIMATED-MODERATE under the framework's grounding categories (</w:t>
      </w:r>
      <w:proofErr w:type="spellStart"/>
      <w:r w:rsidRPr="006C38FF">
        <w:rPr>
          <w:rFonts w:ascii="Times New Roman" w:hAnsi="Times New Roman" w:cs="Times New Roman"/>
          <w:bCs/>
        </w:rPr>
        <w:t>DEST_absorb</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MIG_elig</w:t>
      </w:r>
      <w:proofErr w:type="spellEnd"/>
      <w:r w:rsidRPr="006C38FF">
        <w:rPr>
          <w:rFonts w:ascii="Times New Roman" w:hAnsi="Times New Roman" w:cs="Times New Roman"/>
          <w:bCs/>
        </w:rPr>
        <w:t xml:space="preserve"> Component B, </w:t>
      </w:r>
      <w:proofErr w:type="spellStart"/>
      <w:r w:rsidRPr="006C38FF">
        <w:rPr>
          <w:rFonts w:ascii="Times New Roman" w:hAnsi="Times New Roman" w:cs="Times New Roman"/>
          <w:bCs/>
        </w:rPr>
        <w:t>QUEUE_ok</w:t>
      </w:r>
      <w:proofErr w:type="spellEnd"/>
      <w:r w:rsidRPr="006C38FF">
        <w:rPr>
          <w:rFonts w:ascii="Times New Roman" w:hAnsi="Times New Roman" w:cs="Times New Roman"/>
          <w:bCs/>
        </w:rPr>
        <w:t>), and two reflect ensemble-construction uncertainty rather than measurement (</w:t>
      </w:r>
      <w:proofErr w:type="spellStart"/>
      <w:r w:rsidRPr="006C38FF">
        <w:rPr>
          <w:rFonts w:ascii="Times New Roman" w:hAnsi="Times New Roman" w:cs="Times New Roman"/>
          <w:bCs/>
        </w:rPr>
        <w:t>DVFS_headroom</w:t>
      </w:r>
      <w:proofErr w:type="spellEnd"/>
      <w:r w:rsidRPr="006C38FF">
        <w:rPr>
          <w:rFonts w:ascii="Times New Roman" w:hAnsi="Times New Roman" w:cs="Times New Roman"/>
          <w:bCs/>
        </w:rPr>
        <w:t xml:space="preserve">, </w:t>
      </w:r>
      <w:proofErr w:type="spellStart"/>
      <w:r w:rsidRPr="006C38FF">
        <w:rPr>
          <w:rFonts w:ascii="Times New Roman" w:hAnsi="Times New Roman" w:cs="Times New Roman"/>
          <w:bCs/>
        </w:rPr>
        <w:t>NIW_share</w:t>
      </w:r>
      <w:proofErr w:type="spellEnd"/>
      <w:r w:rsidRPr="006C38FF">
        <w:rPr>
          <w:rFonts w:ascii="Times New Roman" w:hAnsi="Times New Roman" w:cs="Times New Roman"/>
          <w:bCs/>
        </w:rPr>
        <w:t xml:space="preserve">). Variance shares for mixed-use scope are computed independently and exported in </w:t>
      </w:r>
      <w:proofErr w:type="spellStart"/>
      <w:r w:rsidRPr="006C38FF">
        <w:rPr>
          <w:rFonts w:ascii="Times New Roman" w:hAnsi="Times New Roman" w:cs="Times New Roman"/>
          <w:bCs/>
        </w:rPr>
        <w:t>cascade_</w:t>
      </w:r>
      <w:proofErr w:type="gramStart"/>
      <w:r w:rsidRPr="006C38FF">
        <w:rPr>
          <w:rFonts w:ascii="Times New Roman" w:hAnsi="Times New Roman" w:cs="Times New Roman"/>
          <w:bCs/>
        </w:rPr>
        <w:t>parameters.json</w:t>
      </w:r>
      <w:proofErr w:type="spellEnd"/>
      <w:proofErr w:type="gramEnd"/>
      <w:r w:rsidRPr="006C38FF">
        <w:rPr>
          <w:rFonts w:ascii="Times New Roman" w:hAnsi="Times New Roman" w:cs="Times New Roman"/>
          <w:bCs/>
        </w:rPr>
        <w:t>.</w:t>
      </w:r>
    </w:p>
    <w:p w14:paraId="58668099"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Stress threshold definition</w:t>
      </w:r>
    </w:p>
    <w:p w14:paraId="6F6065B9" w14:textId="538C3FA2" w:rsidR="00C74245" w:rsidRPr="00C74245" w:rsidRDefault="00C74245" w:rsidP="00C74245">
      <w:pPr>
        <w:rPr>
          <w:rFonts w:ascii="Times New Roman" w:hAnsi="Times New Roman" w:cs="Times New Roman"/>
          <w:bCs/>
        </w:rPr>
      </w:pPr>
      <w:r w:rsidRPr="00C74245">
        <w:rPr>
          <w:rFonts w:ascii="Times New Roman" w:hAnsi="Times New Roman" w:cs="Times New Roman"/>
          <w:bCs/>
        </w:rPr>
        <w:lastRenderedPageBreak/>
        <w:t>Stress hours are defined as the top 50 hours per year per zone (approximately the 99.4th percentile of each zone's four-year distribution), yielding 200 ComEd stress hours over the January 2022 through December 2025 observation period. Sensitivity analysis at alternative thresholds confirms the headline any-destination availability finding is stable: 99.0% at the baseline, varying by at most 1.25 percentage points at the top 25 and top 100 hours per year specifications. The capacity-weighted overlap declines monotonically with threshold tightness (23.9% at top 100/year, 21.6% at baseline, 15.2% at top 25/year), indicating that cross-region decorrelation strengthens at more extreme stress intensities (Extended Data Fig. 1).</w:t>
      </w:r>
    </w:p>
    <w:p w14:paraId="602B59A0"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Workload datasets</w:t>
      </w:r>
    </w:p>
    <w:p w14:paraId="7A1A2CDB" w14:textId="410E1018"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We analyzed 44.1 million production LLM inference requests across two Azure services (Coding and Conversation) drawn from the </w:t>
      </w:r>
      <w:proofErr w:type="spellStart"/>
      <w:r w:rsidRPr="00C74245">
        <w:rPr>
          <w:rFonts w:ascii="Times New Roman" w:hAnsi="Times New Roman" w:cs="Times New Roman"/>
          <w:bCs/>
        </w:rPr>
        <w:t>DynamoLLM</w:t>
      </w:r>
      <w:proofErr w:type="spellEnd"/>
      <w:r w:rsidRPr="00C74245">
        <w:rPr>
          <w:rFonts w:ascii="Times New Roman" w:hAnsi="Times New Roman" w:cs="Times New Roman"/>
          <w:bCs/>
        </w:rPr>
        <w:t xml:space="preserve"> trace release on the Azure Public Dataset repository, spanning seven days in May 2024. The underlying traces were characterized for energy-management purposes by Stojkovic et al. We separately analyzed the </w:t>
      </w:r>
      <w:proofErr w:type="spellStart"/>
      <w:r w:rsidRPr="00C74245">
        <w:rPr>
          <w:rFonts w:ascii="Times New Roman" w:hAnsi="Times New Roman" w:cs="Times New Roman"/>
          <w:bCs/>
        </w:rPr>
        <w:t>BurstGPT</w:t>
      </w:r>
      <w:proofErr w:type="spellEnd"/>
      <w:r w:rsidRPr="00C74245">
        <w:rPr>
          <w:rFonts w:ascii="Times New Roman" w:hAnsi="Times New Roman" w:cs="Times New Roman"/>
          <w:bCs/>
        </w:rPr>
        <w:t xml:space="preserve"> dataset (</w:t>
      </w:r>
      <w:proofErr w:type="spellStart"/>
      <w:r w:rsidRPr="00C74245">
        <w:rPr>
          <w:rFonts w:ascii="Times New Roman" w:hAnsi="Times New Roman" w:cs="Times New Roman"/>
          <w:bCs/>
        </w:rPr>
        <w:t>arXiv</w:t>
      </w:r>
      <w:proofErr w:type="spellEnd"/>
      <w:r w:rsidRPr="00C74245">
        <w:rPr>
          <w:rFonts w:ascii="Times New Roman" w:hAnsi="Times New Roman" w:cs="Times New Roman"/>
          <w:bCs/>
        </w:rPr>
        <w:t xml:space="preserve"> v3 release), comprising 5.29 million requests from Azure OpenAI regional endpoints over 121 days of continuous observation. Both datasets represent production inference traffic. Drain times are computed as generated tokens divided by a central generation rate of 60 tokens per second, with sensitivity across 30–120 tokens/sec reported in Extended Data Fig. 2.</w:t>
      </w:r>
    </w:p>
    <w:p w14:paraId="5937D6AD"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two datasets differ in temporal structure: </w:t>
      </w:r>
      <w:proofErr w:type="spellStart"/>
      <w:r w:rsidRPr="00C74245">
        <w:rPr>
          <w:rFonts w:ascii="Times New Roman" w:hAnsi="Times New Roman" w:cs="Times New Roman"/>
          <w:bCs/>
        </w:rPr>
        <w:t>DynamoLLM</w:t>
      </w:r>
      <w:proofErr w:type="spellEnd"/>
      <w:r w:rsidRPr="00C74245">
        <w:rPr>
          <w:rFonts w:ascii="Times New Roman" w:hAnsi="Times New Roman" w:cs="Times New Roman"/>
          <w:bCs/>
        </w:rPr>
        <w:t xml:space="preserve"> shows strong diurnal variation (3.3× peak-to-trough for conversational workloads, 34.6× for coding workloads) while </w:t>
      </w:r>
      <w:proofErr w:type="spellStart"/>
      <w:r w:rsidRPr="00C74245">
        <w:rPr>
          <w:rFonts w:ascii="Times New Roman" w:hAnsi="Times New Roman" w:cs="Times New Roman"/>
          <w:bCs/>
        </w:rPr>
        <w:t>BurstGPT</w:t>
      </w:r>
      <w:proofErr w:type="spellEnd"/>
      <w:r w:rsidRPr="00C74245">
        <w:rPr>
          <w:rFonts w:ascii="Times New Roman" w:hAnsi="Times New Roman" w:cs="Times New Roman"/>
          <w:bCs/>
        </w:rPr>
        <w:t xml:space="preserve"> exhibits near-continuous 24-hour activity with minimal weekly periodicity. The </w:t>
      </w:r>
      <w:proofErr w:type="spellStart"/>
      <w:r w:rsidRPr="00C74245">
        <w:rPr>
          <w:rFonts w:ascii="Times New Roman" w:hAnsi="Times New Roman" w:cs="Times New Roman"/>
          <w:bCs/>
        </w:rPr>
        <w:t>DynamoLLM</w:t>
      </w:r>
      <w:proofErr w:type="spellEnd"/>
      <w:r w:rsidRPr="00C74245">
        <w:rPr>
          <w:rFonts w:ascii="Times New Roman" w:hAnsi="Times New Roman" w:cs="Times New Roman"/>
          <w:bCs/>
        </w:rPr>
        <w:t xml:space="preserve"> peak-to-valley structure provides the empirical anchor for the </w:t>
      </w:r>
      <w:proofErr w:type="spellStart"/>
      <w:r w:rsidRPr="00C74245">
        <w:rPr>
          <w:rFonts w:ascii="Times New Roman" w:hAnsi="Times New Roman" w:cs="Times New Roman"/>
          <w:bCs/>
        </w:rPr>
        <w:t>QUEUE_ok</w:t>
      </w:r>
      <w:proofErr w:type="spellEnd"/>
      <w:r w:rsidRPr="00C74245">
        <w:rPr>
          <w:rFonts w:ascii="Times New Roman" w:hAnsi="Times New Roman" w:cs="Times New Roman"/>
          <w:bCs/>
        </w:rPr>
        <w:t xml:space="preserve"> parameter at single-facility scale (the post-stress recovery hours have meaningful absorption headroom because peak-to-valley ratios are wide). This divergence reflects differing user populations and does not affect the </w:t>
      </w:r>
      <w:proofErr w:type="spellStart"/>
      <w:r w:rsidRPr="00C74245">
        <w:rPr>
          <w:rFonts w:ascii="Times New Roman" w:hAnsi="Times New Roman" w:cs="Times New Roman"/>
          <w:bCs/>
        </w:rPr>
        <w:t>DRAIN_ok</w:t>
      </w:r>
      <w:proofErr w:type="spellEnd"/>
      <w:r w:rsidRPr="00C74245">
        <w:rPr>
          <w:rFonts w:ascii="Times New Roman" w:hAnsi="Times New Roman" w:cs="Times New Roman"/>
          <w:bCs/>
        </w:rPr>
        <w:t xml:space="preserve"> parameterization, which depends on per-request drain time rather than aggregate traffic volume.</w:t>
      </w:r>
    </w:p>
    <w:p w14:paraId="4E339445"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Per-GW parametric sweep</w:t>
      </w:r>
    </w:p>
    <w:p w14:paraId="03756F24" w14:textId="49352A08" w:rsidR="00C74245" w:rsidRPr="00C74245" w:rsidRDefault="00F407A0" w:rsidP="00C74245">
      <w:pPr>
        <w:rPr>
          <w:rFonts w:ascii="Times New Roman" w:hAnsi="Times New Roman" w:cs="Times New Roman"/>
          <w:bCs/>
        </w:rPr>
      </w:pPr>
      <w:r w:rsidRPr="00F407A0">
        <w:rPr>
          <w:rFonts w:ascii="Times New Roman" w:hAnsi="Times New Roman" w:cs="Times New Roman"/>
          <w:bCs/>
        </w:rPr>
        <w:t xml:space="preserve">The fleet-level analysis evaluates commitment depth as a continuous function of fleet size from 0.5 to 15 GW under each scope scenario. At each fleet size, the migrating demand in each stress hour is </w:t>
      </w:r>
      <w:proofErr w:type="spellStart"/>
      <w:r w:rsidRPr="00F407A0">
        <w:rPr>
          <w:rFonts w:ascii="Times New Roman" w:hAnsi="Times New Roman" w:cs="Times New Roman"/>
          <w:bCs/>
        </w:rPr>
        <w:t>fleet_MW</w:t>
      </w:r>
      <w:proofErr w:type="spellEnd"/>
      <w:r w:rsidRPr="00F407A0">
        <w:rPr>
          <w:rFonts w:ascii="Times New Roman" w:hAnsi="Times New Roman" w:cs="Times New Roman"/>
          <w:bCs/>
        </w:rPr>
        <w:t xml:space="preserve"> × (1/PUE) × </w:t>
      </w:r>
      <w:proofErr w:type="spellStart"/>
      <w:r w:rsidRPr="00F407A0">
        <w:rPr>
          <w:rFonts w:ascii="Times New Roman" w:hAnsi="Times New Roman" w:cs="Times New Roman"/>
          <w:bCs/>
        </w:rPr>
        <w:t>φ_</w:t>
      </w:r>
      <w:proofErr w:type="gramStart"/>
      <w:r w:rsidRPr="00F407A0">
        <w:rPr>
          <w:rFonts w:ascii="Times New Roman" w:hAnsi="Times New Roman" w:cs="Times New Roman"/>
          <w:bCs/>
        </w:rPr>
        <w:t>inf,scope</w:t>
      </w:r>
      <w:proofErr w:type="spellEnd"/>
      <w:proofErr w:type="gramEnd"/>
      <w:r w:rsidRPr="00F407A0">
        <w:rPr>
          <w:rFonts w:ascii="Times New Roman" w:hAnsi="Times New Roman" w:cs="Times New Roman"/>
          <w:bCs/>
        </w:rPr>
        <w:t xml:space="preserve"> × </w:t>
      </w:r>
      <w:proofErr w:type="spellStart"/>
      <w:r w:rsidRPr="00F407A0">
        <w:rPr>
          <w:rFonts w:ascii="Times New Roman" w:hAnsi="Times New Roman" w:cs="Times New Roman"/>
          <w:bCs/>
        </w:rPr>
        <w:t>MIG_elig</w:t>
      </w:r>
      <w:proofErr w:type="spellEnd"/>
      <w:r w:rsidRPr="00F407A0">
        <w:rPr>
          <w:rFonts w:ascii="Times New Roman" w:hAnsi="Times New Roman" w:cs="Times New Roman"/>
          <w:bCs/>
        </w:rPr>
        <w:t xml:space="preserve"> × </w:t>
      </w:r>
      <w:proofErr w:type="spellStart"/>
      <w:r w:rsidRPr="00F407A0">
        <w:rPr>
          <w:rFonts w:ascii="Times New Roman" w:hAnsi="Times New Roman" w:cs="Times New Roman"/>
          <w:bCs/>
        </w:rPr>
        <w:t>DRAIN_ok</w:t>
      </w:r>
      <w:proofErr w:type="spellEnd"/>
      <w:r w:rsidRPr="00F407A0">
        <w:rPr>
          <w:rFonts w:ascii="Times New Roman" w:hAnsi="Times New Roman" w:cs="Times New Roman"/>
          <w:bCs/>
        </w:rPr>
        <w:t xml:space="preserve"> (the source-side spatial-cascade product, evaluated at central values for the fixed parameters). This demand competes for the same per-hour destination headroom computed in the conditional MC. The same </w:t>
      </w:r>
      <w:proofErr w:type="spellStart"/>
      <w:r w:rsidRPr="00F407A0">
        <w:rPr>
          <w:rFonts w:ascii="Times New Roman" w:hAnsi="Times New Roman" w:cs="Times New Roman"/>
          <w:bCs/>
        </w:rPr>
        <w:t>DEST_absorb</w:t>
      </w:r>
      <w:proofErr w:type="spellEnd"/>
      <w:r w:rsidRPr="00F407A0">
        <w:rPr>
          <w:rFonts w:ascii="Times New Roman" w:hAnsi="Times New Roman" w:cs="Times New Roman"/>
          <w:bCs/>
        </w:rPr>
        <w:t xml:space="preserve"> / </w:t>
      </w:r>
      <w:proofErr w:type="spellStart"/>
      <w:r w:rsidRPr="00F407A0">
        <w:rPr>
          <w:rFonts w:ascii="Times New Roman" w:hAnsi="Times New Roman" w:cs="Times New Roman"/>
          <w:bCs/>
        </w:rPr>
        <w:t>QUEUE_ok</w:t>
      </w:r>
      <w:proofErr w:type="spellEnd"/>
      <w:r w:rsidRPr="00F407A0">
        <w:rPr>
          <w:rFonts w:ascii="Times New Roman" w:hAnsi="Times New Roman" w:cs="Times New Roman"/>
          <w:bCs/>
        </w:rPr>
        <w:t xml:space="preserve"> / ensemble draws are reused across all fleet sizes to isolate the scale effect from Monte Carlo variance. The sweep identifies the spatial contention onset — the fleet size at which more than 50% of draw-hour combinations are destination-constrained for spatial migration. Within the swept range, spatial contention does not exceed the 50% threshold under either scope scenario, with onset projected beyond 15 GW. The fleet commitment-depth curve under each scope and the per-fleet-size constraint percentages are reported in Section 5</w:t>
      </w:r>
      <w:r>
        <w:rPr>
          <w:rFonts w:ascii="Times New Roman" w:hAnsi="Times New Roman" w:cs="Times New Roman"/>
          <w:bCs/>
        </w:rPr>
        <w:t>.</w:t>
      </w:r>
    </w:p>
    <w:p w14:paraId="4B35687B"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lastRenderedPageBreak/>
        <w:t>Sensitivity analysis</w:t>
      </w:r>
    </w:p>
    <w:p w14:paraId="5AF61D8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two-dimensional sensitivity surface evaluates fleet commitment depth at 10 GW across a 10×10 grid of </w:t>
      </w:r>
      <w:proofErr w:type="spellStart"/>
      <w:r w:rsidRPr="00C74245">
        <w:rPr>
          <w:rFonts w:ascii="Times New Roman" w:hAnsi="Times New Roman" w:cs="Times New Roman"/>
          <w:bCs/>
        </w:rPr>
        <w:t>DEST_absorb</w:t>
      </w:r>
      <w:proofErr w:type="spellEnd"/>
      <w:r w:rsidRPr="00C74245">
        <w:rPr>
          <w:rFonts w:ascii="Times New Roman" w:hAnsi="Times New Roman" w:cs="Times New Roman"/>
          <w:bCs/>
        </w:rPr>
        <w:t xml:space="preserve"> and </w:t>
      </w:r>
      <w:proofErr w:type="spellStart"/>
      <w:r w:rsidRPr="00C74245">
        <w:rPr>
          <w:rFonts w:ascii="Times New Roman" w:hAnsi="Times New Roman" w:cs="Times New Roman"/>
          <w:bCs/>
        </w:rPr>
        <w:t>QUEUE_ok</w:t>
      </w:r>
      <w:proofErr w:type="spellEnd"/>
      <w:r w:rsidRPr="00C74245">
        <w:rPr>
          <w:rFonts w:ascii="Times New Roman" w:hAnsi="Times New Roman" w:cs="Times New Roman"/>
          <w:bCs/>
        </w:rPr>
        <w:t xml:space="preserve"> values, under the inference-dominant scope. Other parameters are held at the conditional MC central values, and </w:t>
      </w:r>
      <w:proofErr w:type="spellStart"/>
      <w:r w:rsidRPr="00C74245">
        <w:rPr>
          <w:rFonts w:ascii="Times New Roman" w:hAnsi="Times New Roman" w:cs="Times New Roman"/>
          <w:bCs/>
        </w:rPr>
        <w:t>DEST_avail</w:t>
      </w:r>
      <w:proofErr w:type="spellEnd"/>
      <w:r w:rsidRPr="00C74245">
        <w:rPr>
          <w:rFonts w:ascii="Times New Roman" w:hAnsi="Times New Roman" w:cs="Times New Roman"/>
          <w:bCs/>
        </w:rPr>
        <w:t xml:space="preserve"> is observed per-hour from the empirical pricing data as in the base conditional MC. Each grid point computes deterministic hour-by-hour commitment depth under these fixed parameter choices.</w:t>
      </w:r>
    </w:p>
    <w:p w14:paraId="51106D0F" w14:textId="77777777" w:rsidR="00C74245" w:rsidRPr="00C74245" w:rsidRDefault="00C74245" w:rsidP="00C74245">
      <w:pPr>
        <w:rPr>
          <w:rFonts w:ascii="Times New Roman" w:hAnsi="Times New Roman" w:cs="Times New Roman"/>
          <w:bCs/>
        </w:rPr>
      </w:pPr>
      <w:r w:rsidRPr="00C74245">
        <w:rPr>
          <w:rFonts w:ascii="Times New Roman" w:hAnsi="Times New Roman" w:cs="Times New Roman"/>
          <w:bCs/>
        </w:rPr>
        <w:t xml:space="preserve">The tornado chart quantifies one-at-a-time sensitivity at 10 GW fleet size across the variable parameters under the inference-dominant scope, sweeping each from its lower to upper bound while holding all others at central values. </w:t>
      </w:r>
      <w:proofErr w:type="spellStart"/>
      <w:r w:rsidRPr="00C74245">
        <w:rPr>
          <w:rFonts w:ascii="Times New Roman" w:hAnsi="Times New Roman" w:cs="Times New Roman"/>
          <w:bCs/>
        </w:rPr>
        <w:t>φ_inf</w:t>
      </w:r>
      <w:proofErr w:type="spellEnd"/>
      <w:r w:rsidRPr="00C74245">
        <w:rPr>
          <w:rFonts w:ascii="Times New Roman" w:hAnsi="Times New Roman" w:cs="Times New Roman"/>
          <w:bCs/>
        </w:rPr>
        <w:t xml:space="preserve"> is excluded as a scope-defining parameter (the two-scope reporting itself surfaces this sensitivity). </w:t>
      </w:r>
      <w:proofErr w:type="spellStart"/>
      <w:r w:rsidRPr="00C74245">
        <w:rPr>
          <w:rFonts w:ascii="Times New Roman" w:hAnsi="Times New Roman" w:cs="Times New Roman"/>
          <w:bCs/>
        </w:rPr>
        <w:t>DEST_avail</w:t>
      </w:r>
      <w:proofErr w:type="spellEnd"/>
      <w:r w:rsidRPr="00C74245">
        <w:rPr>
          <w:rFonts w:ascii="Times New Roman" w:hAnsi="Times New Roman" w:cs="Times New Roman"/>
          <w:bCs/>
        </w:rPr>
        <w:t xml:space="preserve"> is swept parametrically across its range rather than observed per-hour, which enables direct comparability of </w:t>
      </w:r>
      <w:proofErr w:type="spellStart"/>
      <w:r w:rsidRPr="00C74245">
        <w:rPr>
          <w:rFonts w:ascii="Times New Roman" w:hAnsi="Times New Roman" w:cs="Times New Roman"/>
          <w:bCs/>
        </w:rPr>
        <w:t>DEST_avail's</w:t>
      </w:r>
      <w:proofErr w:type="spellEnd"/>
      <w:r w:rsidRPr="00C74245">
        <w:rPr>
          <w:rFonts w:ascii="Times New Roman" w:hAnsi="Times New Roman" w:cs="Times New Roman"/>
          <w:bCs/>
        </w:rPr>
        <w:t xml:space="preserve"> uncertainty envelope against the other parameters.</w:t>
      </w:r>
    </w:p>
    <w:p w14:paraId="7E34C17F" w14:textId="77777777" w:rsidR="00C74245" w:rsidRPr="00C74245" w:rsidRDefault="00C74245" w:rsidP="00C74245">
      <w:pPr>
        <w:rPr>
          <w:rFonts w:ascii="Times New Roman" w:hAnsi="Times New Roman" w:cs="Times New Roman"/>
          <w:b/>
          <w:bCs/>
        </w:rPr>
      </w:pPr>
      <w:r w:rsidRPr="00C74245">
        <w:rPr>
          <w:rFonts w:ascii="Times New Roman" w:hAnsi="Times New Roman" w:cs="Times New Roman"/>
          <w:b/>
          <w:bCs/>
        </w:rPr>
        <w:t>System-level calculations</w:t>
      </w:r>
    </w:p>
    <w:p w14:paraId="140A972C" w14:textId="4681CB13" w:rsidR="00BE4AEC" w:rsidRPr="00F407A0" w:rsidRDefault="00C74245" w:rsidP="00A42F23">
      <w:pPr>
        <w:rPr>
          <w:rFonts w:ascii="Times New Roman" w:hAnsi="Times New Roman" w:cs="Times New Roman"/>
          <w:bCs/>
        </w:rPr>
      </w:pPr>
      <w:r w:rsidRPr="00C74245">
        <w:rPr>
          <w:rFonts w:ascii="Times New Roman" w:hAnsi="Times New Roman" w:cs="Times New Roman"/>
          <w:bCs/>
        </w:rPr>
        <w:t>System-level calculations evaluate avoided capacity cost and interconnection acceleration value at two reference scales (1 GW facility and 10 GW fleet), under each of the two scope scenarios, using the commitment depths reported in Section 5. The 92% ELCC applied to committed MW follows PJM precedent for demand response resources. Avoided capacity cost is computed using the levelized CT cost of $180,000/MW-yr from the E3 2025 Resource Adequacy Study for Illinois. Full assumptions and scenario values for the interconnection acceleration NPV are reported in Extended Data Table 2.</w:t>
      </w:r>
    </w:p>
    <w:p w14:paraId="3BCDB6A8" w14:textId="77777777" w:rsidR="0098133A" w:rsidRPr="00C74245" w:rsidRDefault="0098133A" w:rsidP="0098133A">
      <w:pPr>
        <w:rPr>
          <w:rFonts w:ascii="Times New Roman" w:hAnsi="Times New Roman" w:cs="Times New Roman"/>
          <w:bCs/>
          <w:sz w:val="28"/>
          <w:szCs w:val="28"/>
        </w:rPr>
      </w:pPr>
      <w:r w:rsidRPr="00C74245">
        <w:rPr>
          <w:rFonts w:ascii="Times New Roman" w:hAnsi="Times New Roman" w:cs="Times New Roman"/>
          <w:b/>
          <w:bCs/>
          <w:sz w:val="28"/>
          <w:szCs w:val="28"/>
        </w:rPr>
        <w:t>Data and Code Availability</w:t>
      </w:r>
    </w:p>
    <w:p w14:paraId="5CFA752F" w14:textId="67DCADD4" w:rsidR="00F30CDA" w:rsidRPr="00C74245" w:rsidRDefault="00F30CDA" w:rsidP="00FB45F0">
      <w:pPr>
        <w:rPr>
          <w:rFonts w:ascii="Times New Roman" w:hAnsi="Times New Roman" w:cs="Times New Roman"/>
          <w:bCs/>
        </w:rPr>
      </w:pPr>
      <w:r w:rsidRPr="00C74245">
        <w:rPr>
          <w:rFonts w:ascii="Times New Roman" w:hAnsi="Times New Roman" w:cs="Times New Roman"/>
          <w:bCs/>
        </w:rPr>
        <w:t>Day-ahead locational marginal pricing data are publicly available from the respective RTO market portals: PJM Data Miner 2 (https://dataminer2.pjm.com), ERCOT Market Information System (https://www.ercot.com/mp/data-products), CAISO OASIS (http://oasis.caiso.com), MISO Market Reports (https://www.misoenergy.org/markets-and-operations/real-time--market-data), and NYISO Custom Reports (https://www.nyiso.com/custom-reports). The Microsoft Azure LLM Inference Dataset 2024 (</w:t>
      </w:r>
      <w:proofErr w:type="spellStart"/>
      <w:r w:rsidRPr="00C74245">
        <w:rPr>
          <w:rFonts w:ascii="Times New Roman" w:hAnsi="Times New Roman" w:cs="Times New Roman"/>
          <w:bCs/>
        </w:rPr>
        <w:t>DynamoLLM</w:t>
      </w:r>
      <w:proofErr w:type="spellEnd"/>
      <w:r w:rsidRPr="00C74245">
        <w:rPr>
          <w:rFonts w:ascii="Times New Roman" w:hAnsi="Times New Roman" w:cs="Times New Roman"/>
          <w:bCs/>
        </w:rPr>
        <w:t xml:space="preserve"> traces) is publicly available at https://github.com/Azure/AzurePublicDataset under AzureLLMInferenceDataset2024. The </w:t>
      </w:r>
      <w:proofErr w:type="spellStart"/>
      <w:r w:rsidRPr="00C74245">
        <w:rPr>
          <w:rFonts w:ascii="Times New Roman" w:hAnsi="Times New Roman" w:cs="Times New Roman"/>
          <w:bCs/>
        </w:rPr>
        <w:t>BurstGPT</w:t>
      </w:r>
      <w:proofErr w:type="spellEnd"/>
      <w:r w:rsidRPr="00C74245">
        <w:rPr>
          <w:rFonts w:ascii="Times New Roman" w:hAnsi="Times New Roman" w:cs="Times New Roman"/>
          <w:bCs/>
        </w:rPr>
        <w:t xml:space="preserve"> dataset is publicly available at https://github.com/HPMLL/BurstGPT. Data center location data are from the U.S. Department of Energy / National Renewable Energy Laboratory Accelerating Speed to Power Data Viewer (</w:t>
      </w:r>
      <w:r w:rsidR="00170FFE" w:rsidRPr="00C74245">
        <w:rPr>
          <w:rFonts w:ascii="Times New Roman" w:hAnsi="Times New Roman" w:cs="Times New Roman"/>
          <w:bCs/>
        </w:rPr>
        <w:t>https://maps.nrel.gov/speed-to-power</w:t>
      </w:r>
      <w:r w:rsidRPr="00C74245">
        <w:rPr>
          <w:rFonts w:ascii="Times New Roman" w:hAnsi="Times New Roman" w:cs="Times New Roman"/>
          <w:bCs/>
        </w:rPr>
        <w:t>)</w:t>
      </w:r>
      <w:r w:rsidR="00170FFE" w:rsidRPr="00C74245">
        <w:rPr>
          <w:rFonts w:ascii="Times New Roman" w:hAnsi="Times New Roman" w:cs="Times New Roman"/>
          <w:bCs/>
        </w:rPr>
        <w:t>, accessed via its public backend API</w:t>
      </w:r>
      <w:r w:rsidRPr="00C74245">
        <w:rPr>
          <w:rFonts w:ascii="Times New Roman" w:hAnsi="Times New Roman" w:cs="Times New Roman"/>
          <w:bCs/>
        </w:rPr>
        <w:t>. Analysis code and processed datasets are available at https://github.com/ctdunlap32/data-center-flexibility-resource-adequacy.</w:t>
      </w:r>
    </w:p>
    <w:p w14:paraId="1E0AC5B8" w14:textId="6C5D93C2" w:rsidR="00FB45F0" w:rsidRPr="00C74245" w:rsidRDefault="00FB45F0" w:rsidP="00FB45F0">
      <w:pPr>
        <w:rPr>
          <w:rFonts w:ascii="Times New Roman" w:hAnsi="Times New Roman" w:cs="Times New Roman"/>
          <w:bCs/>
          <w:sz w:val="28"/>
          <w:szCs w:val="28"/>
        </w:rPr>
      </w:pPr>
      <w:r w:rsidRPr="00C74245">
        <w:rPr>
          <w:rFonts w:ascii="Times New Roman" w:hAnsi="Times New Roman" w:cs="Times New Roman"/>
          <w:b/>
          <w:bCs/>
          <w:sz w:val="28"/>
          <w:szCs w:val="28"/>
        </w:rPr>
        <w:t>Acknowledgments</w:t>
      </w:r>
    </w:p>
    <w:p w14:paraId="17B8A959" w14:textId="3CA8A173" w:rsidR="0098133A" w:rsidRPr="00C74245" w:rsidRDefault="00FF6FF9" w:rsidP="0098133A">
      <w:pPr>
        <w:rPr>
          <w:rFonts w:ascii="Times New Roman" w:hAnsi="Times New Roman" w:cs="Times New Roman"/>
          <w:bCs/>
        </w:rPr>
      </w:pPr>
      <w:r w:rsidRPr="00C74245">
        <w:rPr>
          <w:rFonts w:ascii="Times New Roman" w:hAnsi="Times New Roman" w:cs="Times New Roman"/>
          <w:bCs/>
        </w:rPr>
        <w:t>The author thanks Robert Rosner for advisory support. This research was supported by the Bartlett Fellowship at</w:t>
      </w:r>
      <w:r w:rsidR="00C85773" w:rsidRPr="00C74245">
        <w:rPr>
          <w:rFonts w:ascii="Times New Roman" w:hAnsi="Times New Roman" w:cs="Times New Roman"/>
          <w:bCs/>
        </w:rPr>
        <w:t xml:space="preserve"> the Energy Policy Institute at Chicago</w:t>
      </w:r>
      <w:r w:rsidRPr="00C74245">
        <w:rPr>
          <w:rFonts w:ascii="Times New Roman" w:hAnsi="Times New Roman" w:cs="Times New Roman"/>
          <w:bCs/>
        </w:rPr>
        <w:t xml:space="preserve"> </w:t>
      </w:r>
      <w:r w:rsidR="00C85773" w:rsidRPr="00C74245">
        <w:rPr>
          <w:rFonts w:ascii="Times New Roman" w:hAnsi="Times New Roman" w:cs="Times New Roman"/>
          <w:bCs/>
        </w:rPr>
        <w:t>(</w:t>
      </w:r>
      <w:r w:rsidRPr="00C74245">
        <w:rPr>
          <w:rFonts w:ascii="Times New Roman" w:hAnsi="Times New Roman" w:cs="Times New Roman"/>
          <w:bCs/>
        </w:rPr>
        <w:t>EPIC</w:t>
      </w:r>
      <w:r w:rsidR="00C85773" w:rsidRPr="00C74245">
        <w:rPr>
          <w:rFonts w:ascii="Times New Roman" w:hAnsi="Times New Roman" w:cs="Times New Roman"/>
          <w:bCs/>
        </w:rPr>
        <w:t>)</w:t>
      </w:r>
      <w:r w:rsidRPr="00C74245">
        <w:rPr>
          <w:rFonts w:ascii="Times New Roman" w:hAnsi="Times New Roman" w:cs="Times New Roman"/>
          <w:bCs/>
        </w:rPr>
        <w:t xml:space="preserve">. The author used </w:t>
      </w:r>
      <w:proofErr w:type="spellStart"/>
      <w:r w:rsidRPr="00C74245">
        <w:rPr>
          <w:rFonts w:ascii="Times New Roman" w:hAnsi="Times New Roman" w:cs="Times New Roman"/>
          <w:bCs/>
        </w:rPr>
        <w:t>Anthropic's</w:t>
      </w:r>
      <w:proofErr w:type="spellEnd"/>
      <w:r w:rsidRPr="00C74245">
        <w:rPr>
          <w:rFonts w:ascii="Times New Roman" w:hAnsi="Times New Roman" w:cs="Times New Roman"/>
          <w:bCs/>
        </w:rPr>
        <w:t xml:space="preserve"> </w:t>
      </w:r>
      <w:r w:rsidRPr="00C74245">
        <w:rPr>
          <w:rFonts w:ascii="Times New Roman" w:hAnsi="Times New Roman" w:cs="Times New Roman"/>
          <w:bCs/>
        </w:rPr>
        <w:lastRenderedPageBreak/>
        <w:t xml:space="preserve">Claude for assistance with structural organization, literature search, computational code development, and prose drafting. </w:t>
      </w:r>
      <w:r w:rsidR="00C85773" w:rsidRPr="00C74245">
        <w:rPr>
          <w:rFonts w:ascii="Times New Roman" w:hAnsi="Times New Roman" w:cs="Times New Roman"/>
          <w:bCs/>
        </w:rPr>
        <w:t>All analytical design, empirical methodology, results, interpretation, and final editorial decisions are the author’s own</w:t>
      </w:r>
      <w:r w:rsidRPr="00C74245">
        <w:rPr>
          <w:rFonts w:ascii="Times New Roman" w:hAnsi="Times New Roman" w:cs="Times New Roman"/>
          <w:bCs/>
        </w:rPr>
        <w:t>.</w:t>
      </w:r>
    </w:p>
    <w:p w14:paraId="0C04142D" w14:textId="262C972D" w:rsidR="0059191C" w:rsidRPr="00093498" w:rsidRDefault="00C85773" w:rsidP="0059191C">
      <w:pPr>
        <w:rPr>
          <w:rFonts w:ascii="Times New Roman" w:hAnsi="Times New Roman" w:cs="Times New Roman"/>
          <w:bCs/>
          <w:sz w:val="28"/>
          <w:szCs w:val="28"/>
          <w:highlight w:val="yellow"/>
        </w:rPr>
      </w:pPr>
      <w:r w:rsidRPr="00093498">
        <w:rPr>
          <w:rFonts w:ascii="Times New Roman" w:hAnsi="Times New Roman" w:cs="Times New Roman"/>
          <w:b/>
          <w:bCs/>
          <w:sz w:val="28"/>
          <w:szCs w:val="28"/>
          <w:highlight w:val="yellow"/>
        </w:rPr>
        <w:t>R</w:t>
      </w:r>
      <w:r w:rsidR="0059191C" w:rsidRPr="00093498">
        <w:rPr>
          <w:rFonts w:ascii="Times New Roman" w:hAnsi="Times New Roman" w:cs="Times New Roman"/>
          <w:b/>
          <w:bCs/>
          <w:sz w:val="28"/>
          <w:szCs w:val="28"/>
          <w:highlight w:val="yellow"/>
        </w:rPr>
        <w:t>eferences</w:t>
      </w:r>
    </w:p>
    <w:p w14:paraId="6F5C709C" w14:textId="77777777"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 PJM Interconnection. 2025 Long-Term Load Forecast (2025).</w:t>
      </w:r>
    </w:p>
    <w:p w14:paraId="48591658" w14:textId="77777777"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[2] PJM Interconnection. 2027/2028 Base Residual Auction Report (2025).</w:t>
      </w:r>
    </w:p>
    <w:p w14:paraId="1CBB099C" w14:textId="77777777"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[3] LBNL. Queued Up: Characteristics of Power Plants Seeking Transmission Interconnection (2024).</w:t>
      </w:r>
    </w:p>
    <w:p w14:paraId="4E6C5EC4" w14:textId="2A9A75EC"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 xml:space="preserve">[4] </w:t>
      </w:r>
      <w:r w:rsidR="00C85773" w:rsidRPr="00093498">
        <w:rPr>
          <w:rFonts w:ascii="Times New Roman" w:hAnsi="Times New Roman" w:cs="Times New Roman"/>
          <w:bCs/>
          <w:highlight w:val="yellow"/>
        </w:rPr>
        <w:t>Norris, T. H., Profeta, T., Patino-Echeverri, D., &amp; Cowie-Haskell, A. Rethinking Load Growth: Assessing the Potential for Integration of Large Flexible Loads in US Power Systems. NI R 25-01, Nicholas Institute for Energy, Environment &amp; Sustainability, Duke University (March 2025).</w:t>
      </w:r>
    </w:p>
    <w:p w14:paraId="2E7C6EC7" w14:textId="782BA3A6"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 xml:space="preserve">[5] </w:t>
      </w:r>
      <w:r w:rsidR="00A025CD" w:rsidRPr="00093498">
        <w:rPr>
          <w:rFonts w:ascii="Times New Roman" w:hAnsi="Times New Roman" w:cs="Times New Roman"/>
          <w:bCs/>
          <w:highlight w:val="yellow"/>
        </w:rPr>
        <w:t xml:space="preserve">Colangelo, P., Coskun, A. K., </w:t>
      </w:r>
      <w:proofErr w:type="spellStart"/>
      <w:r w:rsidR="00A025CD" w:rsidRPr="00093498">
        <w:rPr>
          <w:rFonts w:ascii="Times New Roman" w:hAnsi="Times New Roman" w:cs="Times New Roman"/>
          <w:bCs/>
          <w:highlight w:val="yellow"/>
        </w:rPr>
        <w:t>Megrue</w:t>
      </w:r>
      <w:proofErr w:type="spellEnd"/>
      <w:r w:rsidR="00A025CD" w:rsidRPr="00093498">
        <w:rPr>
          <w:rFonts w:ascii="Times New Roman" w:hAnsi="Times New Roman" w:cs="Times New Roman"/>
          <w:bCs/>
          <w:highlight w:val="yellow"/>
        </w:rPr>
        <w:t xml:space="preserve">, J., Roberts, C., Sengupta, S., Sivaram, V., Tiao, E., </w:t>
      </w:r>
      <w:proofErr w:type="spellStart"/>
      <w:r w:rsidR="00A025CD" w:rsidRPr="00093498">
        <w:rPr>
          <w:rFonts w:ascii="Times New Roman" w:hAnsi="Times New Roman" w:cs="Times New Roman"/>
          <w:bCs/>
          <w:highlight w:val="yellow"/>
        </w:rPr>
        <w:t>Vijaykar</w:t>
      </w:r>
      <w:proofErr w:type="spellEnd"/>
      <w:r w:rsidR="00A025CD" w:rsidRPr="00093498">
        <w:rPr>
          <w:rFonts w:ascii="Times New Roman" w:hAnsi="Times New Roman" w:cs="Times New Roman"/>
          <w:bCs/>
          <w:highlight w:val="yellow"/>
        </w:rPr>
        <w:t xml:space="preserve">, A., Williams, C., Wilson, D. C., Records, B., MacFarland, Z., Dreiling, D., Morey, N., Ratnayake, A., &amp; </w:t>
      </w:r>
      <w:proofErr w:type="spellStart"/>
      <w:r w:rsidR="00A025CD" w:rsidRPr="00093498">
        <w:rPr>
          <w:rFonts w:ascii="Times New Roman" w:hAnsi="Times New Roman" w:cs="Times New Roman"/>
          <w:bCs/>
          <w:highlight w:val="yellow"/>
        </w:rPr>
        <w:t>Vairamohan</w:t>
      </w:r>
      <w:proofErr w:type="spellEnd"/>
      <w:r w:rsidR="00A025CD" w:rsidRPr="00093498">
        <w:rPr>
          <w:rFonts w:ascii="Times New Roman" w:hAnsi="Times New Roman" w:cs="Times New Roman"/>
          <w:bCs/>
          <w:highlight w:val="yellow"/>
        </w:rPr>
        <w:t xml:space="preserve">, B. AI data </w:t>
      </w:r>
      <w:proofErr w:type="spellStart"/>
      <w:r w:rsidR="00A025CD" w:rsidRPr="00093498">
        <w:rPr>
          <w:rFonts w:ascii="Times New Roman" w:hAnsi="Times New Roman" w:cs="Times New Roman"/>
          <w:bCs/>
          <w:highlight w:val="yellow"/>
        </w:rPr>
        <w:t>centres</w:t>
      </w:r>
      <w:proofErr w:type="spellEnd"/>
      <w:r w:rsidR="00A025CD" w:rsidRPr="00093498">
        <w:rPr>
          <w:rFonts w:ascii="Times New Roman" w:hAnsi="Times New Roman" w:cs="Times New Roman"/>
          <w:bCs/>
          <w:highlight w:val="yellow"/>
        </w:rPr>
        <w:t xml:space="preserve"> as grid-interactive assets. Nature Energy 11, 254–261 (2026). https://doi.org/10.1038/s41560-025-01927-1.</w:t>
      </w:r>
    </w:p>
    <w:p w14:paraId="76B29F82" w14:textId="77777777"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[6] Zheng, J., Chien, A. A., and Suh, S. Mitigating curtailment and carbon emissions through load migration between data centers. Joule 4, 2208–2222 (2020).</w:t>
      </w:r>
    </w:p>
    <w:p w14:paraId="3D9E288D" w14:textId="77777777"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[7] Zhang, W., Roald, L. A., Chien, A. A., Birge, J. R., and Zavala, V. M. Flexibility from networks of data centers: A market clearing formulation with virtual links. Electric Power Systems Research 189, 106723 (2020).</w:t>
      </w:r>
    </w:p>
    <w:p w14:paraId="7CEEDF09" w14:textId="4B03E6EC"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w:t>
      </w:r>
      <w:r w:rsidR="00CC7FBF" w:rsidRPr="00093498">
        <w:rPr>
          <w:rFonts w:ascii="Times New Roman" w:hAnsi="Times New Roman" w:cs="Times New Roman"/>
          <w:bCs/>
          <w:highlight w:val="yellow"/>
        </w:rPr>
        <w:t>8</w:t>
      </w:r>
      <w:r w:rsidRPr="00093498">
        <w:rPr>
          <w:rFonts w:ascii="Times New Roman" w:hAnsi="Times New Roman" w:cs="Times New Roman"/>
          <w:bCs/>
          <w:highlight w:val="yellow"/>
        </w:rPr>
        <w:t xml:space="preserve">] </w:t>
      </w:r>
      <w:r w:rsidR="00481538" w:rsidRPr="00093498">
        <w:rPr>
          <w:rFonts w:ascii="Times New Roman" w:hAnsi="Times New Roman" w:cs="Times New Roman"/>
          <w:bCs/>
          <w:highlight w:val="yellow"/>
        </w:rPr>
        <w:t>U.S. Department of Energy / National Renewable Energy Laboratory. "Data Center Demand Capacity by County." Accelerating Speed to Power Data Viewer. maps.nrel.gov/speed-to-power (accessed December 2025)</w:t>
      </w:r>
    </w:p>
    <w:p w14:paraId="72EF5294" w14:textId="39C3C4B3"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w:t>
      </w:r>
      <w:r w:rsidR="00CC7FBF" w:rsidRPr="00093498">
        <w:rPr>
          <w:rFonts w:ascii="Times New Roman" w:hAnsi="Times New Roman" w:cs="Times New Roman"/>
          <w:bCs/>
          <w:highlight w:val="yellow"/>
        </w:rPr>
        <w:t>9</w:t>
      </w:r>
      <w:r w:rsidRPr="00093498">
        <w:rPr>
          <w:rFonts w:ascii="Times New Roman" w:hAnsi="Times New Roman" w:cs="Times New Roman"/>
          <w:bCs/>
          <w:highlight w:val="yellow"/>
        </w:rPr>
        <w:t xml:space="preserve">] </w:t>
      </w:r>
      <w:r w:rsidR="00A025CD" w:rsidRPr="00093498">
        <w:rPr>
          <w:rFonts w:ascii="Times New Roman" w:hAnsi="Times New Roman" w:cs="Times New Roman"/>
          <w:bCs/>
          <w:highlight w:val="yellow"/>
        </w:rPr>
        <w:t>PJM Interconnection. PJM Manual 13: Emergency Operations. Rev. 97, effective November 20, 2025.</w:t>
      </w:r>
    </w:p>
    <w:p w14:paraId="5AD18C75" w14:textId="77777777" w:rsidR="00552814" w:rsidRPr="00093498" w:rsidRDefault="00FD47C1" w:rsidP="00552814">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0</w:t>
      </w:r>
      <w:r w:rsidRPr="00093498">
        <w:rPr>
          <w:rFonts w:ascii="Times New Roman" w:hAnsi="Times New Roman" w:cs="Times New Roman"/>
          <w:bCs/>
          <w:highlight w:val="yellow"/>
        </w:rPr>
        <w:t>] Deloitte. Technology, Media and Telecommunications Predictions 202</w:t>
      </w:r>
      <w:r w:rsidR="00552814" w:rsidRPr="00093498">
        <w:rPr>
          <w:rFonts w:ascii="Times New Roman" w:hAnsi="Times New Roman" w:cs="Times New Roman"/>
          <w:bCs/>
          <w:highlight w:val="yellow"/>
        </w:rPr>
        <w:t>6</w:t>
      </w:r>
      <w:r w:rsidRPr="00093498">
        <w:rPr>
          <w:rFonts w:ascii="Times New Roman" w:hAnsi="Times New Roman" w:cs="Times New Roman"/>
          <w:bCs/>
          <w:highlight w:val="yellow"/>
        </w:rPr>
        <w:t xml:space="preserve"> (November 2025).</w:t>
      </w:r>
    </w:p>
    <w:p w14:paraId="4A04C341" w14:textId="0ED6A055" w:rsidR="00FD47C1" w:rsidRPr="00093498" w:rsidRDefault="00FD47C1" w:rsidP="00552814">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1</w:t>
      </w:r>
      <w:r w:rsidRPr="00093498">
        <w:rPr>
          <w:rFonts w:ascii="Times New Roman" w:hAnsi="Times New Roman" w:cs="Times New Roman"/>
          <w:bCs/>
          <w:highlight w:val="yellow"/>
        </w:rPr>
        <w:t>] M</w:t>
      </w:r>
      <w:r w:rsidR="00552814" w:rsidRPr="00093498">
        <w:rPr>
          <w:rFonts w:ascii="Consolas" w:hAnsi="Consolas" w:cs="Consolas"/>
          <w:color w:val="000000"/>
          <w:kern w:val="0"/>
          <w:sz w:val="22"/>
          <w:szCs w:val="22"/>
          <w:highlight w:val="yellow"/>
        </w:rPr>
        <w:t xml:space="preserve"> </w:t>
      </w:r>
      <w:r w:rsidR="00552814" w:rsidRPr="00093498">
        <w:rPr>
          <w:rFonts w:ascii="Times New Roman" w:hAnsi="Times New Roman" w:cs="Times New Roman"/>
          <w:bCs/>
          <w:highlight w:val="yellow"/>
        </w:rPr>
        <w:t xml:space="preserve">Arora, C., Sorel, M., Sachdeva, P., Bhan, A., He, J., Shaw, N., Garg, R., &amp; Ravishankar, S. The next big shifts in AI workloads and </w:t>
      </w:r>
      <w:proofErr w:type="spellStart"/>
      <w:r w:rsidR="00552814" w:rsidRPr="00093498">
        <w:rPr>
          <w:rFonts w:ascii="Times New Roman" w:hAnsi="Times New Roman" w:cs="Times New Roman"/>
          <w:bCs/>
          <w:highlight w:val="yellow"/>
        </w:rPr>
        <w:t>hyperscaler</w:t>
      </w:r>
      <w:proofErr w:type="spellEnd"/>
      <w:r w:rsidR="00552814" w:rsidRPr="00093498">
        <w:rPr>
          <w:rFonts w:ascii="Times New Roman" w:hAnsi="Times New Roman" w:cs="Times New Roman"/>
          <w:bCs/>
          <w:highlight w:val="yellow"/>
        </w:rPr>
        <w:t xml:space="preserve"> strategies. McKinsey &amp; Company, Technology, Media &amp; Telecommunications Practice (December 2025).</w:t>
      </w:r>
    </w:p>
    <w:p w14:paraId="1DECD7CB" w14:textId="02AFDDD0" w:rsidR="00552814" w:rsidRPr="00552814" w:rsidRDefault="00552814" w:rsidP="00552814">
      <w:pPr>
        <w:rPr>
          <w:rFonts w:ascii="Times New Roman" w:hAnsi="Times New Roman" w:cs="Times New Roman"/>
          <w:bCs/>
          <w:highlight w:val="yellow"/>
        </w:rPr>
      </w:pPr>
      <w:r w:rsidRPr="00093498">
        <w:rPr>
          <w:rFonts w:ascii="Times New Roman" w:hAnsi="Times New Roman" w:cs="Times New Roman"/>
          <w:bCs/>
          <w:highlight w:val="yellow"/>
        </w:rPr>
        <w:t xml:space="preserve">(11B) </w:t>
      </w:r>
      <w:r w:rsidRPr="00552814">
        <w:rPr>
          <w:rFonts w:ascii="Times New Roman" w:hAnsi="Times New Roman" w:cs="Times New Roman"/>
          <w:bCs/>
          <w:highlight w:val="yellow"/>
        </w:rPr>
        <w:t xml:space="preserve">Patterson, D., Gonzalez, J., </w:t>
      </w:r>
      <w:proofErr w:type="spellStart"/>
      <w:r w:rsidRPr="00552814">
        <w:rPr>
          <w:rFonts w:ascii="Times New Roman" w:hAnsi="Times New Roman" w:cs="Times New Roman"/>
          <w:bCs/>
          <w:highlight w:val="yellow"/>
        </w:rPr>
        <w:t>Hölzle</w:t>
      </w:r>
      <w:proofErr w:type="spellEnd"/>
      <w:r w:rsidRPr="00552814">
        <w:rPr>
          <w:rFonts w:ascii="Times New Roman" w:hAnsi="Times New Roman" w:cs="Times New Roman"/>
          <w:bCs/>
          <w:highlight w:val="yellow"/>
        </w:rPr>
        <w:t>, U., Le, Q., Liang, C., Munguia, L.-M., Rothchild, D., So, D. R., Texier, M., &amp; Dean, J. The carbon footprint of machine learning training will plateau, then shrink. IEEE Computer 55(7), 18–28 (2022).</w:t>
      </w:r>
    </w:p>
    <w:p w14:paraId="61C356FB" w14:textId="77777777" w:rsidR="00552814" w:rsidRPr="00093498" w:rsidRDefault="00552814" w:rsidP="00552814">
      <w:pPr>
        <w:rPr>
          <w:rFonts w:ascii="Times New Roman" w:hAnsi="Times New Roman" w:cs="Times New Roman"/>
          <w:bCs/>
          <w:highlight w:val="yellow"/>
        </w:rPr>
      </w:pPr>
    </w:p>
    <w:p w14:paraId="33C380F6" w14:textId="68E62FC4" w:rsidR="00FD47C1" w:rsidRPr="00093498" w:rsidRDefault="00FD47C1" w:rsidP="00552814">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2</w:t>
      </w:r>
      <w:r w:rsidRPr="00093498">
        <w:rPr>
          <w:rFonts w:ascii="Times New Roman" w:hAnsi="Times New Roman" w:cs="Times New Roman"/>
          <w:bCs/>
          <w:highlight w:val="yellow"/>
        </w:rPr>
        <w:t xml:space="preserve">] </w:t>
      </w:r>
      <w:r w:rsidR="00552814" w:rsidRPr="00093498">
        <w:rPr>
          <w:rFonts w:ascii="Times New Roman" w:hAnsi="Times New Roman" w:cs="Times New Roman"/>
          <w:bCs/>
          <w:highlight w:val="yellow"/>
        </w:rPr>
        <w:t xml:space="preserve">Stojkovic, J., Zhang, C., </w:t>
      </w:r>
      <w:proofErr w:type="spellStart"/>
      <w:r w:rsidR="00552814" w:rsidRPr="00093498">
        <w:rPr>
          <w:rFonts w:ascii="Times New Roman" w:hAnsi="Times New Roman" w:cs="Times New Roman"/>
          <w:bCs/>
          <w:highlight w:val="yellow"/>
        </w:rPr>
        <w:t>Goiri</w:t>
      </w:r>
      <w:proofErr w:type="spellEnd"/>
      <w:r w:rsidR="00552814" w:rsidRPr="00093498">
        <w:rPr>
          <w:rFonts w:ascii="Times New Roman" w:hAnsi="Times New Roman" w:cs="Times New Roman"/>
          <w:bCs/>
          <w:highlight w:val="yellow"/>
        </w:rPr>
        <w:t xml:space="preserve">, Í., Torrellas, J., &amp; </w:t>
      </w:r>
      <w:proofErr w:type="spellStart"/>
      <w:r w:rsidR="00552814" w:rsidRPr="00093498">
        <w:rPr>
          <w:rFonts w:ascii="Times New Roman" w:hAnsi="Times New Roman" w:cs="Times New Roman"/>
          <w:bCs/>
          <w:highlight w:val="yellow"/>
        </w:rPr>
        <w:t>Choukse</w:t>
      </w:r>
      <w:proofErr w:type="spellEnd"/>
      <w:r w:rsidR="00552814" w:rsidRPr="00093498">
        <w:rPr>
          <w:rFonts w:ascii="Times New Roman" w:hAnsi="Times New Roman" w:cs="Times New Roman"/>
          <w:bCs/>
          <w:highlight w:val="yellow"/>
        </w:rPr>
        <w:t xml:space="preserve">, E. </w:t>
      </w:r>
      <w:proofErr w:type="spellStart"/>
      <w:r w:rsidR="00552814" w:rsidRPr="00093498">
        <w:rPr>
          <w:rFonts w:ascii="Times New Roman" w:hAnsi="Times New Roman" w:cs="Times New Roman"/>
          <w:bCs/>
          <w:highlight w:val="yellow"/>
        </w:rPr>
        <w:t>DynamoLLM</w:t>
      </w:r>
      <w:proofErr w:type="spellEnd"/>
      <w:r w:rsidR="00552814" w:rsidRPr="00093498">
        <w:rPr>
          <w:rFonts w:ascii="Times New Roman" w:hAnsi="Times New Roman" w:cs="Times New Roman"/>
          <w:bCs/>
          <w:highlight w:val="yellow"/>
        </w:rPr>
        <w:t>: Designing LLM Inference Clusters for Performance and Energy Efficiency. Proc. HPCA 2025, pp. 1348–1362</w:t>
      </w:r>
      <w:r w:rsidR="00A025CD" w:rsidRPr="00093498">
        <w:rPr>
          <w:rFonts w:ascii="Times New Roman" w:hAnsi="Times New Roman" w:cs="Times New Roman"/>
          <w:bCs/>
          <w:highlight w:val="yellow"/>
        </w:rPr>
        <w:t>.</w:t>
      </w:r>
    </w:p>
    <w:p w14:paraId="6E3729DE" w14:textId="6950D09C"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3</w:t>
      </w:r>
      <w:r w:rsidRPr="00093498">
        <w:rPr>
          <w:rFonts w:ascii="Times New Roman" w:hAnsi="Times New Roman" w:cs="Times New Roman"/>
          <w:bCs/>
          <w:highlight w:val="yellow"/>
        </w:rPr>
        <w:t xml:space="preserve">] </w:t>
      </w:r>
      <w:r w:rsidR="00C85773" w:rsidRPr="00093498">
        <w:rPr>
          <w:rFonts w:ascii="Times New Roman" w:hAnsi="Times New Roman" w:cs="Times New Roman"/>
          <w:bCs/>
          <w:highlight w:val="yellow"/>
        </w:rPr>
        <w:t xml:space="preserve">Wang, Y., Chen, Y., Li, Z., Kang, X., Zhao, Y., Ma, Z., Bao, H., Mei, X., Liu, Y., Chen, Y., Zhang, Q., Guo, M., Jin, W., Guo, M., &amp; Cui, H. </w:t>
      </w:r>
      <w:proofErr w:type="spellStart"/>
      <w:r w:rsidR="00C85773" w:rsidRPr="00093498">
        <w:rPr>
          <w:rFonts w:ascii="Times New Roman" w:hAnsi="Times New Roman" w:cs="Times New Roman"/>
          <w:bCs/>
          <w:highlight w:val="yellow"/>
        </w:rPr>
        <w:t>BurstGPT</w:t>
      </w:r>
      <w:proofErr w:type="spellEnd"/>
      <w:r w:rsidR="00C85773" w:rsidRPr="00093498">
        <w:rPr>
          <w:rFonts w:ascii="Times New Roman" w:hAnsi="Times New Roman" w:cs="Times New Roman"/>
          <w:bCs/>
          <w:highlight w:val="yellow"/>
        </w:rPr>
        <w:t>: A Real-World Workload Dataset to Optimize LLM Serving Systems. arXiv:2401.17644v3 (2024). Dataset: github.com/HPMLL/</w:t>
      </w:r>
      <w:proofErr w:type="spellStart"/>
      <w:r w:rsidR="00C85773" w:rsidRPr="00093498">
        <w:rPr>
          <w:rFonts w:ascii="Times New Roman" w:hAnsi="Times New Roman" w:cs="Times New Roman"/>
          <w:bCs/>
          <w:highlight w:val="yellow"/>
        </w:rPr>
        <w:t>BurstGPT</w:t>
      </w:r>
      <w:proofErr w:type="spellEnd"/>
      <w:r w:rsidR="00C85773" w:rsidRPr="00093498">
        <w:rPr>
          <w:rFonts w:ascii="Times New Roman" w:hAnsi="Times New Roman" w:cs="Times New Roman"/>
          <w:bCs/>
          <w:highlight w:val="yellow"/>
        </w:rPr>
        <w:t>.</w:t>
      </w:r>
    </w:p>
    <w:p w14:paraId="554E14F2" w14:textId="47968724" w:rsidR="00FD47C1" w:rsidRPr="00093498" w:rsidRDefault="00FD47C1" w:rsidP="00552814">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4</w:t>
      </w:r>
      <w:r w:rsidRPr="00093498">
        <w:rPr>
          <w:rFonts w:ascii="Times New Roman" w:hAnsi="Times New Roman" w:cs="Times New Roman"/>
          <w:bCs/>
          <w:highlight w:val="yellow"/>
        </w:rPr>
        <w:t xml:space="preserve">] </w:t>
      </w:r>
      <w:r w:rsidR="00552814" w:rsidRPr="00093498">
        <w:rPr>
          <w:rFonts w:ascii="Times New Roman" w:hAnsi="Times New Roman" w:cs="Times New Roman"/>
          <w:bCs/>
          <w:highlight w:val="yellow"/>
        </w:rPr>
        <w:t xml:space="preserve">Patel, P., </w:t>
      </w:r>
      <w:proofErr w:type="spellStart"/>
      <w:r w:rsidR="00552814" w:rsidRPr="00093498">
        <w:rPr>
          <w:rFonts w:ascii="Times New Roman" w:hAnsi="Times New Roman" w:cs="Times New Roman"/>
          <w:bCs/>
          <w:highlight w:val="yellow"/>
        </w:rPr>
        <w:t>Choukse</w:t>
      </w:r>
      <w:proofErr w:type="spellEnd"/>
      <w:r w:rsidR="00552814" w:rsidRPr="00093498">
        <w:rPr>
          <w:rFonts w:ascii="Times New Roman" w:hAnsi="Times New Roman" w:cs="Times New Roman"/>
          <w:bCs/>
          <w:highlight w:val="yellow"/>
        </w:rPr>
        <w:t xml:space="preserve">, E., Zhang, C., </w:t>
      </w:r>
      <w:proofErr w:type="spellStart"/>
      <w:r w:rsidR="00552814" w:rsidRPr="00093498">
        <w:rPr>
          <w:rFonts w:ascii="Times New Roman" w:hAnsi="Times New Roman" w:cs="Times New Roman"/>
          <w:bCs/>
          <w:highlight w:val="yellow"/>
        </w:rPr>
        <w:t>Goiri</w:t>
      </w:r>
      <w:proofErr w:type="spellEnd"/>
      <w:r w:rsidR="00552814" w:rsidRPr="00093498">
        <w:rPr>
          <w:rFonts w:ascii="Times New Roman" w:hAnsi="Times New Roman" w:cs="Times New Roman"/>
          <w:bCs/>
          <w:highlight w:val="yellow"/>
        </w:rPr>
        <w:t xml:space="preserve">, Í., Warrier, B., Mahalingam, N., &amp; Bianchini, R. Characterizing Power Management Opportunities for LLMs in the Cloud. Proc. ASPLOS </w:t>
      </w:r>
      <w:proofErr w:type="gramStart"/>
      <w:r w:rsidR="00552814" w:rsidRPr="00093498">
        <w:rPr>
          <w:rFonts w:ascii="Times New Roman" w:hAnsi="Times New Roman" w:cs="Times New Roman"/>
          <w:bCs/>
          <w:highlight w:val="yellow"/>
        </w:rPr>
        <w:t>2024.</w:t>
      </w:r>
      <w:r w:rsidRPr="00093498">
        <w:rPr>
          <w:rFonts w:ascii="Times New Roman" w:hAnsi="Times New Roman" w:cs="Times New Roman"/>
          <w:bCs/>
          <w:highlight w:val="yellow"/>
        </w:rPr>
        <w:t>.</w:t>
      </w:r>
      <w:proofErr w:type="gramEnd"/>
    </w:p>
    <w:p w14:paraId="2F8665F3" w14:textId="5DA53C1A"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5</w:t>
      </w:r>
      <w:r w:rsidRPr="00093498">
        <w:rPr>
          <w:rFonts w:ascii="Times New Roman" w:hAnsi="Times New Roman" w:cs="Times New Roman"/>
          <w:bCs/>
          <w:highlight w:val="yellow"/>
        </w:rPr>
        <w:t>] Cortez, E. et al. Resource Central: Understanding and predicting workloads for improved resource management in large cloud platforms. In Proceedings of SOSP (2017).</w:t>
      </w:r>
    </w:p>
    <w:p w14:paraId="5201F38B" w14:textId="382CD78D"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6</w:t>
      </w:r>
      <w:r w:rsidRPr="00093498">
        <w:rPr>
          <w:rFonts w:ascii="Times New Roman" w:hAnsi="Times New Roman" w:cs="Times New Roman"/>
          <w:bCs/>
          <w:highlight w:val="yellow"/>
        </w:rPr>
        <w:t>] PJM Interconnection. 2025 Effective Load Carrying Capability and Reserve Requirement Study (2025).</w:t>
      </w:r>
    </w:p>
    <w:p w14:paraId="2FE8F44A" w14:textId="1D23DD52"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7</w:t>
      </w:r>
      <w:r w:rsidRPr="00093498">
        <w:rPr>
          <w:rFonts w:ascii="Times New Roman" w:hAnsi="Times New Roman" w:cs="Times New Roman"/>
          <w:bCs/>
          <w:highlight w:val="yellow"/>
        </w:rPr>
        <w:t>] E3 (Energy and Environmental Economics). 2025 Resource Adequacy Study for Illinois (2025).</w:t>
      </w:r>
    </w:p>
    <w:p w14:paraId="16F077BA" w14:textId="6777AB75"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[1</w:t>
      </w:r>
      <w:r w:rsidR="00CC7FBF" w:rsidRPr="00093498">
        <w:rPr>
          <w:rFonts w:ascii="Times New Roman" w:hAnsi="Times New Roman" w:cs="Times New Roman"/>
          <w:bCs/>
          <w:highlight w:val="yellow"/>
        </w:rPr>
        <w:t>8</w:t>
      </w:r>
      <w:r w:rsidRPr="00093498">
        <w:rPr>
          <w:rFonts w:ascii="Times New Roman" w:hAnsi="Times New Roman" w:cs="Times New Roman"/>
          <w:bCs/>
          <w:highlight w:val="yellow"/>
        </w:rPr>
        <w:t>] NREL. 2024 Annual Technology Baseline. atb.nrel.gov/electricity/2024.</w:t>
      </w:r>
    </w:p>
    <w:p w14:paraId="222DE0EE" w14:textId="41F8A025" w:rsidR="00FD47C1"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w:t>
      </w:r>
      <w:r w:rsidR="00CC7FBF" w:rsidRPr="00093498">
        <w:rPr>
          <w:rFonts w:ascii="Times New Roman" w:hAnsi="Times New Roman" w:cs="Times New Roman"/>
          <w:bCs/>
          <w:highlight w:val="yellow"/>
        </w:rPr>
        <w:t>19</w:t>
      </w:r>
      <w:r w:rsidRPr="00093498">
        <w:rPr>
          <w:rFonts w:ascii="Times New Roman" w:hAnsi="Times New Roman" w:cs="Times New Roman"/>
          <w:bCs/>
          <w:highlight w:val="yellow"/>
        </w:rPr>
        <w:t>] Zhang, W. and Zavala, V. M. Remunerating space–time, load-shifting flexibility from data centers in electricity markets. Applied Energy 326, 119930 (2022).</w:t>
      </w:r>
    </w:p>
    <w:p w14:paraId="7B999416" w14:textId="651CF835" w:rsidR="002922E6" w:rsidRPr="00093498" w:rsidRDefault="00FD47C1" w:rsidP="00FD47C1">
      <w:pPr>
        <w:rPr>
          <w:rFonts w:ascii="Times New Roman" w:hAnsi="Times New Roman" w:cs="Times New Roman"/>
          <w:bCs/>
          <w:highlight w:val="yellow"/>
        </w:rPr>
      </w:pPr>
      <w:r w:rsidRPr="00093498">
        <w:rPr>
          <w:rFonts w:ascii="Times New Roman" w:hAnsi="Times New Roman" w:cs="Times New Roman"/>
          <w:bCs/>
          <w:highlight w:val="yellow"/>
        </w:rPr>
        <w:t>[2</w:t>
      </w:r>
      <w:r w:rsidR="00CC7FBF" w:rsidRPr="00093498">
        <w:rPr>
          <w:rFonts w:ascii="Times New Roman" w:hAnsi="Times New Roman" w:cs="Times New Roman"/>
          <w:bCs/>
          <w:highlight w:val="yellow"/>
        </w:rPr>
        <w:t>0</w:t>
      </w:r>
      <w:r w:rsidRPr="00093498">
        <w:rPr>
          <w:rFonts w:ascii="Times New Roman" w:hAnsi="Times New Roman" w:cs="Times New Roman"/>
          <w:bCs/>
          <w:highlight w:val="yellow"/>
        </w:rPr>
        <w:t xml:space="preserve">] Jain, S. et al. B4: Experience with a </w:t>
      </w:r>
      <w:proofErr w:type="gramStart"/>
      <w:r w:rsidRPr="00093498">
        <w:rPr>
          <w:rFonts w:ascii="Times New Roman" w:hAnsi="Times New Roman" w:cs="Times New Roman"/>
          <w:bCs/>
          <w:highlight w:val="yellow"/>
        </w:rPr>
        <w:t>globally-deployed</w:t>
      </w:r>
      <w:proofErr w:type="gramEnd"/>
      <w:r w:rsidRPr="00093498">
        <w:rPr>
          <w:rFonts w:ascii="Times New Roman" w:hAnsi="Times New Roman" w:cs="Times New Roman"/>
          <w:bCs/>
          <w:highlight w:val="yellow"/>
        </w:rPr>
        <w:t xml:space="preserve"> software defined WAN. In Proceedings of ACM SIGCOMM (2013).</w:t>
      </w:r>
    </w:p>
    <w:p w14:paraId="1762BEB2" w14:textId="77777777" w:rsidR="00552814" w:rsidRPr="00093498" w:rsidRDefault="00552814" w:rsidP="00FD47C1">
      <w:pPr>
        <w:rPr>
          <w:rFonts w:ascii="Times New Roman" w:hAnsi="Times New Roman" w:cs="Times New Roman"/>
          <w:bCs/>
          <w:highlight w:val="yellow"/>
        </w:rPr>
      </w:pPr>
    </w:p>
    <w:p w14:paraId="55A3E24B" w14:textId="77777777" w:rsidR="00552814" w:rsidRPr="00093498" w:rsidRDefault="00552814" w:rsidP="00FD47C1">
      <w:pPr>
        <w:rPr>
          <w:rFonts w:ascii="Times New Roman" w:hAnsi="Times New Roman" w:cs="Times New Roman"/>
          <w:bCs/>
          <w:highlight w:val="yellow"/>
        </w:rPr>
      </w:pPr>
    </w:p>
    <w:p w14:paraId="5F734E27" w14:textId="77777777" w:rsidR="00552814" w:rsidRPr="00093498" w:rsidRDefault="00552814" w:rsidP="00FD47C1">
      <w:pPr>
        <w:rPr>
          <w:rFonts w:ascii="Times New Roman" w:hAnsi="Times New Roman" w:cs="Times New Roman"/>
          <w:bCs/>
          <w:highlight w:val="yellow"/>
        </w:rPr>
      </w:pPr>
    </w:p>
    <w:p w14:paraId="798C94F8" w14:textId="77777777" w:rsidR="007618E0" w:rsidRPr="00093498" w:rsidRDefault="007618E0" w:rsidP="00FD47C1">
      <w:pPr>
        <w:rPr>
          <w:rFonts w:ascii="Times New Roman" w:hAnsi="Times New Roman" w:cs="Times New Roman"/>
          <w:bCs/>
          <w:highlight w:val="yellow"/>
        </w:rPr>
      </w:pPr>
    </w:p>
    <w:p w14:paraId="0F8B7577" w14:textId="77777777" w:rsidR="007618E0" w:rsidRPr="00093498" w:rsidRDefault="007618E0" w:rsidP="00FD47C1">
      <w:pPr>
        <w:rPr>
          <w:rFonts w:ascii="Times New Roman" w:hAnsi="Times New Roman" w:cs="Times New Roman"/>
          <w:bCs/>
          <w:highlight w:val="yellow"/>
        </w:rPr>
      </w:pPr>
    </w:p>
    <w:p w14:paraId="44BDB4D5" w14:textId="77777777" w:rsidR="001A0BA3" w:rsidRPr="00093498" w:rsidRDefault="001A0BA3" w:rsidP="007618E0">
      <w:pPr>
        <w:rPr>
          <w:rFonts w:ascii="Times New Roman" w:hAnsi="Times New Roman" w:cs="Times New Roman"/>
          <w:bCs/>
          <w:highlight w:val="yellow"/>
        </w:rPr>
      </w:pPr>
    </w:p>
    <w:p w14:paraId="73980D90" w14:textId="77777777" w:rsidR="001A0BA3" w:rsidRPr="00093498" w:rsidRDefault="001A0BA3" w:rsidP="007618E0">
      <w:pPr>
        <w:rPr>
          <w:rFonts w:ascii="Times New Roman" w:hAnsi="Times New Roman" w:cs="Times New Roman"/>
          <w:bCs/>
          <w:highlight w:val="yellow"/>
        </w:rPr>
      </w:pPr>
    </w:p>
    <w:p w14:paraId="4E955EDB" w14:textId="77777777" w:rsidR="001A0BA3" w:rsidRPr="00093498" w:rsidRDefault="001A0BA3" w:rsidP="007618E0">
      <w:pPr>
        <w:rPr>
          <w:rFonts w:ascii="Times New Roman" w:hAnsi="Times New Roman" w:cs="Times New Roman"/>
          <w:bCs/>
          <w:highlight w:val="yellow"/>
        </w:rPr>
      </w:pPr>
    </w:p>
    <w:p w14:paraId="5F4BD602" w14:textId="77777777" w:rsidR="001A0BA3" w:rsidRPr="00093498" w:rsidRDefault="001A0BA3" w:rsidP="007618E0">
      <w:pPr>
        <w:rPr>
          <w:rFonts w:ascii="Times New Roman" w:hAnsi="Times New Roman" w:cs="Times New Roman"/>
          <w:bCs/>
          <w:highlight w:val="yellow"/>
        </w:rPr>
      </w:pPr>
    </w:p>
    <w:p w14:paraId="5DA5EE5F" w14:textId="77777777" w:rsidR="001A0BA3" w:rsidRPr="00093498" w:rsidRDefault="001A0BA3" w:rsidP="007618E0">
      <w:pPr>
        <w:rPr>
          <w:rFonts w:ascii="Times New Roman" w:hAnsi="Times New Roman" w:cs="Times New Roman"/>
          <w:bCs/>
          <w:highlight w:val="yellow"/>
        </w:rPr>
      </w:pPr>
    </w:p>
    <w:p w14:paraId="1389667E" w14:textId="77777777" w:rsidR="001A0BA3" w:rsidRPr="00093498" w:rsidRDefault="001A0BA3" w:rsidP="007618E0">
      <w:pPr>
        <w:rPr>
          <w:rFonts w:ascii="Times New Roman" w:hAnsi="Times New Roman" w:cs="Times New Roman"/>
          <w:bCs/>
          <w:highlight w:val="yellow"/>
        </w:rPr>
      </w:pPr>
    </w:p>
    <w:p w14:paraId="0583AF72" w14:textId="77777777" w:rsidR="001A0BA3" w:rsidRPr="00093498" w:rsidRDefault="001A0BA3" w:rsidP="007618E0">
      <w:pPr>
        <w:rPr>
          <w:rFonts w:ascii="Times New Roman" w:hAnsi="Times New Roman" w:cs="Times New Roman"/>
          <w:bCs/>
          <w:highlight w:val="yellow"/>
        </w:rPr>
      </w:pPr>
    </w:p>
    <w:p w14:paraId="7D95D384" w14:textId="77777777" w:rsidR="001A0BA3" w:rsidRPr="00093498" w:rsidRDefault="001A0BA3" w:rsidP="007618E0">
      <w:pPr>
        <w:rPr>
          <w:rFonts w:ascii="Times New Roman" w:hAnsi="Times New Roman" w:cs="Times New Roman"/>
          <w:bCs/>
          <w:highlight w:val="yellow"/>
        </w:rPr>
      </w:pPr>
    </w:p>
    <w:p w14:paraId="760FBA8E" w14:textId="77777777" w:rsidR="001A0BA3" w:rsidRPr="00093498" w:rsidRDefault="001A0BA3" w:rsidP="007618E0">
      <w:pPr>
        <w:rPr>
          <w:rFonts w:ascii="Times New Roman" w:hAnsi="Times New Roman" w:cs="Times New Roman"/>
          <w:bCs/>
          <w:highlight w:val="yellow"/>
        </w:rPr>
      </w:pPr>
    </w:p>
    <w:p w14:paraId="1EFF8CB9" w14:textId="77777777" w:rsidR="001A0BA3" w:rsidRPr="00093498" w:rsidRDefault="001A0BA3" w:rsidP="007618E0">
      <w:pPr>
        <w:rPr>
          <w:rFonts w:ascii="Times New Roman" w:hAnsi="Times New Roman" w:cs="Times New Roman"/>
          <w:bCs/>
          <w:highlight w:val="yellow"/>
        </w:rPr>
      </w:pPr>
    </w:p>
    <w:p w14:paraId="6F40C356" w14:textId="77777777" w:rsidR="001A0BA3" w:rsidRPr="00093498" w:rsidRDefault="001A0BA3" w:rsidP="007618E0">
      <w:pPr>
        <w:rPr>
          <w:rFonts w:ascii="Times New Roman" w:hAnsi="Times New Roman" w:cs="Times New Roman"/>
          <w:bCs/>
          <w:highlight w:val="yellow"/>
        </w:rPr>
      </w:pPr>
    </w:p>
    <w:p w14:paraId="70BCE7F5" w14:textId="77777777" w:rsidR="001A0BA3" w:rsidRPr="00093498" w:rsidRDefault="001A0BA3" w:rsidP="007618E0">
      <w:pPr>
        <w:rPr>
          <w:rFonts w:ascii="Times New Roman" w:hAnsi="Times New Roman" w:cs="Times New Roman"/>
          <w:bCs/>
          <w:highlight w:val="yellow"/>
        </w:rPr>
      </w:pPr>
    </w:p>
    <w:p w14:paraId="2D61E8A9" w14:textId="77777777" w:rsidR="001A0BA3" w:rsidRPr="00093498" w:rsidRDefault="001A0BA3" w:rsidP="007618E0">
      <w:pPr>
        <w:rPr>
          <w:rFonts w:ascii="Times New Roman" w:hAnsi="Times New Roman" w:cs="Times New Roman"/>
          <w:bCs/>
          <w:highlight w:val="yellow"/>
        </w:rPr>
      </w:pPr>
    </w:p>
    <w:p w14:paraId="22370E16" w14:textId="77777777" w:rsidR="001A0BA3" w:rsidRPr="00093498" w:rsidRDefault="001A0BA3" w:rsidP="007618E0">
      <w:pPr>
        <w:rPr>
          <w:rFonts w:ascii="Times New Roman" w:hAnsi="Times New Roman" w:cs="Times New Roman"/>
          <w:bCs/>
          <w:highlight w:val="yellow"/>
        </w:rPr>
      </w:pPr>
    </w:p>
    <w:p w14:paraId="47B9A757" w14:textId="77777777" w:rsidR="001A0BA3" w:rsidRPr="00093498" w:rsidRDefault="001A0BA3" w:rsidP="007618E0">
      <w:pPr>
        <w:rPr>
          <w:rFonts w:ascii="Times New Roman" w:hAnsi="Times New Roman" w:cs="Times New Roman"/>
          <w:bCs/>
          <w:highlight w:val="yellow"/>
        </w:rPr>
      </w:pPr>
    </w:p>
    <w:p w14:paraId="4349B3FA" w14:textId="77777777" w:rsidR="001A0BA3" w:rsidRPr="00093498" w:rsidRDefault="001A0BA3" w:rsidP="007618E0">
      <w:pPr>
        <w:rPr>
          <w:rFonts w:ascii="Times New Roman" w:hAnsi="Times New Roman" w:cs="Times New Roman"/>
          <w:bCs/>
          <w:highlight w:val="yellow"/>
        </w:rPr>
      </w:pPr>
    </w:p>
    <w:p w14:paraId="43D2DEC6" w14:textId="77777777" w:rsidR="0006399D" w:rsidRDefault="0006399D" w:rsidP="007618E0">
      <w:pPr>
        <w:rPr>
          <w:rFonts w:ascii="Times New Roman" w:hAnsi="Times New Roman" w:cs="Times New Roman"/>
          <w:b/>
        </w:rPr>
      </w:pPr>
    </w:p>
    <w:p w14:paraId="44C8F494" w14:textId="77777777" w:rsidR="0006399D" w:rsidRDefault="0006399D" w:rsidP="007618E0">
      <w:pPr>
        <w:rPr>
          <w:rFonts w:ascii="Times New Roman" w:hAnsi="Times New Roman" w:cs="Times New Roman"/>
          <w:b/>
        </w:rPr>
      </w:pPr>
    </w:p>
    <w:p w14:paraId="1531DB35" w14:textId="77777777" w:rsidR="0006399D" w:rsidRDefault="0006399D" w:rsidP="007618E0">
      <w:pPr>
        <w:rPr>
          <w:rFonts w:ascii="Times New Roman" w:hAnsi="Times New Roman" w:cs="Times New Roman"/>
          <w:b/>
        </w:rPr>
      </w:pPr>
    </w:p>
    <w:p w14:paraId="5927E65D" w14:textId="77777777" w:rsidR="0006399D" w:rsidRDefault="0006399D" w:rsidP="007618E0">
      <w:pPr>
        <w:rPr>
          <w:rFonts w:ascii="Times New Roman" w:hAnsi="Times New Roman" w:cs="Times New Roman"/>
          <w:b/>
        </w:rPr>
      </w:pPr>
    </w:p>
    <w:p w14:paraId="7F558A15" w14:textId="77777777" w:rsidR="0006399D" w:rsidRDefault="0006399D" w:rsidP="007618E0">
      <w:pPr>
        <w:rPr>
          <w:rFonts w:ascii="Times New Roman" w:hAnsi="Times New Roman" w:cs="Times New Roman"/>
          <w:b/>
        </w:rPr>
      </w:pPr>
    </w:p>
    <w:p w14:paraId="6D627ED0" w14:textId="77777777" w:rsidR="0006399D" w:rsidRDefault="0006399D" w:rsidP="007618E0">
      <w:pPr>
        <w:rPr>
          <w:rFonts w:ascii="Times New Roman" w:hAnsi="Times New Roman" w:cs="Times New Roman"/>
          <w:b/>
        </w:rPr>
      </w:pPr>
    </w:p>
    <w:p w14:paraId="20B40367" w14:textId="77777777" w:rsidR="0006399D" w:rsidRDefault="0006399D" w:rsidP="007618E0">
      <w:pPr>
        <w:rPr>
          <w:rFonts w:ascii="Times New Roman" w:hAnsi="Times New Roman" w:cs="Times New Roman"/>
          <w:b/>
        </w:rPr>
      </w:pPr>
    </w:p>
    <w:p w14:paraId="744B3D7A" w14:textId="77777777" w:rsidR="0006399D" w:rsidRDefault="0006399D" w:rsidP="007618E0">
      <w:pPr>
        <w:rPr>
          <w:rFonts w:ascii="Times New Roman" w:hAnsi="Times New Roman" w:cs="Times New Roman"/>
          <w:b/>
        </w:rPr>
      </w:pPr>
    </w:p>
    <w:p w14:paraId="78B72E82" w14:textId="77777777" w:rsidR="0006399D" w:rsidRDefault="0006399D" w:rsidP="007618E0">
      <w:pPr>
        <w:rPr>
          <w:rFonts w:ascii="Times New Roman" w:hAnsi="Times New Roman" w:cs="Times New Roman"/>
          <w:b/>
        </w:rPr>
      </w:pPr>
    </w:p>
    <w:p w14:paraId="1F7674D1" w14:textId="77777777" w:rsidR="0006399D" w:rsidRDefault="0006399D" w:rsidP="007618E0">
      <w:pPr>
        <w:rPr>
          <w:rFonts w:ascii="Times New Roman" w:hAnsi="Times New Roman" w:cs="Times New Roman"/>
          <w:b/>
        </w:rPr>
      </w:pPr>
    </w:p>
    <w:p w14:paraId="37603BE0" w14:textId="77777777" w:rsidR="0006399D" w:rsidRDefault="0006399D" w:rsidP="007618E0">
      <w:pPr>
        <w:rPr>
          <w:rFonts w:ascii="Times New Roman" w:hAnsi="Times New Roman" w:cs="Times New Roman"/>
          <w:b/>
        </w:rPr>
      </w:pPr>
    </w:p>
    <w:p w14:paraId="671442A1" w14:textId="77777777" w:rsidR="0006399D" w:rsidRDefault="0006399D" w:rsidP="007618E0">
      <w:pPr>
        <w:rPr>
          <w:rFonts w:ascii="Times New Roman" w:hAnsi="Times New Roman" w:cs="Times New Roman"/>
          <w:b/>
        </w:rPr>
      </w:pPr>
    </w:p>
    <w:p w14:paraId="1876A9FA" w14:textId="77777777" w:rsidR="0006399D" w:rsidRDefault="0006399D" w:rsidP="007618E0">
      <w:pPr>
        <w:rPr>
          <w:rFonts w:ascii="Times New Roman" w:hAnsi="Times New Roman" w:cs="Times New Roman"/>
          <w:b/>
        </w:rPr>
      </w:pPr>
    </w:p>
    <w:p w14:paraId="545DB536" w14:textId="77777777" w:rsidR="0006399D" w:rsidRDefault="0006399D" w:rsidP="007618E0">
      <w:pPr>
        <w:rPr>
          <w:rFonts w:ascii="Times New Roman" w:hAnsi="Times New Roman" w:cs="Times New Roman"/>
          <w:b/>
        </w:rPr>
      </w:pPr>
    </w:p>
    <w:p w14:paraId="08E713D0" w14:textId="77777777" w:rsidR="0006399D" w:rsidRDefault="0006399D" w:rsidP="007618E0">
      <w:pPr>
        <w:rPr>
          <w:rFonts w:ascii="Times New Roman" w:hAnsi="Times New Roman" w:cs="Times New Roman"/>
          <w:b/>
        </w:rPr>
      </w:pPr>
    </w:p>
    <w:p w14:paraId="3F794BB8" w14:textId="77777777" w:rsidR="0006399D" w:rsidRDefault="0006399D" w:rsidP="007618E0">
      <w:pPr>
        <w:rPr>
          <w:rFonts w:ascii="Times New Roman" w:hAnsi="Times New Roman" w:cs="Times New Roman"/>
          <w:b/>
        </w:rPr>
      </w:pPr>
    </w:p>
    <w:p w14:paraId="4A563559" w14:textId="23EFBED9" w:rsidR="007618E0" w:rsidRPr="0006399D" w:rsidRDefault="007618E0" w:rsidP="007618E0">
      <w:pPr>
        <w:rPr>
          <w:rFonts w:ascii="Times New Roman" w:hAnsi="Times New Roman" w:cs="Times New Roman"/>
          <w:b/>
        </w:rPr>
      </w:pPr>
      <w:r w:rsidRPr="0006399D">
        <w:rPr>
          <w:rFonts w:ascii="Times New Roman" w:hAnsi="Times New Roman" w:cs="Times New Roman"/>
          <w:b/>
        </w:rPr>
        <w:lastRenderedPageBreak/>
        <w:t>Extended Data</w:t>
      </w:r>
    </w:p>
    <w:p w14:paraId="684964E1" w14:textId="77777777" w:rsidR="007618E0" w:rsidRPr="0006399D" w:rsidRDefault="007618E0" w:rsidP="007618E0">
      <w:pPr>
        <w:rPr>
          <w:rFonts w:ascii="Times New Roman" w:hAnsi="Times New Roman" w:cs="Times New Roman"/>
          <w:bCs/>
        </w:rPr>
      </w:pPr>
    </w:p>
    <w:p w14:paraId="62B00BDD" w14:textId="77777777" w:rsidR="007618E0" w:rsidRPr="0006399D" w:rsidRDefault="007618E0" w:rsidP="007618E0">
      <w:pPr>
        <w:rPr>
          <w:rFonts w:ascii="Times New Roman" w:hAnsi="Times New Roman" w:cs="Times New Roman"/>
          <w:bCs/>
        </w:rPr>
      </w:pPr>
      <w:r w:rsidRPr="0006399D">
        <w:rPr>
          <w:rFonts w:ascii="Times New Roman" w:hAnsi="Times New Roman" w:cs="Times New Roman"/>
          <w:bCs/>
        </w:rPr>
        <w:t>Extended Data Fig. 1. Stress threshold sensitivity.</w:t>
      </w:r>
    </w:p>
    <w:p w14:paraId="29DFF3D1" w14:textId="77777777" w:rsidR="007618E0" w:rsidRPr="00093498" w:rsidRDefault="007618E0" w:rsidP="007618E0">
      <w:pPr>
        <w:keepNext/>
        <w:rPr>
          <w:highlight w:val="yellow"/>
        </w:rPr>
      </w:pPr>
      <w:r w:rsidRPr="00093498">
        <w:rPr>
          <w:rFonts w:ascii="Times New Roman" w:hAnsi="Times New Roman" w:cs="Times New Roman"/>
          <w:bCs/>
          <w:noProof/>
          <w:highlight w:val="yellow"/>
        </w:rPr>
        <w:drawing>
          <wp:inline distT="0" distB="0" distL="0" distR="0" wp14:anchorId="033A30D4" wp14:editId="2B483383">
            <wp:extent cx="5852172" cy="3746000"/>
            <wp:effectExtent l="0" t="0" r="0" b="6985"/>
            <wp:docPr id="3391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979" name="Picture 339140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2172" cy="3746000"/>
                    </a:xfrm>
                    <a:prstGeom prst="rect">
                      <a:avLst/>
                    </a:prstGeom>
                  </pic:spPr>
                </pic:pic>
              </a:graphicData>
            </a:graphic>
          </wp:inline>
        </w:drawing>
      </w:r>
    </w:p>
    <w:p w14:paraId="6DBF01C3" w14:textId="29B23F71" w:rsidR="007618E0" w:rsidRPr="0006399D" w:rsidRDefault="007618E0" w:rsidP="0006399D">
      <w:pPr>
        <w:pStyle w:val="Caption"/>
        <w:rPr>
          <w:rFonts w:ascii="Times New Roman" w:hAnsi="Times New Roman" w:cs="Times New Roman"/>
          <w:bCs/>
        </w:rPr>
        <w:sectPr w:rsidR="007618E0" w:rsidRPr="0006399D" w:rsidSect="00877A4C">
          <w:pgSz w:w="12240" w:h="15840"/>
          <w:pgMar w:top="1440" w:right="1440" w:bottom="1440" w:left="1440" w:header="720" w:footer="720" w:gutter="0"/>
          <w:cols w:space="720"/>
          <w:docGrid w:linePitch="360"/>
        </w:sectPr>
      </w:pPr>
      <w:r w:rsidRPr="0006399D">
        <w:t xml:space="preserve">Capacity-weighted </w:t>
      </w:r>
      <w:proofErr w:type="gramStart"/>
      <w:r w:rsidRPr="0006399D">
        <w:t>destination</w:t>
      </w:r>
      <w:proofErr w:type="gramEnd"/>
      <w:r w:rsidRPr="0006399D">
        <w:t xml:space="preserve"> </w:t>
      </w:r>
      <w:proofErr w:type="gramStart"/>
      <w:r w:rsidRPr="0006399D">
        <w:t>overlap</w:t>
      </w:r>
      <w:proofErr w:type="gramEnd"/>
      <w:r w:rsidRPr="0006399D">
        <w:t xml:space="preserve"> </w:t>
      </w:r>
      <w:proofErr w:type="gramStart"/>
      <w:r w:rsidRPr="0006399D">
        <w:t>and any-</w:t>
      </w:r>
      <w:proofErr w:type="gramEnd"/>
      <w:r w:rsidRPr="0006399D">
        <w:t>destination availability at three alternative stress-hour thresholds. Baseline: top 50 hours per year per zone (~99.43 percentile, 200 ComEd stress hours total). Alternatives: top 25 (~99.71</w:t>
      </w:r>
      <w:r w:rsidRPr="0006399D">
        <w:rPr>
          <w:vertAlign w:val="superscript"/>
        </w:rPr>
        <w:t>st</w:t>
      </w:r>
      <w:r w:rsidRPr="0006399D">
        <w:t xml:space="preserve"> percentile) and top 100 (~98.86</w:t>
      </w:r>
      <w:r w:rsidRPr="0006399D">
        <w:rPr>
          <w:vertAlign w:val="superscript"/>
        </w:rPr>
        <w:t>th</w:t>
      </w:r>
      <w:r w:rsidRPr="0006399D">
        <w:t xml:space="preserve"> percentile). Any-destination availability varies by at most 1.25 percentage points across </w:t>
      </w:r>
      <w:proofErr w:type="gramStart"/>
      <w:r w:rsidRPr="0006399D">
        <w:t>thresholds;</w:t>
      </w:r>
      <w:proofErr w:type="gramEnd"/>
      <w:r w:rsidRPr="0006399D">
        <w:t xml:space="preserve"> capacity-weighted overlap declines monotonically with threshold </w:t>
      </w:r>
      <w:proofErr w:type="spellStart"/>
      <w:r w:rsidRPr="0006399D">
        <w:t>tightne</w:t>
      </w:r>
      <w:proofErr w:type="spellEnd"/>
    </w:p>
    <w:p w14:paraId="502EE0C4" w14:textId="77777777" w:rsidR="007618E0" w:rsidRPr="00093498" w:rsidRDefault="007618E0" w:rsidP="007618E0">
      <w:pPr>
        <w:rPr>
          <w:rFonts w:ascii="Times New Roman" w:hAnsi="Times New Roman" w:cs="Times New Roman"/>
          <w:bCs/>
          <w:highlight w:val="yellow"/>
        </w:rPr>
      </w:pPr>
    </w:p>
    <w:p w14:paraId="14FA4634"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1. Multi-source generalizability.</w:t>
      </w:r>
    </w:p>
    <w:tbl>
      <w:tblPr>
        <w:tblStyle w:val="TableGrid"/>
        <w:tblW w:w="0" w:type="auto"/>
        <w:tblCellMar>
          <w:left w:w="72" w:type="dxa"/>
          <w:right w:w="72" w:type="dxa"/>
        </w:tblCellMar>
        <w:tblLook w:val="04A0" w:firstRow="1" w:lastRow="0" w:firstColumn="1" w:lastColumn="0" w:noHBand="0" w:noVBand="1"/>
      </w:tblPr>
      <w:tblGrid>
        <w:gridCol w:w="1089"/>
        <w:gridCol w:w="707"/>
        <w:gridCol w:w="600"/>
        <w:gridCol w:w="724"/>
        <w:gridCol w:w="1026"/>
        <w:gridCol w:w="919"/>
        <w:gridCol w:w="1343"/>
        <w:gridCol w:w="1236"/>
        <w:gridCol w:w="993"/>
        <w:gridCol w:w="1188"/>
        <w:gridCol w:w="843"/>
        <w:gridCol w:w="787"/>
        <w:gridCol w:w="775"/>
        <w:gridCol w:w="720"/>
      </w:tblGrid>
      <w:tr w:rsidR="007618E0" w:rsidRPr="00A1522D" w14:paraId="6AFE46CD" w14:textId="77777777" w:rsidTr="007618E0">
        <w:trPr>
          <w:trHeight w:val="476"/>
        </w:trPr>
        <w:tc>
          <w:tcPr>
            <w:tcW w:w="0" w:type="auto"/>
            <w:noWrap/>
            <w:hideMark/>
          </w:tcPr>
          <w:p w14:paraId="4399F229" w14:textId="5525B1E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Zone</w:t>
            </w:r>
          </w:p>
        </w:tc>
        <w:tc>
          <w:tcPr>
            <w:tcW w:w="0" w:type="auto"/>
            <w:noWrap/>
            <w:hideMark/>
          </w:tcPr>
          <w:p w14:paraId="03EBD6C1" w14:textId="4F1FFEDC"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RTO</w:t>
            </w:r>
          </w:p>
        </w:tc>
        <w:tc>
          <w:tcPr>
            <w:tcW w:w="0" w:type="auto"/>
            <w:noWrap/>
            <w:hideMark/>
          </w:tcPr>
          <w:p w14:paraId="099A6503" w14:textId="4E8BD6F0"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Source IC</w:t>
            </w:r>
          </w:p>
        </w:tc>
        <w:tc>
          <w:tcPr>
            <w:tcW w:w="0" w:type="auto"/>
            <w:noWrap/>
            <w:hideMark/>
          </w:tcPr>
          <w:p w14:paraId="0321CEBA" w14:textId="399394C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Stress Hours</w:t>
            </w:r>
          </w:p>
        </w:tc>
        <w:tc>
          <w:tcPr>
            <w:tcW w:w="0" w:type="auto"/>
            <w:noWrap/>
            <w:hideMark/>
          </w:tcPr>
          <w:p w14:paraId="4304769C" w14:textId="2040430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N Cross RTO </w:t>
            </w:r>
            <w:proofErr w:type="spellStart"/>
            <w:r w:rsidRPr="00A1522D">
              <w:rPr>
                <w:rFonts w:ascii="Times New Roman" w:eastAsia="Calibri" w:hAnsi="Times New Roman" w:cs="Times New Roman"/>
                <w:b/>
                <w:bCs/>
                <w:sz w:val="14"/>
                <w:szCs w:val="14"/>
              </w:rPr>
              <w:t>Dests</w:t>
            </w:r>
            <w:proofErr w:type="spellEnd"/>
          </w:p>
        </w:tc>
        <w:tc>
          <w:tcPr>
            <w:tcW w:w="0" w:type="auto"/>
            <w:noWrap/>
            <w:hideMark/>
          </w:tcPr>
          <w:p w14:paraId="1D470BA1" w14:textId="4E9B619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N Cross IC </w:t>
            </w:r>
            <w:proofErr w:type="spellStart"/>
            <w:r w:rsidRPr="00A1522D">
              <w:rPr>
                <w:rFonts w:ascii="Times New Roman" w:eastAsia="Calibri" w:hAnsi="Times New Roman" w:cs="Times New Roman"/>
                <w:b/>
                <w:bCs/>
                <w:sz w:val="14"/>
                <w:szCs w:val="14"/>
              </w:rPr>
              <w:t>Dests</w:t>
            </w:r>
            <w:proofErr w:type="spellEnd"/>
          </w:p>
        </w:tc>
        <w:tc>
          <w:tcPr>
            <w:tcW w:w="0" w:type="auto"/>
            <w:noWrap/>
            <w:hideMark/>
          </w:tcPr>
          <w:p w14:paraId="4995D882" w14:textId="2752A983"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RTO</w:t>
            </w:r>
          </w:p>
        </w:tc>
        <w:tc>
          <w:tcPr>
            <w:tcW w:w="0" w:type="auto"/>
            <w:noWrap/>
            <w:hideMark/>
          </w:tcPr>
          <w:p w14:paraId="149FD5D6" w14:textId="269EC00F"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Dynamic Avail Cross IC</w:t>
            </w:r>
          </w:p>
        </w:tc>
        <w:tc>
          <w:tcPr>
            <w:tcW w:w="0" w:type="auto"/>
            <w:noWrap/>
            <w:hideMark/>
          </w:tcPr>
          <w:p w14:paraId="52DB27B7" w14:textId="6F31ABC8"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All Stressed Hours</w:t>
            </w:r>
          </w:p>
        </w:tc>
        <w:tc>
          <w:tcPr>
            <w:tcW w:w="0" w:type="auto"/>
            <w:noWrap/>
            <w:hideMark/>
          </w:tcPr>
          <w:p w14:paraId="3C8F816E" w14:textId="5BC3FD22"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Cap Weighted Overlap</w:t>
            </w:r>
          </w:p>
        </w:tc>
        <w:tc>
          <w:tcPr>
            <w:tcW w:w="0" w:type="auto"/>
            <w:noWrap/>
            <w:hideMark/>
          </w:tcPr>
          <w:p w14:paraId="68652CA7" w14:textId="0FCCF6D5"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Summer Hours</w:t>
            </w:r>
          </w:p>
        </w:tc>
        <w:tc>
          <w:tcPr>
            <w:tcW w:w="0" w:type="auto"/>
            <w:noWrap/>
            <w:hideMark/>
          </w:tcPr>
          <w:p w14:paraId="0C6EFEC1" w14:textId="4234422B"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 xml:space="preserve">Summer Avail </w:t>
            </w:r>
          </w:p>
        </w:tc>
        <w:tc>
          <w:tcPr>
            <w:tcW w:w="0" w:type="auto"/>
            <w:noWrap/>
            <w:hideMark/>
          </w:tcPr>
          <w:p w14:paraId="192FDDCD" w14:textId="261777B4"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Hours</w:t>
            </w:r>
          </w:p>
        </w:tc>
        <w:tc>
          <w:tcPr>
            <w:tcW w:w="0" w:type="auto"/>
            <w:noWrap/>
            <w:hideMark/>
          </w:tcPr>
          <w:p w14:paraId="5C5CB0FA" w14:textId="0A98B04A" w:rsidR="007618E0" w:rsidRPr="00A1522D" w:rsidRDefault="007618E0" w:rsidP="007618E0">
            <w:pPr>
              <w:spacing w:after="160" w:line="278" w:lineRule="auto"/>
              <w:rPr>
                <w:rFonts w:ascii="Times New Roman" w:eastAsia="Calibri" w:hAnsi="Times New Roman" w:cs="Times New Roman"/>
                <w:b/>
                <w:bCs/>
                <w:sz w:val="14"/>
                <w:szCs w:val="14"/>
              </w:rPr>
            </w:pPr>
            <w:r w:rsidRPr="00A1522D">
              <w:rPr>
                <w:rFonts w:ascii="Times New Roman" w:eastAsia="Calibri" w:hAnsi="Times New Roman" w:cs="Times New Roman"/>
                <w:b/>
                <w:bCs/>
                <w:sz w:val="14"/>
                <w:szCs w:val="14"/>
              </w:rPr>
              <w:t>Winter Avail</w:t>
            </w:r>
          </w:p>
        </w:tc>
      </w:tr>
      <w:tr w:rsidR="007618E0" w:rsidRPr="00A1522D" w14:paraId="3C988EC8" w14:textId="77777777" w:rsidTr="007618E0">
        <w:trPr>
          <w:trHeight w:val="290"/>
        </w:trPr>
        <w:tc>
          <w:tcPr>
            <w:tcW w:w="0" w:type="auto"/>
            <w:noWrap/>
            <w:hideMark/>
          </w:tcPr>
          <w:p w14:paraId="37EF1A76"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PJM_COMED</w:t>
            </w:r>
          </w:p>
        </w:tc>
        <w:tc>
          <w:tcPr>
            <w:tcW w:w="0" w:type="auto"/>
            <w:noWrap/>
            <w:hideMark/>
          </w:tcPr>
          <w:p w14:paraId="6AD70199"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5565378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2710141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2EDF1B8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4030093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0DDDA65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0B4450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94</w:t>
            </w:r>
          </w:p>
        </w:tc>
        <w:tc>
          <w:tcPr>
            <w:tcW w:w="0" w:type="auto"/>
            <w:noWrap/>
            <w:hideMark/>
          </w:tcPr>
          <w:p w14:paraId="56DF43F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w:t>
            </w:r>
          </w:p>
        </w:tc>
        <w:tc>
          <w:tcPr>
            <w:tcW w:w="0" w:type="auto"/>
            <w:noWrap/>
            <w:hideMark/>
          </w:tcPr>
          <w:p w14:paraId="4E403DF7" w14:textId="419B47B0"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21.</w:t>
            </w:r>
            <w:r w:rsidR="00C85773" w:rsidRPr="00A1522D">
              <w:rPr>
                <w:rFonts w:ascii="Times New Roman" w:hAnsi="Times New Roman" w:cs="Times New Roman"/>
                <w:bCs/>
                <w:sz w:val="14"/>
                <w:szCs w:val="14"/>
              </w:rPr>
              <w:t>6</w:t>
            </w:r>
          </w:p>
        </w:tc>
        <w:tc>
          <w:tcPr>
            <w:tcW w:w="0" w:type="auto"/>
            <w:noWrap/>
            <w:hideMark/>
          </w:tcPr>
          <w:p w14:paraId="11960CA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102</w:t>
            </w:r>
          </w:p>
        </w:tc>
        <w:tc>
          <w:tcPr>
            <w:tcW w:w="0" w:type="auto"/>
            <w:noWrap/>
            <w:hideMark/>
          </w:tcPr>
          <w:p w14:paraId="446FB63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CAF00A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87</w:t>
            </w:r>
          </w:p>
        </w:tc>
        <w:tc>
          <w:tcPr>
            <w:tcW w:w="0" w:type="auto"/>
            <w:noWrap/>
            <w:hideMark/>
          </w:tcPr>
          <w:p w14:paraId="30B8CCE1" w14:textId="0FC8CEF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97.7</w:t>
            </w:r>
          </w:p>
        </w:tc>
      </w:tr>
      <w:tr w:rsidR="007618E0" w:rsidRPr="00A1522D" w14:paraId="48406ACE" w14:textId="77777777" w:rsidTr="007618E0">
        <w:trPr>
          <w:trHeight w:val="290"/>
        </w:trPr>
        <w:tc>
          <w:tcPr>
            <w:tcW w:w="0" w:type="auto"/>
            <w:noWrap/>
            <w:hideMark/>
          </w:tcPr>
          <w:p w14:paraId="43AA6D97"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PJM_DOM</w:t>
            </w:r>
          </w:p>
        </w:tc>
        <w:tc>
          <w:tcPr>
            <w:tcW w:w="0" w:type="auto"/>
            <w:noWrap/>
            <w:hideMark/>
          </w:tcPr>
          <w:p w14:paraId="7C3B1903"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PJM</w:t>
            </w:r>
          </w:p>
        </w:tc>
        <w:tc>
          <w:tcPr>
            <w:tcW w:w="0" w:type="auto"/>
            <w:noWrap/>
            <w:hideMark/>
          </w:tcPr>
          <w:p w14:paraId="023B7C2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Eastern</w:t>
            </w:r>
          </w:p>
        </w:tc>
        <w:tc>
          <w:tcPr>
            <w:tcW w:w="0" w:type="auto"/>
            <w:noWrap/>
            <w:hideMark/>
          </w:tcPr>
          <w:p w14:paraId="3F16CBF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689ACC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17</w:t>
            </w:r>
          </w:p>
        </w:tc>
        <w:tc>
          <w:tcPr>
            <w:tcW w:w="0" w:type="auto"/>
            <w:noWrap/>
            <w:hideMark/>
          </w:tcPr>
          <w:p w14:paraId="159E3D1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6</w:t>
            </w:r>
          </w:p>
        </w:tc>
        <w:tc>
          <w:tcPr>
            <w:tcW w:w="0" w:type="auto"/>
            <w:noWrap/>
            <w:hideMark/>
          </w:tcPr>
          <w:p w14:paraId="729B3FA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99.5</w:t>
            </w:r>
          </w:p>
        </w:tc>
        <w:tc>
          <w:tcPr>
            <w:tcW w:w="0" w:type="auto"/>
            <w:noWrap/>
            <w:hideMark/>
          </w:tcPr>
          <w:p w14:paraId="48E5B366"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99</w:t>
            </w:r>
          </w:p>
        </w:tc>
        <w:tc>
          <w:tcPr>
            <w:tcW w:w="0" w:type="auto"/>
            <w:noWrap/>
            <w:hideMark/>
          </w:tcPr>
          <w:p w14:paraId="2F201FB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w:t>
            </w:r>
          </w:p>
        </w:tc>
        <w:tc>
          <w:tcPr>
            <w:tcW w:w="0" w:type="auto"/>
            <w:noWrap/>
            <w:hideMark/>
          </w:tcPr>
          <w:p w14:paraId="7E6D1973" w14:textId="24C0DB35"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11.</w:t>
            </w:r>
            <w:r w:rsidR="00C85773" w:rsidRPr="00A1522D">
              <w:rPr>
                <w:rFonts w:ascii="Times New Roman" w:hAnsi="Times New Roman" w:cs="Times New Roman"/>
                <w:bCs/>
                <w:sz w:val="14"/>
                <w:szCs w:val="14"/>
              </w:rPr>
              <w:t>3</w:t>
            </w:r>
          </w:p>
        </w:tc>
        <w:tc>
          <w:tcPr>
            <w:tcW w:w="0" w:type="auto"/>
            <w:noWrap/>
            <w:hideMark/>
          </w:tcPr>
          <w:p w14:paraId="3A76418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73</w:t>
            </w:r>
          </w:p>
        </w:tc>
        <w:tc>
          <w:tcPr>
            <w:tcW w:w="0" w:type="auto"/>
            <w:noWrap/>
            <w:hideMark/>
          </w:tcPr>
          <w:p w14:paraId="65BD599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2C221B58"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70</w:t>
            </w:r>
          </w:p>
        </w:tc>
        <w:tc>
          <w:tcPr>
            <w:tcW w:w="0" w:type="auto"/>
            <w:noWrap/>
            <w:hideMark/>
          </w:tcPr>
          <w:p w14:paraId="337FC8A0" w14:textId="437E6A1A"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98.</w:t>
            </w:r>
            <w:r w:rsidR="00C85773" w:rsidRPr="00A1522D">
              <w:rPr>
                <w:rFonts w:ascii="Times New Roman" w:hAnsi="Times New Roman" w:cs="Times New Roman"/>
                <w:bCs/>
                <w:sz w:val="14"/>
                <w:szCs w:val="14"/>
              </w:rPr>
              <w:t>6</w:t>
            </w:r>
          </w:p>
        </w:tc>
      </w:tr>
      <w:tr w:rsidR="007618E0" w:rsidRPr="00A1522D" w14:paraId="76A01965" w14:textId="77777777" w:rsidTr="007618E0">
        <w:trPr>
          <w:trHeight w:val="290"/>
        </w:trPr>
        <w:tc>
          <w:tcPr>
            <w:tcW w:w="0" w:type="auto"/>
            <w:noWrap/>
            <w:hideMark/>
          </w:tcPr>
          <w:p w14:paraId="6A4E420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ERCOT_LZ_NORTH</w:t>
            </w:r>
          </w:p>
        </w:tc>
        <w:tc>
          <w:tcPr>
            <w:tcW w:w="0" w:type="auto"/>
            <w:noWrap/>
            <w:hideMark/>
          </w:tcPr>
          <w:p w14:paraId="574783D8"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6D99E0FD"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ERCOT</w:t>
            </w:r>
          </w:p>
        </w:tc>
        <w:tc>
          <w:tcPr>
            <w:tcW w:w="0" w:type="auto"/>
            <w:noWrap/>
            <w:hideMark/>
          </w:tcPr>
          <w:p w14:paraId="43593CD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5180433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40A0AFBD"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w:t>
            </w:r>
          </w:p>
        </w:tc>
        <w:tc>
          <w:tcPr>
            <w:tcW w:w="0" w:type="auto"/>
            <w:noWrap/>
            <w:hideMark/>
          </w:tcPr>
          <w:p w14:paraId="6F82B60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8F337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4B64A27"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60477F8D" w14:textId="15A636F4"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8.2</w:t>
            </w:r>
          </w:p>
        </w:tc>
        <w:tc>
          <w:tcPr>
            <w:tcW w:w="0" w:type="auto"/>
            <w:noWrap/>
            <w:hideMark/>
          </w:tcPr>
          <w:p w14:paraId="31F525B5"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104</w:t>
            </w:r>
          </w:p>
        </w:tc>
        <w:tc>
          <w:tcPr>
            <w:tcW w:w="0" w:type="auto"/>
            <w:noWrap/>
            <w:hideMark/>
          </w:tcPr>
          <w:p w14:paraId="24B4504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479284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270B4699"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r>
      <w:tr w:rsidR="007618E0" w:rsidRPr="00A1522D" w14:paraId="7CA61F67" w14:textId="77777777" w:rsidTr="007618E0">
        <w:trPr>
          <w:trHeight w:val="290"/>
        </w:trPr>
        <w:tc>
          <w:tcPr>
            <w:tcW w:w="0" w:type="auto"/>
            <w:noWrap/>
            <w:hideMark/>
          </w:tcPr>
          <w:p w14:paraId="76FB3245"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CAISO_NP15</w:t>
            </w:r>
          </w:p>
        </w:tc>
        <w:tc>
          <w:tcPr>
            <w:tcW w:w="0" w:type="auto"/>
            <w:noWrap/>
            <w:hideMark/>
          </w:tcPr>
          <w:p w14:paraId="1DC48791"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CAISO</w:t>
            </w:r>
          </w:p>
        </w:tc>
        <w:tc>
          <w:tcPr>
            <w:tcW w:w="0" w:type="auto"/>
            <w:noWrap/>
            <w:hideMark/>
          </w:tcPr>
          <w:p w14:paraId="17917AF4" w14:textId="77777777"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Western</w:t>
            </w:r>
          </w:p>
        </w:tc>
        <w:tc>
          <w:tcPr>
            <w:tcW w:w="0" w:type="auto"/>
            <w:noWrap/>
            <w:hideMark/>
          </w:tcPr>
          <w:p w14:paraId="43269BBC"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200</w:t>
            </w:r>
          </w:p>
        </w:tc>
        <w:tc>
          <w:tcPr>
            <w:tcW w:w="0" w:type="auto"/>
            <w:noWrap/>
            <w:hideMark/>
          </w:tcPr>
          <w:p w14:paraId="3B3164DF"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70F7963A"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22</w:t>
            </w:r>
          </w:p>
        </w:tc>
        <w:tc>
          <w:tcPr>
            <w:tcW w:w="0" w:type="auto"/>
            <w:noWrap/>
            <w:hideMark/>
          </w:tcPr>
          <w:p w14:paraId="654B1964"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0D1A07F1"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3AAF70A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0</w:t>
            </w:r>
          </w:p>
        </w:tc>
        <w:tc>
          <w:tcPr>
            <w:tcW w:w="0" w:type="auto"/>
            <w:noWrap/>
            <w:hideMark/>
          </w:tcPr>
          <w:p w14:paraId="7780C6A6" w14:textId="4EDD02FF" w:rsidR="007618E0" w:rsidRPr="00A1522D" w:rsidRDefault="007618E0">
            <w:pPr>
              <w:rPr>
                <w:rFonts w:ascii="Times New Roman" w:hAnsi="Times New Roman" w:cs="Times New Roman"/>
                <w:bCs/>
                <w:sz w:val="14"/>
                <w:szCs w:val="14"/>
              </w:rPr>
            </w:pPr>
            <w:r w:rsidRPr="00A1522D">
              <w:rPr>
                <w:rFonts w:ascii="Times New Roman" w:hAnsi="Times New Roman" w:cs="Times New Roman"/>
                <w:bCs/>
                <w:sz w:val="14"/>
                <w:szCs w:val="14"/>
              </w:rPr>
              <w:t>7.</w:t>
            </w:r>
            <w:r w:rsidR="00C85773" w:rsidRPr="00A1522D">
              <w:rPr>
                <w:rFonts w:ascii="Times New Roman" w:hAnsi="Times New Roman" w:cs="Times New Roman"/>
                <w:bCs/>
                <w:sz w:val="14"/>
                <w:szCs w:val="14"/>
              </w:rPr>
              <w:t>8</w:t>
            </w:r>
          </w:p>
        </w:tc>
        <w:tc>
          <w:tcPr>
            <w:tcW w:w="0" w:type="auto"/>
            <w:noWrap/>
            <w:hideMark/>
          </w:tcPr>
          <w:p w14:paraId="2251B94E"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39</w:t>
            </w:r>
          </w:p>
        </w:tc>
        <w:tc>
          <w:tcPr>
            <w:tcW w:w="0" w:type="auto"/>
            <w:noWrap/>
            <w:hideMark/>
          </w:tcPr>
          <w:p w14:paraId="343EA780"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100</w:t>
            </w:r>
          </w:p>
        </w:tc>
        <w:tc>
          <w:tcPr>
            <w:tcW w:w="0" w:type="auto"/>
            <w:noWrap/>
            <w:hideMark/>
          </w:tcPr>
          <w:p w14:paraId="62AC9BE2" w14:textId="77777777" w:rsidR="007618E0" w:rsidRPr="00A1522D" w:rsidRDefault="007618E0" w:rsidP="007618E0">
            <w:pPr>
              <w:rPr>
                <w:rFonts w:ascii="Times New Roman" w:hAnsi="Times New Roman" w:cs="Times New Roman"/>
                <w:bCs/>
                <w:sz w:val="14"/>
                <w:szCs w:val="14"/>
              </w:rPr>
            </w:pPr>
            <w:r w:rsidRPr="00A1522D">
              <w:rPr>
                <w:rFonts w:ascii="Times New Roman" w:hAnsi="Times New Roman" w:cs="Times New Roman"/>
                <w:bCs/>
                <w:sz w:val="14"/>
                <w:szCs w:val="14"/>
              </w:rPr>
              <w:t>137</w:t>
            </w:r>
          </w:p>
        </w:tc>
        <w:tc>
          <w:tcPr>
            <w:tcW w:w="0" w:type="auto"/>
            <w:noWrap/>
            <w:hideMark/>
          </w:tcPr>
          <w:p w14:paraId="12E52AC2" w14:textId="77777777" w:rsidR="007618E0" w:rsidRPr="00A1522D" w:rsidRDefault="007618E0" w:rsidP="007618E0">
            <w:pPr>
              <w:keepNext/>
              <w:rPr>
                <w:rFonts w:ascii="Times New Roman" w:hAnsi="Times New Roman" w:cs="Times New Roman"/>
                <w:bCs/>
                <w:sz w:val="14"/>
                <w:szCs w:val="14"/>
              </w:rPr>
            </w:pPr>
            <w:r w:rsidRPr="00A1522D">
              <w:rPr>
                <w:rFonts w:ascii="Times New Roman" w:hAnsi="Times New Roman" w:cs="Times New Roman"/>
                <w:bCs/>
                <w:sz w:val="14"/>
                <w:szCs w:val="14"/>
              </w:rPr>
              <w:t>100</w:t>
            </w:r>
          </w:p>
        </w:tc>
      </w:tr>
    </w:tbl>
    <w:p w14:paraId="576D9015" w14:textId="4B8FA4E3" w:rsidR="007618E0" w:rsidRPr="00A1522D" w:rsidRDefault="007618E0">
      <w:pPr>
        <w:pStyle w:val="Caption"/>
      </w:pPr>
      <w:r w:rsidRPr="00A1522D">
        <w:t>Capacity-weighted destination overlap computed with alternative source zones (PJM-DOM, ERCOT-LZ-NORTH, CAISO-NP15, others). Headline decorrelation result holds across all tested source zones.</w:t>
      </w:r>
    </w:p>
    <w:p w14:paraId="6FE02C78" w14:textId="77777777" w:rsidR="007618E0" w:rsidRPr="00A1522D" w:rsidRDefault="007618E0" w:rsidP="007618E0">
      <w:pPr>
        <w:rPr>
          <w:rFonts w:ascii="Times New Roman" w:hAnsi="Times New Roman" w:cs="Times New Roman"/>
          <w:bCs/>
        </w:rPr>
      </w:pPr>
      <w:r w:rsidRPr="00A1522D">
        <w:rPr>
          <w:rFonts w:ascii="Times New Roman" w:hAnsi="Times New Roman" w:cs="Times New Roman"/>
          <w:bCs/>
        </w:rPr>
        <w:t>Extended Data Table 2. Interconnection acceleration NPV assumptions.</w:t>
      </w:r>
    </w:p>
    <w:tbl>
      <w:tblPr>
        <w:tblStyle w:val="TableGrid"/>
        <w:tblW w:w="0" w:type="auto"/>
        <w:tblLook w:val="04A0" w:firstRow="1" w:lastRow="0" w:firstColumn="1" w:lastColumn="0" w:noHBand="0" w:noVBand="1"/>
      </w:tblPr>
      <w:tblGrid>
        <w:gridCol w:w="3697"/>
        <w:gridCol w:w="861"/>
        <w:gridCol w:w="5555"/>
      </w:tblGrid>
      <w:tr w:rsidR="002A1B01" w:rsidRPr="00093498" w14:paraId="41E0D714" w14:textId="77777777" w:rsidTr="00A1522D">
        <w:trPr>
          <w:trHeight w:val="290"/>
        </w:trPr>
        <w:tc>
          <w:tcPr>
            <w:tcW w:w="3697" w:type="dxa"/>
            <w:noWrap/>
            <w:hideMark/>
          </w:tcPr>
          <w:p w14:paraId="3FC11E0C" w14:textId="77777777" w:rsidR="002A1B01" w:rsidRPr="00A1522D" w:rsidRDefault="002A1B01">
            <w:pPr>
              <w:rPr>
                <w:rFonts w:ascii="Times New Roman" w:hAnsi="Times New Roman" w:cs="Times New Roman"/>
                <w:bCs/>
              </w:rPr>
            </w:pPr>
            <w:r w:rsidRPr="00A1522D">
              <w:rPr>
                <w:rFonts w:ascii="Times New Roman" w:hAnsi="Times New Roman" w:cs="Times New Roman"/>
                <w:bCs/>
              </w:rPr>
              <w:t>Parameter</w:t>
            </w:r>
          </w:p>
        </w:tc>
        <w:tc>
          <w:tcPr>
            <w:tcW w:w="861" w:type="dxa"/>
            <w:noWrap/>
            <w:hideMark/>
          </w:tcPr>
          <w:p w14:paraId="6EAA9929" w14:textId="77777777" w:rsidR="002A1B01" w:rsidRPr="00A1522D" w:rsidRDefault="002A1B01">
            <w:pPr>
              <w:rPr>
                <w:rFonts w:ascii="Times New Roman" w:hAnsi="Times New Roman" w:cs="Times New Roman"/>
                <w:bCs/>
              </w:rPr>
            </w:pPr>
            <w:r w:rsidRPr="00A1522D">
              <w:rPr>
                <w:rFonts w:ascii="Times New Roman" w:hAnsi="Times New Roman" w:cs="Times New Roman"/>
                <w:bCs/>
              </w:rPr>
              <w:t>Value</w:t>
            </w:r>
          </w:p>
        </w:tc>
        <w:tc>
          <w:tcPr>
            <w:tcW w:w="5555" w:type="dxa"/>
            <w:noWrap/>
            <w:hideMark/>
          </w:tcPr>
          <w:p w14:paraId="21C29BD4" w14:textId="77777777" w:rsidR="002A1B01" w:rsidRPr="00A1522D" w:rsidRDefault="002A1B01">
            <w:pPr>
              <w:rPr>
                <w:rFonts w:ascii="Times New Roman" w:hAnsi="Times New Roman" w:cs="Times New Roman"/>
                <w:bCs/>
              </w:rPr>
            </w:pPr>
            <w:r w:rsidRPr="00A1522D">
              <w:rPr>
                <w:rFonts w:ascii="Times New Roman" w:hAnsi="Times New Roman" w:cs="Times New Roman"/>
                <w:bCs/>
              </w:rPr>
              <w:t>Description</w:t>
            </w:r>
          </w:p>
        </w:tc>
      </w:tr>
      <w:tr w:rsidR="002A1B01" w:rsidRPr="00093498" w14:paraId="3A89DB51" w14:textId="77777777" w:rsidTr="00A1522D">
        <w:trPr>
          <w:trHeight w:val="290"/>
        </w:trPr>
        <w:tc>
          <w:tcPr>
            <w:tcW w:w="3697" w:type="dxa"/>
            <w:noWrap/>
            <w:hideMark/>
          </w:tcPr>
          <w:p w14:paraId="69A7E38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GPU_PER_MW_GRID</w:t>
            </w:r>
          </w:p>
        </w:tc>
        <w:tc>
          <w:tcPr>
            <w:tcW w:w="861" w:type="dxa"/>
            <w:noWrap/>
            <w:hideMark/>
          </w:tcPr>
          <w:p w14:paraId="68D13E0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603</w:t>
            </w:r>
          </w:p>
        </w:tc>
        <w:tc>
          <w:tcPr>
            <w:tcW w:w="5555" w:type="dxa"/>
            <w:noWrap/>
            <w:hideMark/>
          </w:tcPr>
          <w:p w14:paraId="3E46BB3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GPUs per MW of grid capacity (derived: 10.2 kW / 8 GPUs Ã— 1.3 PUE)</w:t>
            </w:r>
          </w:p>
        </w:tc>
      </w:tr>
      <w:tr w:rsidR="002A1B01" w:rsidRPr="00093498" w14:paraId="6D03409D" w14:textId="77777777" w:rsidTr="00A1522D">
        <w:trPr>
          <w:trHeight w:val="290"/>
        </w:trPr>
        <w:tc>
          <w:tcPr>
            <w:tcW w:w="3697" w:type="dxa"/>
            <w:noWrap/>
            <w:hideMark/>
          </w:tcPr>
          <w:p w14:paraId="55AF893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GPU_RATE_HR</w:t>
            </w:r>
          </w:p>
        </w:tc>
        <w:tc>
          <w:tcPr>
            <w:tcW w:w="861" w:type="dxa"/>
            <w:noWrap/>
            <w:hideMark/>
          </w:tcPr>
          <w:p w14:paraId="4A2F03A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2.2</w:t>
            </w:r>
          </w:p>
        </w:tc>
        <w:tc>
          <w:tcPr>
            <w:tcW w:w="5555" w:type="dxa"/>
            <w:noWrap/>
            <w:hideMark/>
          </w:tcPr>
          <w:p w14:paraId="08ACECC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H100 spot rate, USD/hour (Jan 2026)</w:t>
            </w:r>
          </w:p>
        </w:tc>
      </w:tr>
      <w:tr w:rsidR="002A1B01" w:rsidRPr="00093498" w14:paraId="6AA9CCEA" w14:textId="77777777" w:rsidTr="00A1522D">
        <w:trPr>
          <w:trHeight w:val="290"/>
        </w:trPr>
        <w:tc>
          <w:tcPr>
            <w:tcW w:w="3697" w:type="dxa"/>
            <w:noWrap/>
            <w:hideMark/>
          </w:tcPr>
          <w:p w14:paraId="30D2B016"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WACC</w:t>
            </w:r>
          </w:p>
        </w:tc>
        <w:tc>
          <w:tcPr>
            <w:tcW w:w="861" w:type="dxa"/>
            <w:noWrap/>
            <w:hideMark/>
          </w:tcPr>
          <w:p w14:paraId="1DBA08F2"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0.1</w:t>
            </w:r>
          </w:p>
        </w:tc>
        <w:tc>
          <w:tcPr>
            <w:tcW w:w="5555" w:type="dxa"/>
            <w:noWrap/>
            <w:hideMark/>
          </w:tcPr>
          <w:p w14:paraId="04F5F44C" w14:textId="77777777" w:rsidR="002A1B01" w:rsidRPr="00A1522D" w:rsidRDefault="002A1B01">
            <w:pPr>
              <w:rPr>
                <w:rFonts w:ascii="Times New Roman" w:hAnsi="Times New Roman" w:cs="Times New Roman"/>
                <w:bCs/>
                <w:sz w:val="20"/>
                <w:szCs w:val="20"/>
              </w:rPr>
            </w:pPr>
            <w:proofErr w:type="gramStart"/>
            <w:r w:rsidRPr="00A1522D">
              <w:rPr>
                <w:rFonts w:ascii="Times New Roman" w:hAnsi="Times New Roman" w:cs="Times New Roman"/>
                <w:bCs/>
                <w:sz w:val="20"/>
                <w:szCs w:val="20"/>
              </w:rPr>
              <w:t>Weighted</w:t>
            </w:r>
            <w:proofErr w:type="gramEnd"/>
            <w:r w:rsidRPr="00A1522D">
              <w:rPr>
                <w:rFonts w:ascii="Times New Roman" w:hAnsi="Times New Roman" w:cs="Times New Roman"/>
                <w:bCs/>
                <w:sz w:val="20"/>
                <w:szCs w:val="20"/>
              </w:rPr>
              <w:t xml:space="preserve"> average cost of capital</w:t>
            </w:r>
          </w:p>
        </w:tc>
      </w:tr>
      <w:tr w:rsidR="002A1B01" w:rsidRPr="00093498" w14:paraId="26741FA2" w14:textId="77777777" w:rsidTr="00A1522D">
        <w:trPr>
          <w:trHeight w:val="290"/>
        </w:trPr>
        <w:tc>
          <w:tcPr>
            <w:tcW w:w="3697" w:type="dxa"/>
            <w:noWrap/>
            <w:hideMark/>
          </w:tcPr>
          <w:p w14:paraId="0F272D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ACCELERATION_YEARS_CENTRAL</w:t>
            </w:r>
          </w:p>
        </w:tc>
        <w:tc>
          <w:tcPr>
            <w:tcW w:w="861" w:type="dxa"/>
            <w:noWrap/>
            <w:hideMark/>
          </w:tcPr>
          <w:p w14:paraId="6D18211F"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3</w:t>
            </w:r>
          </w:p>
        </w:tc>
        <w:tc>
          <w:tcPr>
            <w:tcW w:w="5555" w:type="dxa"/>
            <w:noWrap/>
            <w:hideMark/>
          </w:tcPr>
          <w:p w14:paraId="51BBA34A"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Queue acceleration window, central case (years)</w:t>
            </w:r>
          </w:p>
        </w:tc>
      </w:tr>
      <w:tr w:rsidR="002A1B01" w:rsidRPr="00093498" w14:paraId="20E94FE3" w14:textId="77777777" w:rsidTr="00A1522D">
        <w:trPr>
          <w:trHeight w:val="290"/>
        </w:trPr>
        <w:tc>
          <w:tcPr>
            <w:tcW w:w="3697" w:type="dxa"/>
            <w:noWrap/>
            <w:hideMark/>
          </w:tcPr>
          <w:p w14:paraId="4FEE43D8"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FACILITY_SIZE_MW</w:t>
            </w:r>
          </w:p>
        </w:tc>
        <w:tc>
          <w:tcPr>
            <w:tcW w:w="861" w:type="dxa"/>
            <w:noWrap/>
            <w:hideMark/>
          </w:tcPr>
          <w:p w14:paraId="02ADA5F1"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1000</w:t>
            </w:r>
          </w:p>
        </w:tc>
        <w:tc>
          <w:tcPr>
            <w:tcW w:w="5555" w:type="dxa"/>
            <w:noWrap/>
            <w:hideMark/>
          </w:tcPr>
          <w:p w14:paraId="5AC3B450"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Reference facility size (MW)</w:t>
            </w:r>
          </w:p>
        </w:tc>
      </w:tr>
      <w:tr w:rsidR="00A1522D" w:rsidRPr="00093498" w14:paraId="0B7E328B" w14:textId="77777777" w:rsidTr="00A1522D">
        <w:trPr>
          <w:trHeight w:val="290"/>
        </w:trPr>
        <w:tc>
          <w:tcPr>
            <w:tcW w:w="3697" w:type="dxa"/>
            <w:noWrap/>
          </w:tcPr>
          <w:p w14:paraId="35F9CB1C" w14:textId="7AF4C0D7"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DEPTH_1GW_INF_DOM_MEAN</w:t>
            </w:r>
          </w:p>
        </w:tc>
        <w:tc>
          <w:tcPr>
            <w:tcW w:w="861" w:type="dxa"/>
            <w:noWrap/>
          </w:tcPr>
          <w:p w14:paraId="4AF1CA1D" w14:textId="338E35F9" w:rsidR="00A1522D" w:rsidRPr="00A1522D" w:rsidRDefault="00A1522D" w:rsidP="002A1B01">
            <w:pPr>
              <w:rPr>
                <w:rFonts w:ascii="Times New Roman" w:hAnsi="Times New Roman" w:cs="Times New Roman"/>
                <w:bCs/>
                <w:sz w:val="20"/>
                <w:szCs w:val="20"/>
              </w:rPr>
            </w:pPr>
            <w:r>
              <w:rPr>
                <w:rFonts w:ascii="Times New Roman" w:hAnsi="Times New Roman" w:cs="Times New Roman"/>
                <w:bCs/>
                <w:sz w:val="20"/>
                <w:szCs w:val="20"/>
              </w:rPr>
              <w:t>0.398</w:t>
            </w:r>
          </w:p>
        </w:tc>
        <w:tc>
          <w:tcPr>
            <w:tcW w:w="5555" w:type="dxa"/>
            <w:noWrap/>
          </w:tcPr>
          <w:p w14:paraId="38E38550" w14:textId="2F0648EC" w:rsidR="00A1522D" w:rsidRPr="00A1522D" w:rsidRDefault="00A1522D">
            <w:pPr>
              <w:rPr>
                <w:rFonts w:ascii="Times New Roman" w:hAnsi="Times New Roman" w:cs="Times New Roman"/>
                <w:bCs/>
                <w:sz w:val="20"/>
                <w:szCs w:val="20"/>
              </w:rPr>
            </w:pPr>
            <w:r>
              <w:rPr>
                <w:rFonts w:ascii="Times New Roman" w:hAnsi="Times New Roman" w:cs="Times New Roman"/>
                <w:bCs/>
                <w:sz w:val="20"/>
                <w:szCs w:val="20"/>
              </w:rPr>
              <w:t>Mean commitment depth at 1 GW (inference-dominant scope) underlying NPV ratio</w:t>
            </w:r>
          </w:p>
        </w:tc>
      </w:tr>
      <w:tr w:rsidR="002A1B01" w:rsidRPr="00093498" w14:paraId="024013EF" w14:textId="77777777" w:rsidTr="00A1522D">
        <w:trPr>
          <w:trHeight w:val="290"/>
        </w:trPr>
        <w:tc>
          <w:tcPr>
            <w:tcW w:w="3697" w:type="dxa"/>
            <w:noWrap/>
            <w:hideMark/>
          </w:tcPr>
          <w:p w14:paraId="31AA7462"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NPV_CONSERVATIVE_BILLIONS_USD</w:t>
            </w:r>
          </w:p>
        </w:tc>
        <w:tc>
          <w:tcPr>
            <w:tcW w:w="861" w:type="dxa"/>
            <w:noWrap/>
            <w:hideMark/>
          </w:tcPr>
          <w:p w14:paraId="733FA0ED"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16.1</w:t>
            </w:r>
          </w:p>
        </w:tc>
        <w:tc>
          <w:tcPr>
            <w:tcW w:w="5555" w:type="dxa"/>
            <w:noWrap/>
            <w:hideMark/>
          </w:tcPr>
          <w:p w14:paraId="6B0D8F51"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conservative (2-year acceleration)</w:t>
            </w:r>
          </w:p>
        </w:tc>
      </w:tr>
      <w:tr w:rsidR="002A1B01" w:rsidRPr="00093498" w14:paraId="1484EE4E" w14:textId="77777777" w:rsidTr="00A1522D">
        <w:trPr>
          <w:trHeight w:val="290"/>
        </w:trPr>
        <w:tc>
          <w:tcPr>
            <w:tcW w:w="3697" w:type="dxa"/>
            <w:noWrap/>
            <w:hideMark/>
          </w:tcPr>
          <w:p w14:paraId="6F4974E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NPV_CENTRAL_BILLIONS_USD</w:t>
            </w:r>
          </w:p>
        </w:tc>
        <w:tc>
          <w:tcPr>
            <w:tcW w:w="861" w:type="dxa"/>
            <w:noWrap/>
            <w:hideMark/>
          </w:tcPr>
          <w:p w14:paraId="70162A17"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23.1</w:t>
            </w:r>
          </w:p>
        </w:tc>
        <w:tc>
          <w:tcPr>
            <w:tcW w:w="5555" w:type="dxa"/>
            <w:noWrap/>
            <w:hideMark/>
          </w:tcPr>
          <w:p w14:paraId="1D59AE6B"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central (3-year acceleration)</w:t>
            </w:r>
          </w:p>
        </w:tc>
      </w:tr>
      <w:tr w:rsidR="002A1B01" w:rsidRPr="00093498" w14:paraId="48128A6F" w14:textId="77777777" w:rsidTr="00A1522D">
        <w:trPr>
          <w:trHeight w:val="290"/>
        </w:trPr>
        <w:tc>
          <w:tcPr>
            <w:tcW w:w="3697" w:type="dxa"/>
            <w:noWrap/>
            <w:hideMark/>
          </w:tcPr>
          <w:p w14:paraId="4AB6D8FD"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NPV_OPTIMISTIC_BILLIONS_USD</w:t>
            </w:r>
          </w:p>
        </w:tc>
        <w:tc>
          <w:tcPr>
            <w:tcW w:w="861" w:type="dxa"/>
            <w:noWrap/>
            <w:hideMark/>
          </w:tcPr>
          <w:p w14:paraId="63AF33A8" w14:textId="77777777" w:rsidR="002A1B01" w:rsidRPr="00A1522D" w:rsidRDefault="002A1B01" w:rsidP="002A1B01">
            <w:pPr>
              <w:rPr>
                <w:rFonts w:ascii="Times New Roman" w:hAnsi="Times New Roman" w:cs="Times New Roman"/>
                <w:bCs/>
                <w:sz w:val="20"/>
                <w:szCs w:val="20"/>
              </w:rPr>
            </w:pPr>
            <w:r w:rsidRPr="00A1522D">
              <w:rPr>
                <w:rFonts w:ascii="Times New Roman" w:hAnsi="Times New Roman" w:cs="Times New Roman"/>
                <w:bCs/>
                <w:sz w:val="20"/>
                <w:szCs w:val="20"/>
              </w:rPr>
              <w:t>29.5</w:t>
            </w:r>
          </w:p>
        </w:tc>
        <w:tc>
          <w:tcPr>
            <w:tcW w:w="5555" w:type="dxa"/>
            <w:noWrap/>
            <w:hideMark/>
          </w:tcPr>
          <w:p w14:paraId="535D9463"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NPV of accelerated interconnection, optimistic (4-year acceleration)</w:t>
            </w:r>
          </w:p>
        </w:tc>
      </w:tr>
      <w:tr w:rsidR="002A1B01" w:rsidRPr="00093498" w14:paraId="667ACD50" w14:textId="77777777" w:rsidTr="00A1522D">
        <w:trPr>
          <w:trHeight w:val="290"/>
        </w:trPr>
        <w:tc>
          <w:tcPr>
            <w:tcW w:w="3697" w:type="dxa"/>
            <w:noWrap/>
            <w:hideMark/>
          </w:tcPr>
          <w:p w14:paraId="0A559074" w14:textId="77777777" w:rsidR="002A1B01" w:rsidRPr="00A1522D" w:rsidRDefault="002A1B01">
            <w:pPr>
              <w:rPr>
                <w:rFonts w:ascii="Times New Roman" w:hAnsi="Times New Roman" w:cs="Times New Roman"/>
                <w:bCs/>
                <w:sz w:val="20"/>
                <w:szCs w:val="20"/>
              </w:rPr>
            </w:pPr>
            <w:r w:rsidRPr="00A1522D">
              <w:rPr>
                <w:rFonts w:ascii="Times New Roman" w:hAnsi="Times New Roman" w:cs="Times New Roman"/>
                <w:bCs/>
                <w:sz w:val="20"/>
                <w:szCs w:val="20"/>
              </w:rPr>
              <w:t>DOMINANCE_RATIO</w:t>
            </w:r>
          </w:p>
        </w:tc>
        <w:tc>
          <w:tcPr>
            <w:tcW w:w="861" w:type="dxa"/>
            <w:noWrap/>
            <w:hideMark/>
          </w:tcPr>
          <w:p w14:paraId="0F937A99" w14:textId="1D6BA2F9" w:rsidR="002A1B01" w:rsidRPr="00A1522D" w:rsidRDefault="00A1522D" w:rsidP="002A1B01">
            <w:pPr>
              <w:rPr>
                <w:rFonts w:ascii="Times New Roman" w:hAnsi="Times New Roman" w:cs="Times New Roman"/>
                <w:bCs/>
                <w:sz w:val="20"/>
                <w:szCs w:val="20"/>
              </w:rPr>
            </w:pPr>
            <w:r w:rsidRPr="00A1522D">
              <w:rPr>
                <w:rFonts w:ascii="Times New Roman" w:hAnsi="Times New Roman" w:cs="Times New Roman"/>
                <w:bCs/>
                <w:sz w:val="20"/>
                <w:szCs w:val="20"/>
              </w:rPr>
              <w:t>518.2</w:t>
            </w:r>
          </w:p>
        </w:tc>
        <w:tc>
          <w:tcPr>
            <w:tcW w:w="5555" w:type="dxa"/>
            <w:noWrap/>
            <w:hideMark/>
          </w:tcPr>
          <w:p w14:paraId="27D30BDC" w14:textId="4161488D" w:rsidR="002A1B01" w:rsidRPr="00A1522D" w:rsidRDefault="002A1B01" w:rsidP="002A1B01">
            <w:pPr>
              <w:keepNext/>
              <w:rPr>
                <w:rFonts w:ascii="Times New Roman" w:hAnsi="Times New Roman" w:cs="Times New Roman"/>
                <w:bCs/>
                <w:sz w:val="20"/>
                <w:szCs w:val="20"/>
              </w:rPr>
            </w:pPr>
            <w:r w:rsidRPr="00A1522D">
              <w:rPr>
                <w:rFonts w:ascii="Times New Roman" w:hAnsi="Times New Roman" w:cs="Times New Roman"/>
                <w:bCs/>
                <w:sz w:val="20"/>
                <w:szCs w:val="20"/>
              </w:rPr>
              <w:t xml:space="preserve">Ratio of IX NPV </w:t>
            </w:r>
            <w:r w:rsidR="00A1522D" w:rsidRPr="00A1522D">
              <w:rPr>
                <w:rFonts w:ascii="Times New Roman" w:hAnsi="Times New Roman" w:cs="Times New Roman"/>
                <w:bCs/>
                <w:sz w:val="20"/>
                <w:szCs w:val="20"/>
              </w:rPr>
              <w:t xml:space="preserve">(central) </w:t>
            </w:r>
            <w:r w:rsidRPr="00A1522D">
              <w:rPr>
                <w:rFonts w:ascii="Times New Roman" w:hAnsi="Times New Roman" w:cs="Times New Roman"/>
                <w:bCs/>
                <w:sz w:val="20"/>
                <w:szCs w:val="20"/>
              </w:rPr>
              <w:t xml:space="preserve">to annual </w:t>
            </w:r>
            <w:r w:rsidR="00A1522D" w:rsidRPr="00A1522D">
              <w:rPr>
                <w:rFonts w:ascii="Times New Roman" w:hAnsi="Times New Roman" w:cs="Times New Roman"/>
                <w:bCs/>
                <w:sz w:val="20"/>
                <w:szCs w:val="20"/>
              </w:rPr>
              <w:t xml:space="preserve">total </w:t>
            </w:r>
            <w:r w:rsidRPr="00A1522D">
              <w:rPr>
                <w:rFonts w:ascii="Times New Roman" w:hAnsi="Times New Roman" w:cs="Times New Roman"/>
                <w:bCs/>
                <w:sz w:val="20"/>
                <w:szCs w:val="20"/>
              </w:rPr>
              <w:t xml:space="preserve">capacity revenue </w:t>
            </w:r>
            <w:r w:rsidR="00A1522D" w:rsidRPr="00A1522D">
              <w:rPr>
                <w:rFonts w:ascii="Times New Roman" w:hAnsi="Times New Roman" w:cs="Times New Roman"/>
                <w:bCs/>
                <w:sz w:val="20"/>
                <w:szCs w:val="20"/>
              </w:rPr>
              <w:t>at mean commitment depth</w:t>
            </w:r>
          </w:p>
        </w:tc>
      </w:tr>
    </w:tbl>
    <w:p w14:paraId="0616E1B2" w14:textId="2290D98B" w:rsidR="007618E0" w:rsidRDefault="002A1B01" w:rsidP="002A1B01">
      <w:pPr>
        <w:pStyle w:val="Caption"/>
      </w:pPr>
      <w:r w:rsidRPr="00A1522D">
        <w:t>Input parameters and central estimate for the interconnection acceleration NPV calculation reported in Section 6</w:t>
      </w:r>
    </w:p>
    <w:p w14:paraId="49F51E47" w14:textId="77777777" w:rsidR="00D16F6D" w:rsidRDefault="00D16F6D" w:rsidP="00D16F6D"/>
    <w:p w14:paraId="596034D3" w14:textId="77777777" w:rsidR="00D16F6D" w:rsidRDefault="00D16F6D" w:rsidP="00D16F6D"/>
    <w:p w14:paraId="1C315303" w14:textId="0DB071D6" w:rsidR="00A1522D" w:rsidRPr="00A1522D" w:rsidRDefault="00A1522D" w:rsidP="00A1522D">
      <w:pPr>
        <w:rPr>
          <w:rFonts w:ascii="Times New Roman" w:hAnsi="Times New Roman" w:cs="Times New Roman"/>
          <w:bCs/>
        </w:rPr>
      </w:pPr>
      <w:r w:rsidRPr="00A1522D">
        <w:rPr>
          <w:rFonts w:ascii="Times New Roman" w:hAnsi="Times New Roman" w:cs="Times New Roman"/>
          <w:bCs/>
        </w:rPr>
        <w:lastRenderedPageBreak/>
        <w:t xml:space="preserve">Extended Data Table </w:t>
      </w:r>
      <w:proofErr w:type="gramStart"/>
      <w:r>
        <w:rPr>
          <w:rFonts w:ascii="Times New Roman" w:hAnsi="Times New Roman" w:cs="Times New Roman"/>
          <w:bCs/>
        </w:rPr>
        <w:t>3</w:t>
      </w:r>
      <w:r w:rsidRPr="00A1522D">
        <w:rPr>
          <w:rFonts w:ascii="Times New Roman" w:hAnsi="Times New Roman" w:cs="Times New Roman"/>
          <w:bCs/>
        </w:rPr>
        <w:t>.</w:t>
      </w:r>
      <w:r>
        <w:rPr>
          <w:rFonts w:ascii="Times New Roman" w:hAnsi="Times New Roman" w:cs="Times New Roman"/>
          <w:bCs/>
        </w:rPr>
        <w:t>Source</w:t>
      </w:r>
      <w:proofErr w:type="gramEnd"/>
      <w:r>
        <w:rPr>
          <w:rFonts w:ascii="Times New Roman" w:hAnsi="Times New Roman" w:cs="Times New Roman"/>
          <w:bCs/>
        </w:rPr>
        <w:t>-zone robustness check</w:t>
      </w:r>
      <w:r w:rsidRPr="00A1522D">
        <w:rPr>
          <w:rFonts w:ascii="Times New Roman" w:hAnsi="Times New Roman" w:cs="Times New Roman"/>
          <w:bCs/>
        </w:rPr>
        <w:t>.</w:t>
      </w:r>
    </w:p>
    <w:tbl>
      <w:tblPr>
        <w:tblStyle w:val="TableGrid"/>
        <w:tblW w:w="0" w:type="auto"/>
        <w:tblLook w:val="04A0" w:firstRow="1" w:lastRow="0" w:firstColumn="1" w:lastColumn="0" w:noHBand="0" w:noVBand="1"/>
      </w:tblPr>
      <w:tblGrid>
        <w:gridCol w:w="1615"/>
        <w:gridCol w:w="1563"/>
        <w:gridCol w:w="1112"/>
        <w:gridCol w:w="851"/>
        <w:gridCol w:w="769"/>
        <w:gridCol w:w="1485"/>
        <w:gridCol w:w="5555"/>
      </w:tblGrid>
      <w:tr w:rsidR="000A601D" w:rsidRPr="00093498" w14:paraId="19D94100" w14:textId="77777777" w:rsidTr="000A601D">
        <w:trPr>
          <w:trHeight w:val="290"/>
        </w:trPr>
        <w:tc>
          <w:tcPr>
            <w:tcW w:w="1615" w:type="dxa"/>
            <w:noWrap/>
            <w:hideMark/>
          </w:tcPr>
          <w:p w14:paraId="2B4A5CED" w14:textId="78089AF6" w:rsidR="000A601D" w:rsidRPr="00A1522D" w:rsidRDefault="000A601D" w:rsidP="008B4284">
            <w:pPr>
              <w:rPr>
                <w:rFonts w:ascii="Times New Roman" w:hAnsi="Times New Roman" w:cs="Times New Roman"/>
                <w:bCs/>
              </w:rPr>
            </w:pPr>
            <w:r>
              <w:rPr>
                <w:rFonts w:ascii="Times New Roman" w:hAnsi="Times New Roman" w:cs="Times New Roman"/>
                <w:bCs/>
              </w:rPr>
              <w:t>Source zone</w:t>
            </w:r>
          </w:p>
        </w:tc>
        <w:tc>
          <w:tcPr>
            <w:tcW w:w="1563" w:type="dxa"/>
            <w:noWrap/>
            <w:hideMark/>
          </w:tcPr>
          <w:p w14:paraId="5EDBCAD6" w14:textId="3D33C7F6" w:rsidR="000A601D" w:rsidRPr="00A1522D" w:rsidRDefault="000A601D" w:rsidP="008B4284">
            <w:pPr>
              <w:rPr>
                <w:rFonts w:ascii="Times New Roman" w:hAnsi="Times New Roman" w:cs="Times New Roman"/>
                <w:bCs/>
              </w:rPr>
            </w:pPr>
            <w:r>
              <w:rPr>
                <w:rFonts w:ascii="Times New Roman" w:hAnsi="Times New Roman" w:cs="Times New Roman"/>
                <w:bCs/>
              </w:rPr>
              <w:t>Configuration</w:t>
            </w:r>
          </w:p>
        </w:tc>
        <w:tc>
          <w:tcPr>
            <w:tcW w:w="1112" w:type="dxa"/>
          </w:tcPr>
          <w:p w14:paraId="2A56806C" w14:textId="72ADF566" w:rsidR="000A601D" w:rsidRPr="00A1522D" w:rsidRDefault="000A601D" w:rsidP="008B4284">
            <w:pPr>
              <w:rPr>
                <w:rFonts w:ascii="Times New Roman" w:hAnsi="Times New Roman" w:cs="Times New Roman"/>
                <w:bCs/>
              </w:rPr>
            </w:pPr>
            <w:r>
              <w:rPr>
                <w:rFonts w:ascii="Times New Roman" w:hAnsi="Times New Roman" w:cs="Times New Roman"/>
                <w:bCs/>
              </w:rPr>
              <w:t>Scope</w:t>
            </w:r>
          </w:p>
        </w:tc>
        <w:tc>
          <w:tcPr>
            <w:tcW w:w="851" w:type="dxa"/>
          </w:tcPr>
          <w:p w14:paraId="70860826" w14:textId="472E5C9C" w:rsidR="000A601D" w:rsidRPr="00A1522D" w:rsidRDefault="000A601D" w:rsidP="008B4284">
            <w:pPr>
              <w:rPr>
                <w:rFonts w:ascii="Times New Roman" w:hAnsi="Times New Roman" w:cs="Times New Roman"/>
                <w:bCs/>
              </w:rPr>
            </w:pPr>
            <w:r>
              <w:rPr>
                <w:rFonts w:ascii="Times New Roman" w:hAnsi="Times New Roman" w:cs="Times New Roman"/>
                <w:bCs/>
              </w:rPr>
              <w:t>Mean</w:t>
            </w:r>
          </w:p>
        </w:tc>
        <w:tc>
          <w:tcPr>
            <w:tcW w:w="769" w:type="dxa"/>
          </w:tcPr>
          <w:p w14:paraId="1FB09CF4" w14:textId="47D7EF5D" w:rsidR="000A601D" w:rsidRPr="00A1522D" w:rsidRDefault="000A601D" w:rsidP="008B4284">
            <w:pPr>
              <w:rPr>
                <w:rFonts w:ascii="Times New Roman" w:hAnsi="Times New Roman" w:cs="Times New Roman"/>
                <w:bCs/>
              </w:rPr>
            </w:pPr>
            <w:r>
              <w:rPr>
                <w:rFonts w:ascii="Times New Roman" w:hAnsi="Times New Roman" w:cs="Times New Roman"/>
                <w:bCs/>
              </w:rPr>
              <w:t>P5</w:t>
            </w:r>
          </w:p>
        </w:tc>
        <w:tc>
          <w:tcPr>
            <w:tcW w:w="1485" w:type="dxa"/>
          </w:tcPr>
          <w:p w14:paraId="19ECBD5C" w14:textId="6D28111B" w:rsidR="000A601D" w:rsidRPr="00A1522D" w:rsidRDefault="000A601D" w:rsidP="008B4284">
            <w:pPr>
              <w:rPr>
                <w:rFonts w:ascii="Times New Roman" w:hAnsi="Times New Roman" w:cs="Times New Roman"/>
                <w:bCs/>
              </w:rPr>
            </w:pPr>
            <w:r>
              <w:rPr>
                <w:rFonts w:ascii="Times New Roman" w:hAnsi="Times New Roman" w:cs="Times New Roman"/>
                <w:bCs/>
              </w:rPr>
              <w:t>CVaR</w:t>
            </w:r>
          </w:p>
        </w:tc>
        <w:tc>
          <w:tcPr>
            <w:tcW w:w="5555" w:type="dxa"/>
            <w:noWrap/>
            <w:hideMark/>
          </w:tcPr>
          <w:p w14:paraId="31014C4F" w14:textId="0B352D28" w:rsidR="000A601D" w:rsidRPr="00A1522D" w:rsidRDefault="000A601D" w:rsidP="008B4284">
            <w:pPr>
              <w:rPr>
                <w:rFonts w:ascii="Times New Roman" w:hAnsi="Times New Roman" w:cs="Times New Roman"/>
                <w:bCs/>
              </w:rPr>
            </w:pPr>
            <w:r>
              <w:rPr>
                <w:rFonts w:ascii="Times New Roman" w:hAnsi="Times New Roman" w:cs="Times New Roman"/>
                <w:bCs/>
              </w:rPr>
              <w:t>n hours</w:t>
            </w:r>
          </w:p>
        </w:tc>
      </w:tr>
      <w:tr w:rsidR="000A601D" w:rsidRPr="00093498" w14:paraId="7205C289" w14:textId="77777777" w:rsidTr="000A601D">
        <w:trPr>
          <w:trHeight w:val="290"/>
        </w:trPr>
        <w:tc>
          <w:tcPr>
            <w:tcW w:w="1615" w:type="dxa"/>
            <w:noWrap/>
            <w:hideMark/>
          </w:tcPr>
          <w:p w14:paraId="3E9F6FB9" w14:textId="246731F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058DD411" w14:textId="4A92141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A7CBC31" w14:textId="44E71D0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CE68AC8" w14:textId="7D358E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7904711B" w14:textId="49CB903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38.5%</w:t>
            </w:r>
          </w:p>
        </w:tc>
        <w:tc>
          <w:tcPr>
            <w:tcW w:w="1485" w:type="dxa"/>
          </w:tcPr>
          <w:p w14:paraId="0B880D3A" w14:textId="6201C58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33.1%</w:t>
            </w:r>
          </w:p>
        </w:tc>
        <w:tc>
          <w:tcPr>
            <w:tcW w:w="5555" w:type="dxa"/>
            <w:noWrap/>
            <w:hideMark/>
          </w:tcPr>
          <w:p w14:paraId="2D0D4B12" w14:textId="4BBF38A2"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32601A80" w14:textId="77777777" w:rsidTr="000A601D">
        <w:trPr>
          <w:trHeight w:val="290"/>
        </w:trPr>
        <w:tc>
          <w:tcPr>
            <w:tcW w:w="1615" w:type="dxa"/>
            <w:noWrap/>
            <w:hideMark/>
          </w:tcPr>
          <w:p w14:paraId="6204E92B" w14:textId="1CCDAE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717209EF" w14:textId="15231D7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57C4AB04" w14:textId="33DE2A3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124B009B" w14:textId="51FEAA9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106F569B" w14:textId="75CD75E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4EE5AFA8" w14:textId="5D22B82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20.6%</w:t>
            </w:r>
          </w:p>
        </w:tc>
        <w:tc>
          <w:tcPr>
            <w:tcW w:w="5555" w:type="dxa"/>
            <w:noWrap/>
            <w:hideMark/>
          </w:tcPr>
          <w:p w14:paraId="3EF40492" w14:textId="569F290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4D724706" w14:textId="77777777" w:rsidTr="000A601D">
        <w:trPr>
          <w:trHeight w:val="290"/>
        </w:trPr>
        <w:tc>
          <w:tcPr>
            <w:tcW w:w="1615" w:type="dxa"/>
            <w:noWrap/>
            <w:hideMark/>
          </w:tcPr>
          <w:p w14:paraId="2BE56297" w14:textId="41E9979F"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A03F647" w14:textId="47D1FBA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207684BF" w14:textId="39F9EA9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08182BE5" w14:textId="53FEB6D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40.2%</w:t>
            </w:r>
          </w:p>
        </w:tc>
        <w:tc>
          <w:tcPr>
            <w:tcW w:w="769" w:type="dxa"/>
          </w:tcPr>
          <w:p w14:paraId="0FFB3372" w14:textId="228CD3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38.7%</w:t>
            </w:r>
          </w:p>
        </w:tc>
        <w:tc>
          <w:tcPr>
            <w:tcW w:w="1485" w:type="dxa"/>
          </w:tcPr>
          <w:p w14:paraId="309FE661" w14:textId="3E9724E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36.7%</w:t>
            </w:r>
          </w:p>
        </w:tc>
        <w:tc>
          <w:tcPr>
            <w:tcW w:w="5555" w:type="dxa"/>
            <w:noWrap/>
            <w:hideMark/>
          </w:tcPr>
          <w:p w14:paraId="250BB6D8" w14:textId="2CBDA2E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6C9AEEEB" w14:textId="77777777" w:rsidTr="000A601D">
        <w:trPr>
          <w:trHeight w:val="290"/>
        </w:trPr>
        <w:tc>
          <w:tcPr>
            <w:tcW w:w="1615" w:type="dxa"/>
            <w:noWrap/>
            <w:hideMark/>
          </w:tcPr>
          <w:p w14:paraId="341B80C1" w14:textId="5EC857F0"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1E274235" w14:textId="59975BB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Single facility (500 MW)</w:t>
            </w:r>
          </w:p>
        </w:tc>
        <w:tc>
          <w:tcPr>
            <w:tcW w:w="1112" w:type="dxa"/>
          </w:tcPr>
          <w:p w14:paraId="15318EB3" w14:textId="0D4C9F0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3C7A9514" w14:textId="4D50EE4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24.7%</w:t>
            </w:r>
          </w:p>
        </w:tc>
        <w:tc>
          <w:tcPr>
            <w:tcW w:w="769" w:type="dxa"/>
          </w:tcPr>
          <w:p w14:paraId="6F2B08A5" w14:textId="6825E2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23.8%</w:t>
            </w:r>
          </w:p>
        </w:tc>
        <w:tc>
          <w:tcPr>
            <w:tcW w:w="1485" w:type="dxa"/>
          </w:tcPr>
          <w:p w14:paraId="54515483" w14:textId="0654FE8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22.6%</w:t>
            </w:r>
          </w:p>
        </w:tc>
        <w:tc>
          <w:tcPr>
            <w:tcW w:w="5555" w:type="dxa"/>
            <w:noWrap/>
            <w:hideMark/>
          </w:tcPr>
          <w:p w14:paraId="6323B9C7" w14:textId="1FDEEFF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200</w:t>
            </w:r>
          </w:p>
        </w:tc>
      </w:tr>
      <w:tr w:rsidR="000A601D" w:rsidRPr="00093498" w14:paraId="20C26922" w14:textId="77777777" w:rsidTr="000A601D">
        <w:trPr>
          <w:trHeight w:val="290"/>
        </w:trPr>
        <w:tc>
          <w:tcPr>
            <w:tcW w:w="1615" w:type="dxa"/>
            <w:noWrap/>
            <w:hideMark/>
          </w:tcPr>
          <w:p w14:paraId="0ECC8F3B" w14:textId="35C8EB7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hideMark/>
          </w:tcPr>
          <w:p w14:paraId="589F869A" w14:textId="3F0D7B6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3EA3DD9" w14:textId="4F83AA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726542AD" w14:textId="6218C313"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33.6%</w:t>
            </w:r>
          </w:p>
        </w:tc>
        <w:tc>
          <w:tcPr>
            <w:tcW w:w="769" w:type="dxa"/>
          </w:tcPr>
          <w:p w14:paraId="130685F4" w14:textId="1EA70ECB"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1485" w:type="dxa"/>
          </w:tcPr>
          <w:p w14:paraId="34E266E3" w14:textId="2E4E404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19.8%</w:t>
            </w:r>
          </w:p>
        </w:tc>
        <w:tc>
          <w:tcPr>
            <w:tcW w:w="5555" w:type="dxa"/>
            <w:noWrap/>
            <w:hideMark/>
          </w:tcPr>
          <w:p w14:paraId="7AFB9650" w14:textId="6C1DC2BA"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w:t>
            </w:r>
            <w:proofErr w:type="gramStart"/>
            <w:r>
              <w:rPr>
                <w:rFonts w:ascii="Times New Roman" w:hAnsi="Times New Roman" w:cs="Times New Roman"/>
                <w:bCs/>
                <w:sz w:val="20"/>
                <w:szCs w:val="20"/>
              </w:rPr>
              <w:t>stress</w:t>
            </w:r>
            <w:proofErr w:type="gramEnd"/>
          </w:p>
        </w:tc>
      </w:tr>
      <w:tr w:rsidR="000A601D" w:rsidRPr="00093498" w14:paraId="4874061E" w14:textId="77777777" w:rsidTr="000A601D">
        <w:trPr>
          <w:trHeight w:val="290"/>
        </w:trPr>
        <w:tc>
          <w:tcPr>
            <w:tcW w:w="1615" w:type="dxa"/>
            <w:noWrap/>
          </w:tcPr>
          <w:p w14:paraId="5D4810BF" w14:textId="748C02E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ComEd</w:t>
            </w:r>
          </w:p>
        </w:tc>
        <w:tc>
          <w:tcPr>
            <w:tcW w:w="1563" w:type="dxa"/>
            <w:noWrap/>
          </w:tcPr>
          <w:p w14:paraId="30B74F99" w14:textId="57B24E3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34A3B290" w14:textId="07C207E3"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0CE43A34" w14:textId="592C0559"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21.1%</w:t>
            </w:r>
          </w:p>
        </w:tc>
        <w:tc>
          <w:tcPr>
            <w:tcW w:w="769" w:type="dxa"/>
          </w:tcPr>
          <w:p w14:paraId="481F08E8" w14:textId="096702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13.2%</w:t>
            </w:r>
          </w:p>
        </w:tc>
        <w:tc>
          <w:tcPr>
            <w:tcW w:w="1485" w:type="dxa"/>
          </w:tcPr>
          <w:p w14:paraId="3611D346" w14:textId="559E8680" w:rsidR="000A601D" w:rsidRDefault="000A601D" w:rsidP="008B4284">
            <w:pPr>
              <w:rPr>
                <w:rFonts w:ascii="Times New Roman" w:hAnsi="Times New Roman" w:cs="Times New Roman"/>
                <w:bCs/>
                <w:sz w:val="20"/>
                <w:szCs w:val="20"/>
              </w:rPr>
            </w:pPr>
            <w:r>
              <w:rPr>
                <w:rFonts w:ascii="Times New Roman" w:hAnsi="Times New Roman" w:cs="Times New Roman"/>
                <w:bCs/>
                <w:sz w:val="20"/>
                <w:szCs w:val="20"/>
              </w:rPr>
              <w:t>12.3%</w:t>
            </w:r>
          </w:p>
        </w:tc>
        <w:tc>
          <w:tcPr>
            <w:tcW w:w="5555" w:type="dxa"/>
            <w:noWrap/>
          </w:tcPr>
          <w:p w14:paraId="03755CC1" w14:textId="04BC50D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30 co-</w:t>
            </w:r>
            <w:proofErr w:type="gramStart"/>
            <w:r>
              <w:rPr>
                <w:rFonts w:ascii="Times New Roman" w:hAnsi="Times New Roman" w:cs="Times New Roman"/>
                <w:bCs/>
                <w:sz w:val="20"/>
                <w:szCs w:val="20"/>
              </w:rPr>
              <w:t>stress</w:t>
            </w:r>
            <w:proofErr w:type="gramEnd"/>
          </w:p>
        </w:tc>
      </w:tr>
      <w:tr w:rsidR="000A601D" w:rsidRPr="00093498" w14:paraId="7A3E1C09" w14:textId="77777777" w:rsidTr="000A601D">
        <w:trPr>
          <w:trHeight w:val="290"/>
        </w:trPr>
        <w:tc>
          <w:tcPr>
            <w:tcW w:w="1615" w:type="dxa"/>
            <w:noWrap/>
            <w:hideMark/>
          </w:tcPr>
          <w:p w14:paraId="261B9AF8" w14:textId="5644C4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0C14EF6B" w14:textId="659FD345"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0F88E577" w14:textId="1A0C2B19"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Inference-dominant</w:t>
            </w:r>
          </w:p>
        </w:tc>
        <w:tc>
          <w:tcPr>
            <w:tcW w:w="851" w:type="dxa"/>
          </w:tcPr>
          <w:p w14:paraId="636633BD" w14:textId="062ABA8E"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40.0%</w:t>
            </w:r>
          </w:p>
        </w:tc>
        <w:tc>
          <w:tcPr>
            <w:tcW w:w="769" w:type="dxa"/>
          </w:tcPr>
          <w:p w14:paraId="0CE672A5" w14:textId="33B11BA7"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38.4%</w:t>
            </w:r>
          </w:p>
        </w:tc>
        <w:tc>
          <w:tcPr>
            <w:tcW w:w="1485" w:type="dxa"/>
          </w:tcPr>
          <w:p w14:paraId="73AEA9D2" w14:textId="632BA8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32.8%</w:t>
            </w:r>
          </w:p>
        </w:tc>
        <w:tc>
          <w:tcPr>
            <w:tcW w:w="5555" w:type="dxa"/>
            <w:noWrap/>
            <w:hideMark/>
          </w:tcPr>
          <w:p w14:paraId="1A318EC0" w14:textId="638FAB9D"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145 co-</w:t>
            </w:r>
            <w:proofErr w:type="gramStart"/>
            <w:r>
              <w:rPr>
                <w:rFonts w:ascii="Times New Roman" w:hAnsi="Times New Roman" w:cs="Times New Roman"/>
                <w:bCs/>
                <w:sz w:val="20"/>
                <w:szCs w:val="20"/>
              </w:rPr>
              <w:t>stress</w:t>
            </w:r>
            <w:proofErr w:type="gramEnd"/>
          </w:p>
        </w:tc>
      </w:tr>
      <w:tr w:rsidR="000A601D" w:rsidRPr="00093498" w14:paraId="3515590A" w14:textId="77777777" w:rsidTr="000A601D">
        <w:trPr>
          <w:trHeight w:val="290"/>
        </w:trPr>
        <w:tc>
          <w:tcPr>
            <w:tcW w:w="1615" w:type="dxa"/>
            <w:noWrap/>
            <w:hideMark/>
          </w:tcPr>
          <w:p w14:paraId="3BC67FA1" w14:textId="08DF043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PJM Dominion</w:t>
            </w:r>
          </w:p>
        </w:tc>
        <w:tc>
          <w:tcPr>
            <w:tcW w:w="1563" w:type="dxa"/>
            <w:noWrap/>
            <w:hideMark/>
          </w:tcPr>
          <w:p w14:paraId="491B0ECA" w14:textId="3520CEF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Empirical fleet</w:t>
            </w:r>
          </w:p>
        </w:tc>
        <w:tc>
          <w:tcPr>
            <w:tcW w:w="1112" w:type="dxa"/>
          </w:tcPr>
          <w:p w14:paraId="1BF666B0" w14:textId="75006DFC"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Mixed-use</w:t>
            </w:r>
          </w:p>
        </w:tc>
        <w:tc>
          <w:tcPr>
            <w:tcW w:w="851" w:type="dxa"/>
          </w:tcPr>
          <w:p w14:paraId="219BE603" w14:textId="2D56C4F4"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24.6%</w:t>
            </w:r>
          </w:p>
        </w:tc>
        <w:tc>
          <w:tcPr>
            <w:tcW w:w="769" w:type="dxa"/>
          </w:tcPr>
          <w:p w14:paraId="5924DCB6" w14:textId="07127F26"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23.7%</w:t>
            </w:r>
          </w:p>
        </w:tc>
        <w:tc>
          <w:tcPr>
            <w:tcW w:w="1485" w:type="dxa"/>
          </w:tcPr>
          <w:p w14:paraId="717502BA" w14:textId="786CB728" w:rsidR="000A601D" w:rsidRPr="00A1522D" w:rsidRDefault="000A601D" w:rsidP="008B4284">
            <w:pPr>
              <w:rPr>
                <w:rFonts w:ascii="Times New Roman" w:hAnsi="Times New Roman" w:cs="Times New Roman"/>
                <w:bCs/>
                <w:sz w:val="20"/>
                <w:szCs w:val="20"/>
              </w:rPr>
            </w:pPr>
            <w:r>
              <w:rPr>
                <w:rFonts w:ascii="Times New Roman" w:hAnsi="Times New Roman" w:cs="Times New Roman"/>
                <w:bCs/>
                <w:sz w:val="20"/>
                <w:szCs w:val="20"/>
              </w:rPr>
              <w:t>2</w:t>
            </w:r>
            <w:r w:rsidR="00EF5D4F">
              <w:rPr>
                <w:rFonts w:ascii="Times New Roman" w:hAnsi="Times New Roman" w:cs="Times New Roman"/>
                <w:bCs/>
                <w:sz w:val="20"/>
                <w:szCs w:val="20"/>
              </w:rPr>
              <w:t>0.8</w:t>
            </w:r>
            <w:r>
              <w:rPr>
                <w:rFonts w:ascii="Times New Roman" w:hAnsi="Times New Roman" w:cs="Times New Roman"/>
                <w:bCs/>
                <w:sz w:val="20"/>
                <w:szCs w:val="20"/>
              </w:rPr>
              <w:t>%</w:t>
            </w:r>
          </w:p>
        </w:tc>
        <w:tc>
          <w:tcPr>
            <w:tcW w:w="5555" w:type="dxa"/>
            <w:noWrap/>
            <w:hideMark/>
          </w:tcPr>
          <w:p w14:paraId="2E134A47" w14:textId="3D24419F" w:rsidR="000A601D" w:rsidRPr="00A1522D" w:rsidRDefault="000A601D" w:rsidP="000A601D">
            <w:pPr>
              <w:keepNext/>
              <w:rPr>
                <w:rFonts w:ascii="Times New Roman" w:hAnsi="Times New Roman" w:cs="Times New Roman"/>
                <w:bCs/>
                <w:sz w:val="20"/>
                <w:szCs w:val="20"/>
              </w:rPr>
            </w:pPr>
            <w:r>
              <w:rPr>
                <w:rFonts w:ascii="Times New Roman" w:hAnsi="Times New Roman" w:cs="Times New Roman"/>
                <w:bCs/>
                <w:sz w:val="20"/>
                <w:szCs w:val="20"/>
              </w:rPr>
              <w:t>145 co-</w:t>
            </w:r>
            <w:proofErr w:type="gramStart"/>
            <w:r>
              <w:rPr>
                <w:rFonts w:ascii="Times New Roman" w:hAnsi="Times New Roman" w:cs="Times New Roman"/>
                <w:bCs/>
                <w:sz w:val="20"/>
                <w:szCs w:val="20"/>
              </w:rPr>
              <w:t>stress</w:t>
            </w:r>
            <w:proofErr w:type="gramEnd"/>
          </w:p>
        </w:tc>
      </w:tr>
    </w:tbl>
    <w:p w14:paraId="7FD93688" w14:textId="77777777" w:rsidR="000A601D" w:rsidRDefault="000A601D" w:rsidP="00D16F6D">
      <w:pPr>
        <w:rPr>
          <w:i/>
          <w:iCs/>
          <w:color w:val="0E2841" w:themeColor="text2"/>
          <w:sz w:val="18"/>
          <w:szCs w:val="18"/>
        </w:rPr>
      </w:pPr>
      <w:r w:rsidRPr="000A601D">
        <w:rPr>
          <w:i/>
          <w:iCs/>
          <w:color w:val="0E2841" w:themeColor="text2"/>
          <w:sz w:val="18"/>
          <w:szCs w:val="18"/>
        </w:rPr>
        <w:t>Source-zone robustness check using PJM Dominion as an alternative source. Single-facility commitment depth is essentially identical across the two source zones (40.0% vs 40.2% inference-dominant), confirming that the cascade math is source-invariant at small scale. The empirical fleet result differs more substantially because the migrating fleet definition shifts: with Dominion as source, the fleet outside Dominion excludes the largest data center zone in PJM, leaving a smaller migrating fleet (max 6,678 MW) that experiences less destination contention than the ComEd-source fleet (max 14,379 MW). The 30-vs-145 co-stress hour count reflects geographic differences in stress patterns: ComEd stress events are more locally concentrated, while Dominion stress events more frequently coincide with broader PJM stress.</w:t>
      </w:r>
    </w:p>
    <w:p w14:paraId="740B0A4B" w14:textId="77777777" w:rsidR="000A601D" w:rsidRDefault="000A601D" w:rsidP="00D16F6D">
      <w:pPr>
        <w:rPr>
          <w:i/>
          <w:iCs/>
          <w:color w:val="0E2841" w:themeColor="text2"/>
          <w:sz w:val="18"/>
          <w:szCs w:val="18"/>
        </w:rPr>
      </w:pPr>
    </w:p>
    <w:p w14:paraId="73D344F7" w14:textId="29F67D7E" w:rsidR="007618E0" w:rsidRPr="002922E6" w:rsidRDefault="007618E0" w:rsidP="007618E0">
      <w:pPr>
        <w:rPr>
          <w:rFonts w:ascii="Times New Roman" w:hAnsi="Times New Roman" w:cs="Times New Roman"/>
          <w:bCs/>
        </w:rPr>
      </w:pPr>
    </w:p>
    <w:sectPr w:rsidR="007618E0" w:rsidRPr="002922E6" w:rsidSect="007618E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7323" w14:textId="77777777" w:rsidR="00CB557A" w:rsidRDefault="00CB557A" w:rsidP="008B1F31">
      <w:pPr>
        <w:spacing w:after="0" w:line="240" w:lineRule="auto"/>
      </w:pPr>
      <w:r>
        <w:separator/>
      </w:r>
    </w:p>
  </w:endnote>
  <w:endnote w:type="continuationSeparator" w:id="0">
    <w:p w14:paraId="0BFCDB28" w14:textId="77777777" w:rsidR="00CB557A" w:rsidRDefault="00CB557A" w:rsidP="008B1F31">
      <w:pPr>
        <w:spacing w:after="0" w:line="240" w:lineRule="auto"/>
      </w:pPr>
      <w:r>
        <w:continuationSeparator/>
      </w:r>
    </w:p>
  </w:endnote>
  <w:endnote w:id="1">
    <w:p w14:paraId="3E9EE284" w14:textId="77777777" w:rsidR="004309E8" w:rsidRDefault="004309E8" w:rsidP="004309E8">
      <w:pPr>
        <w:pStyle w:val="EndnoteText"/>
      </w:pPr>
      <w:r>
        <w:rPr>
          <w:rStyle w:val="EndnoteReference"/>
        </w:rPr>
        <w:endnoteRef/>
      </w:r>
      <w:r>
        <w:t xml:space="preserve"> </w:t>
      </w:r>
      <w:r w:rsidRPr="00134FC3">
        <w:rPr>
          <w:rFonts w:ascii="Times New Roman" w:hAnsi="Times New Roman" w:cs="Times New Roman"/>
        </w:rPr>
        <w:t>PJM Interconnection, 2027/2028 Base Residual Auction Report (Valley Forge, PA: PJM Interconnection, December 17, 2025).</w:t>
      </w:r>
    </w:p>
  </w:endnote>
  <w:endnote w:id="2">
    <w:p w14:paraId="1A9049E6" w14:textId="77777777" w:rsidR="004B4310" w:rsidRDefault="004B4310" w:rsidP="004B4310">
      <w:pPr>
        <w:pStyle w:val="EndnoteText"/>
      </w:pPr>
      <w:r>
        <w:rPr>
          <w:rStyle w:val="EndnoteReference"/>
        </w:rPr>
        <w:endnoteRef/>
      </w:r>
      <w:r>
        <w:t xml:space="preserve"> </w:t>
      </w:r>
      <w:r w:rsidRPr="00134FC3">
        <w:rPr>
          <w:rFonts w:ascii="Times New Roman" w:hAnsi="Times New Roman" w:cs="Times New Roman"/>
        </w:rPr>
        <w:t>PJM Interconnection, 2026 Long-Term Load Forecast Report (Valley Forge, PA: PJM Interconnection, January 14, 2026), Tables B-9 and B-9b.</w:t>
      </w:r>
    </w:p>
  </w:endnote>
  <w:endnote w:id="3">
    <w:p w14:paraId="7BB746A9" w14:textId="3C65D9C8" w:rsidR="004309E8" w:rsidRDefault="004309E8">
      <w:pPr>
        <w:pStyle w:val="EndnoteText"/>
      </w:pPr>
      <w:r>
        <w:rPr>
          <w:rStyle w:val="EndnoteReference"/>
        </w:rPr>
        <w:endnoteRef/>
      </w:r>
      <w:r>
        <w:t xml:space="preserve"> </w:t>
      </w:r>
      <w:r w:rsidRPr="00134FC3">
        <w:rPr>
          <w:rFonts w:ascii="Times New Roman" w:eastAsia="Georgia" w:hAnsi="Times New Roman" w:cs="Times New Roman"/>
        </w:rPr>
        <w:t xml:space="preserve">Lawrence Berkeley National Laboratory, Queued Up: 2025 Edition, Characteristics of Power Plants Seeking Transmission Interconnection </w:t>
      </w:r>
      <w:proofErr w:type="gramStart"/>
      <w:r w:rsidRPr="00134FC3">
        <w:rPr>
          <w:rFonts w:ascii="Times New Roman" w:eastAsia="Georgia" w:hAnsi="Times New Roman" w:cs="Times New Roman"/>
        </w:rPr>
        <w:t>As</w:t>
      </w:r>
      <w:proofErr w:type="gramEnd"/>
      <w:r w:rsidRPr="00134FC3">
        <w:rPr>
          <w:rFonts w:ascii="Times New Roman" w:eastAsia="Georgia" w:hAnsi="Times New Roman" w:cs="Times New Roman"/>
        </w:rPr>
        <w:t xml:space="preserve"> of the End of 2024. (Berkeley, CA: LBNL, 2025).</w:t>
      </w:r>
    </w:p>
  </w:endnote>
  <w:endnote w:id="4">
    <w:p w14:paraId="611F9641" w14:textId="0FC53F39" w:rsidR="004B4310" w:rsidRDefault="004B4310">
      <w:pPr>
        <w:pStyle w:val="EndnoteText"/>
      </w:pPr>
      <w:r>
        <w:rPr>
          <w:rStyle w:val="EndnoteReference"/>
        </w:rPr>
        <w:endnoteRef/>
      </w:r>
      <w:r>
        <w:t xml:space="preserve"> </w:t>
      </w:r>
      <w:r w:rsidRPr="00C85773">
        <w:rPr>
          <w:rFonts w:ascii="Times New Roman" w:hAnsi="Times New Roman" w:cs="Times New Roman"/>
          <w:bCs/>
        </w:rPr>
        <w:t>Norris, T. H., Profeta, T., Patino-Echeverri, D., &amp; Cowie-Haskell, A. Rethinking Load Growth: Assessing the Potential for Integration of Large Flexible Loads in US Power Systems. NI R 25-01, Nicholas Institute for Energy, Environment &amp; Sustainability, Duke University (March 2025).</w:t>
      </w:r>
    </w:p>
  </w:endnote>
  <w:endnote w:id="5">
    <w:p w14:paraId="74428859" w14:textId="457EFD0A" w:rsidR="004B4310" w:rsidRDefault="004B4310">
      <w:pPr>
        <w:pStyle w:val="EndnoteText"/>
      </w:pPr>
      <w:r>
        <w:rPr>
          <w:rStyle w:val="EndnoteReference"/>
        </w:rPr>
        <w:endnoteRef/>
      </w:r>
      <w:r>
        <w:t xml:space="preserve"> </w:t>
      </w:r>
      <w:r w:rsidRPr="004B4310">
        <w:t>International Energy Agency. Energy and AI. World Energy Outlook Special Report (2025).</w:t>
      </w:r>
    </w:p>
  </w:endnote>
  <w:endnote w:id="6">
    <w:p w14:paraId="6874EDBA" w14:textId="3DE569DA" w:rsidR="00BC3406" w:rsidRDefault="00BC3406">
      <w:pPr>
        <w:pStyle w:val="EndnoteText"/>
      </w:pPr>
      <w:r>
        <w:rPr>
          <w:rStyle w:val="EndnoteReference"/>
        </w:rPr>
        <w:endnoteRef/>
      </w:r>
      <w:r>
        <w:t xml:space="preserve"> </w:t>
      </w:r>
      <w:r w:rsidRPr="00BC3406">
        <w:t xml:space="preserve">Knittel, C., Senga, M., &amp; Wang, S. </w:t>
      </w:r>
      <w:r w:rsidRPr="00BC3406">
        <w:rPr>
          <w:i/>
          <w:iCs/>
        </w:rPr>
        <w:t>Flexible Data Centers and the Grid: Lower Costs, Higher Emissions?</w:t>
      </w:r>
      <w:r w:rsidRPr="00BC3406">
        <w:t xml:space="preserve"> NBER Working Paper 34065 (2025).</w:t>
      </w:r>
    </w:p>
  </w:endnote>
  <w:endnote w:id="7">
    <w:p w14:paraId="4F9E2818" w14:textId="0BB0363A" w:rsidR="009375CA" w:rsidRDefault="009375CA">
      <w:pPr>
        <w:pStyle w:val="EndnoteText"/>
      </w:pPr>
      <w:r>
        <w:rPr>
          <w:rStyle w:val="EndnoteReference"/>
        </w:rPr>
        <w:endnoteRef/>
      </w:r>
      <w:r>
        <w:t xml:space="preserve"> </w:t>
      </w:r>
      <w:r w:rsidRPr="00BC3406">
        <w:t xml:space="preserve">Zhang, C., et al. Flex: High-availability datacenters with zero reserved power. </w:t>
      </w:r>
      <w:r w:rsidRPr="00BC3406">
        <w:rPr>
          <w:i/>
          <w:iCs/>
        </w:rPr>
        <w:t>ISCA</w:t>
      </w:r>
      <w:r w:rsidRPr="00BC3406">
        <w:t xml:space="preserve"> (2021).</w:t>
      </w:r>
    </w:p>
  </w:endnote>
  <w:endnote w:id="8">
    <w:p w14:paraId="6BE71B48" w14:textId="77777777" w:rsidR="00835266" w:rsidRDefault="00835266" w:rsidP="00835266">
      <w:pPr>
        <w:pStyle w:val="EndnoteText"/>
      </w:pPr>
      <w:r>
        <w:rPr>
          <w:rStyle w:val="EndnoteReference"/>
        </w:rPr>
        <w:endnoteRef/>
      </w:r>
      <w:r>
        <w:t xml:space="preserve"> </w:t>
      </w:r>
      <w:r w:rsidRPr="00835266">
        <w:rPr>
          <w:rFonts w:ascii="Times New Roman" w:hAnsi="Times New Roman" w:cs="Times New Roman"/>
          <w:bCs/>
        </w:rPr>
        <w:t xml:space="preserve">Stojkovic, J., Zhang, C., </w:t>
      </w:r>
      <w:proofErr w:type="spellStart"/>
      <w:r w:rsidRPr="00835266">
        <w:rPr>
          <w:rFonts w:ascii="Times New Roman" w:hAnsi="Times New Roman" w:cs="Times New Roman"/>
          <w:bCs/>
        </w:rPr>
        <w:t>Goiri</w:t>
      </w:r>
      <w:proofErr w:type="spellEnd"/>
      <w:r w:rsidRPr="00835266">
        <w:rPr>
          <w:rFonts w:ascii="Times New Roman" w:hAnsi="Times New Roman" w:cs="Times New Roman"/>
          <w:bCs/>
        </w:rPr>
        <w:t xml:space="preserve">, Í., Torrellas, J., &amp; </w:t>
      </w:r>
      <w:proofErr w:type="spellStart"/>
      <w:r w:rsidRPr="00835266">
        <w:rPr>
          <w:rFonts w:ascii="Times New Roman" w:hAnsi="Times New Roman" w:cs="Times New Roman"/>
          <w:bCs/>
        </w:rPr>
        <w:t>Choukse</w:t>
      </w:r>
      <w:proofErr w:type="spellEnd"/>
      <w:r w:rsidRPr="00835266">
        <w:rPr>
          <w:rFonts w:ascii="Times New Roman" w:hAnsi="Times New Roman" w:cs="Times New Roman"/>
          <w:bCs/>
        </w:rPr>
        <w:t xml:space="preserve">, E. </w:t>
      </w:r>
      <w:proofErr w:type="spellStart"/>
      <w:r w:rsidRPr="00835266">
        <w:rPr>
          <w:rFonts w:ascii="Times New Roman" w:hAnsi="Times New Roman" w:cs="Times New Roman"/>
          <w:bCs/>
        </w:rPr>
        <w:t>DynamoLLM</w:t>
      </w:r>
      <w:proofErr w:type="spellEnd"/>
      <w:r w:rsidRPr="00835266">
        <w:rPr>
          <w:rFonts w:ascii="Times New Roman" w:hAnsi="Times New Roman" w:cs="Times New Roman"/>
          <w:bCs/>
        </w:rPr>
        <w:t>: Designing LLM Inference Clusters for Performance and Energy Efficiency. Proc. HPCA 2025, pp. 1348–1362</w:t>
      </w:r>
    </w:p>
  </w:endnote>
  <w:endnote w:id="9">
    <w:p w14:paraId="740D738C" w14:textId="64232437" w:rsidR="00835266" w:rsidRDefault="00835266">
      <w:pPr>
        <w:pStyle w:val="EndnoteText"/>
      </w:pPr>
      <w:r>
        <w:rPr>
          <w:rStyle w:val="EndnoteReference"/>
        </w:rPr>
        <w:endnoteRef/>
      </w:r>
      <w:r>
        <w:t xml:space="preserve"> </w:t>
      </w:r>
      <w:r w:rsidRPr="00835266">
        <w:t xml:space="preserve">Li, L., et al. Thunderbolt: Throughput-optimized, quality-of-service-aware power capping at scale. </w:t>
      </w:r>
      <w:r w:rsidRPr="00835266">
        <w:rPr>
          <w:i/>
          <w:iCs/>
        </w:rPr>
        <w:t>OSDI</w:t>
      </w:r>
      <w:r w:rsidRPr="00835266">
        <w:t xml:space="preserve"> (2020)</w:t>
      </w:r>
    </w:p>
  </w:endnote>
  <w:endnote w:id="10">
    <w:p w14:paraId="7CC6FFB3" w14:textId="7B1CCA55" w:rsidR="00835266" w:rsidRDefault="00835266">
      <w:pPr>
        <w:pStyle w:val="EndnoteText"/>
      </w:pPr>
      <w:r>
        <w:rPr>
          <w:rStyle w:val="EndnoteReference"/>
        </w:rPr>
        <w:endnoteRef/>
      </w:r>
      <w:r>
        <w:t xml:space="preserve"> </w:t>
      </w:r>
      <w:r w:rsidRPr="00BC3406">
        <w:t xml:space="preserve">Patel, P., </w:t>
      </w:r>
      <w:proofErr w:type="spellStart"/>
      <w:r w:rsidRPr="00BC3406">
        <w:t>Choukse</w:t>
      </w:r>
      <w:proofErr w:type="spellEnd"/>
      <w:r w:rsidRPr="00BC3406">
        <w:t xml:space="preserve">, E., Zhang, C., </w:t>
      </w:r>
      <w:proofErr w:type="spellStart"/>
      <w:r w:rsidRPr="00BC3406">
        <w:t>Goiri</w:t>
      </w:r>
      <w:proofErr w:type="spellEnd"/>
      <w:r w:rsidRPr="00BC3406">
        <w:t xml:space="preserve">, Í., Warrier, S., Mahalingam, N., &amp; Bianchini, R. </w:t>
      </w:r>
      <w:proofErr w:type="spellStart"/>
      <w:r w:rsidRPr="00BC3406">
        <w:t>Splitwise</w:t>
      </w:r>
      <w:proofErr w:type="spellEnd"/>
      <w:r w:rsidRPr="00BC3406">
        <w:t xml:space="preserve">: Efficient generative LLM inference using phase splitting. </w:t>
      </w:r>
      <w:r w:rsidRPr="00BC3406">
        <w:rPr>
          <w:i/>
          <w:iCs/>
        </w:rPr>
        <w:t>ISCA</w:t>
      </w:r>
      <w:r w:rsidRPr="00BC3406">
        <w:t xml:space="preserve"> (2024).</w:t>
      </w:r>
    </w:p>
  </w:endnote>
  <w:endnote w:id="11">
    <w:p w14:paraId="64798E4A" w14:textId="42EAA505" w:rsidR="00835266" w:rsidRDefault="00835266">
      <w:pPr>
        <w:pStyle w:val="EndnoteText"/>
      </w:pPr>
      <w:r>
        <w:rPr>
          <w:rStyle w:val="EndnoteReference"/>
        </w:rPr>
        <w:endnoteRef/>
      </w:r>
      <w:r>
        <w:t xml:space="preserve"> </w:t>
      </w:r>
      <w:r w:rsidRPr="00BC3406">
        <w:t xml:space="preserve">Zhong, Y., Liu, S., Chen, J., Hu, J., Zhu, Y., Liu, X., Jin, X., &amp; Zhang, H. </w:t>
      </w:r>
      <w:proofErr w:type="spellStart"/>
      <w:r w:rsidRPr="00BC3406">
        <w:t>DistServe</w:t>
      </w:r>
      <w:proofErr w:type="spellEnd"/>
      <w:r w:rsidRPr="00BC3406">
        <w:t xml:space="preserve">: Disaggregating prefill and decoding for goodput-optimized large language model serving. </w:t>
      </w:r>
      <w:r w:rsidRPr="00BC3406">
        <w:rPr>
          <w:i/>
          <w:iCs/>
        </w:rPr>
        <w:t>OSDI</w:t>
      </w:r>
      <w:r w:rsidRPr="00BC3406">
        <w:t xml:space="preserve"> (2024).</w:t>
      </w:r>
    </w:p>
  </w:endnote>
  <w:endnote w:id="12">
    <w:p w14:paraId="095DBF3A" w14:textId="34B301AD" w:rsidR="00835266" w:rsidRDefault="00835266">
      <w:pPr>
        <w:pStyle w:val="EndnoteText"/>
      </w:pPr>
      <w:r>
        <w:rPr>
          <w:rStyle w:val="EndnoteReference"/>
        </w:rPr>
        <w:endnoteRef/>
      </w:r>
      <w:r>
        <w:t xml:space="preserve"> </w:t>
      </w:r>
      <w:r w:rsidRPr="00BC3406">
        <w:t xml:space="preserve">Qin, L., et al. Mooncake: Trading more storage for less computation — a </w:t>
      </w:r>
      <w:proofErr w:type="spellStart"/>
      <w:r w:rsidRPr="00BC3406">
        <w:t>KVCache</w:t>
      </w:r>
      <w:proofErr w:type="spellEnd"/>
      <w:r w:rsidRPr="00BC3406">
        <w:t>-centric architecture for serving LLM chatbot. (Moonshot AI, 2024).</w:t>
      </w:r>
    </w:p>
  </w:endnote>
  <w:endnote w:id="13">
    <w:p w14:paraId="15A097D9" w14:textId="1F6D5609" w:rsidR="00F00522" w:rsidRDefault="00F00522">
      <w:pPr>
        <w:pStyle w:val="EndnoteText"/>
      </w:pPr>
      <w:r>
        <w:rPr>
          <w:rStyle w:val="EndnoteReference"/>
        </w:rPr>
        <w:endnoteRef/>
      </w:r>
      <w:r>
        <w:t xml:space="preserve"> </w:t>
      </w:r>
      <w:r w:rsidRPr="00F00522">
        <w:t xml:space="preserve">Jaiswal, S., Jain, K., </w:t>
      </w:r>
      <w:proofErr w:type="spellStart"/>
      <w:r w:rsidRPr="00F00522">
        <w:t>Simmhan</w:t>
      </w:r>
      <w:proofErr w:type="spellEnd"/>
      <w:r w:rsidRPr="00F00522">
        <w:t xml:space="preserve">, Y., </w:t>
      </w:r>
      <w:proofErr w:type="spellStart"/>
      <w:r w:rsidRPr="00F00522">
        <w:t>Parayil</w:t>
      </w:r>
      <w:proofErr w:type="spellEnd"/>
      <w:r w:rsidRPr="00F00522">
        <w:t xml:space="preserve">, A., Mallick, A., St. Amant, R., et al. </w:t>
      </w:r>
      <w:proofErr w:type="spellStart"/>
      <w:r w:rsidRPr="00F00522">
        <w:t>SageServe</w:t>
      </w:r>
      <w:proofErr w:type="spellEnd"/>
      <w:r w:rsidRPr="00F00522">
        <w:t>: Optimizing LLM Serving on Cloud Data Centers with Forecast Aware Auto-Scaling. arXiv:2502.14617 (2025).</w:t>
      </w:r>
    </w:p>
  </w:endnote>
  <w:endnote w:id="14">
    <w:p w14:paraId="6CBDF36A" w14:textId="18713454" w:rsidR="00F00522" w:rsidRDefault="00F00522">
      <w:pPr>
        <w:pStyle w:val="EndnoteText"/>
      </w:pPr>
      <w:r>
        <w:rPr>
          <w:rStyle w:val="EndnoteReference"/>
        </w:rPr>
        <w:endnoteRef/>
      </w:r>
      <w:r>
        <w:t xml:space="preserve"> </w:t>
      </w:r>
      <w:r w:rsidRPr="00F00522">
        <w:rPr>
          <w:rFonts w:ascii="Times New Roman" w:hAnsi="Times New Roman" w:cs="Times New Roman"/>
          <w:bCs/>
        </w:rPr>
        <w:t xml:space="preserve">Colangelo, P., Coskun, A. K., </w:t>
      </w:r>
      <w:proofErr w:type="spellStart"/>
      <w:r w:rsidRPr="00F00522">
        <w:rPr>
          <w:rFonts w:ascii="Times New Roman" w:hAnsi="Times New Roman" w:cs="Times New Roman"/>
          <w:bCs/>
        </w:rPr>
        <w:t>Megrue</w:t>
      </w:r>
      <w:proofErr w:type="spellEnd"/>
      <w:r w:rsidRPr="00F00522">
        <w:rPr>
          <w:rFonts w:ascii="Times New Roman" w:hAnsi="Times New Roman" w:cs="Times New Roman"/>
          <w:bCs/>
        </w:rPr>
        <w:t xml:space="preserve">, J., Roberts, C., Sengupta, S., Sivaram, V., Tiao, E., </w:t>
      </w:r>
      <w:proofErr w:type="spellStart"/>
      <w:r w:rsidRPr="00F00522">
        <w:rPr>
          <w:rFonts w:ascii="Times New Roman" w:hAnsi="Times New Roman" w:cs="Times New Roman"/>
          <w:bCs/>
        </w:rPr>
        <w:t>Vijaykar</w:t>
      </w:r>
      <w:proofErr w:type="spellEnd"/>
      <w:r w:rsidRPr="00F00522">
        <w:rPr>
          <w:rFonts w:ascii="Times New Roman" w:hAnsi="Times New Roman" w:cs="Times New Roman"/>
          <w:bCs/>
        </w:rPr>
        <w:t xml:space="preserve">, A., Williams, C., Wilson, D. C., Records, B., MacFarland, Z., Dreiling, D., Morey, N., Ratnayake, A., &amp; </w:t>
      </w:r>
      <w:proofErr w:type="spellStart"/>
      <w:r w:rsidRPr="00F00522">
        <w:rPr>
          <w:rFonts w:ascii="Times New Roman" w:hAnsi="Times New Roman" w:cs="Times New Roman"/>
          <w:bCs/>
        </w:rPr>
        <w:t>Vairamohan</w:t>
      </w:r>
      <w:proofErr w:type="spellEnd"/>
      <w:r w:rsidRPr="00F00522">
        <w:rPr>
          <w:rFonts w:ascii="Times New Roman" w:hAnsi="Times New Roman" w:cs="Times New Roman"/>
          <w:bCs/>
        </w:rPr>
        <w:t xml:space="preserve">, B. AI data </w:t>
      </w:r>
      <w:proofErr w:type="spellStart"/>
      <w:r w:rsidRPr="00F00522">
        <w:rPr>
          <w:rFonts w:ascii="Times New Roman" w:hAnsi="Times New Roman" w:cs="Times New Roman"/>
          <w:bCs/>
        </w:rPr>
        <w:t>centres</w:t>
      </w:r>
      <w:proofErr w:type="spellEnd"/>
      <w:r w:rsidRPr="00F00522">
        <w:rPr>
          <w:rFonts w:ascii="Times New Roman" w:hAnsi="Times New Roman" w:cs="Times New Roman"/>
          <w:bCs/>
        </w:rPr>
        <w:t xml:space="preserve"> as grid-interactive assets. Nature Energy 11, 254–261 (2026). https://doi.org/10.1038/s41560-025-01927-1.</w:t>
      </w:r>
    </w:p>
  </w:endnote>
  <w:endnote w:id="15">
    <w:p w14:paraId="16D4A756" w14:textId="5C4E5915" w:rsidR="00D16F6D" w:rsidRDefault="00D16F6D">
      <w:pPr>
        <w:pStyle w:val="EndnoteText"/>
      </w:pPr>
      <w:r>
        <w:rPr>
          <w:rStyle w:val="EndnoteReference"/>
        </w:rPr>
        <w:endnoteRef/>
      </w:r>
      <w:r>
        <w:t xml:space="preserve"> </w:t>
      </w:r>
      <w:r w:rsidRPr="00D16F6D">
        <w:rPr>
          <w:rFonts w:ascii="Times New Roman" w:hAnsi="Times New Roman" w:cs="Times New Roman"/>
          <w:bCs/>
        </w:rPr>
        <w:t>M</w:t>
      </w:r>
      <w:r w:rsidRPr="00D16F6D">
        <w:rPr>
          <w:rFonts w:ascii="Consolas" w:hAnsi="Consolas" w:cs="Consolas"/>
          <w:color w:val="000000"/>
          <w:kern w:val="0"/>
          <w:sz w:val="22"/>
          <w:szCs w:val="22"/>
        </w:rPr>
        <w:t xml:space="preserve"> </w:t>
      </w:r>
      <w:r w:rsidRPr="00D16F6D">
        <w:rPr>
          <w:rFonts w:ascii="Times New Roman" w:hAnsi="Times New Roman" w:cs="Times New Roman"/>
          <w:bCs/>
        </w:rPr>
        <w:t xml:space="preserve">Arora, C., Sorel, M., Sachdeva, P., Bhan, A., He, J., Shaw, N., Garg, R., &amp; Ravishankar, S. The next big shifts in AI workloads and </w:t>
      </w:r>
      <w:proofErr w:type="spellStart"/>
      <w:r w:rsidRPr="00D16F6D">
        <w:rPr>
          <w:rFonts w:ascii="Times New Roman" w:hAnsi="Times New Roman" w:cs="Times New Roman"/>
          <w:bCs/>
        </w:rPr>
        <w:t>hyperscaler</w:t>
      </w:r>
      <w:proofErr w:type="spellEnd"/>
      <w:r w:rsidRPr="00D16F6D">
        <w:rPr>
          <w:rFonts w:ascii="Times New Roman" w:hAnsi="Times New Roman" w:cs="Times New Roman"/>
          <w:bCs/>
        </w:rPr>
        <w:t xml:space="preserve"> strategies. McKinsey &amp; Company, Technology, Media &amp; Telecommunications Practice (December 2025).</w:t>
      </w:r>
    </w:p>
  </w:endnote>
  <w:endnote w:id="16">
    <w:p w14:paraId="0BAD46FB" w14:textId="20B23A79" w:rsidR="00D16F6D" w:rsidRDefault="00D16F6D">
      <w:pPr>
        <w:pStyle w:val="EndnoteText"/>
      </w:pPr>
      <w:r>
        <w:rPr>
          <w:rStyle w:val="EndnoteReference"/>
        </w:rPr>
        <w:endnoteRef/>
      </w:r>
      <w:r>
        <w:t xml:space="preserve"> </w:t>
      </w:r>
      <w:r w:rsidRPr="004B4310">
        <w:t>International Energy Agency. Energy and AI. World Energy Outlook Special Report (2025).</w:t>
      </w:r>
    </w:p>
  </w:endnote>
  <w:endnote w:id="17">
    <w:p w14:paraId="12C57408" w14:textId="2C4FEEE1" w:rsidR="00D16F6D" w:rsidRDefault="00D16F6D">
      <w:pPr>
        <w:pStyle w:val="EndnoteText"/>
      </w:pPr>
      <w:r>
        <w:rPr>
          <w:rStyle w:val="EndnoteReference"/>
        </w:rPr>
        <w:endnoteRef/>
      </w:r>
      <w:r>
        <w:t xml:space="preserve"> </w:t>
      </w:r>
      <w:r w:rsidRPr="00D16F6D">
        <w:t xml:space="preserve">Zhou, X., et al. </w:t>
      </w:r>
      <w:r w:rsidRPr="00D16F6D">
        <w:rPr>
          <w:i/>
          <w:iCs/>
        </w:rPr>
        <w:t>AI-Focused HPC Data Centers Can Provide More Power Grid Flexibility and at Lower Cost</w:t>
      </w:r>
      <w:r w:rsidRPr="00D16F6D">
        <w:t>. arXiv:2410.17435 (2024).</w:t>
      </w:r>
    </w:p>
  </w:endnote>
  <w:endnote w:id="18">
    <w:p w14:paraId="287199D8" w14:textId="024665EB" w:rsidR="00464361" w:rsidRDefault="00464361">
      <w:pPr>
        <w:pStyle w:val="EndnoteText"/>
      </w:pPr>
      <w:r>
        <w:rPr>
          <w:rStyle w:val="EndnoteReference"/>
        </w:rPr>
        <w:endnoteRef/>
      </w:r>
      <w:r>
        <w:t xml:space="preserve"> </w:t>
      </w:r>
      <w:r w:rsidRPr="00464361">
        <w:rPr>
          <w:rFonts w:ascii="Times New Roman" w:hAnsi="Times New Roman" w:cs="Times New Roman"/>
          <w:bCs/>
        </w:rPr>
        <w:t>U.S. Department of Energy / National Renewable Energy Laboratory. "Data Center Demand Capacity by County." Accelerating Speed to Power Data Viewer. maps.nrel.gov/speed-to-power (accessed December 2025)</w:t>
      </w:r>
    </w:p>
  </w:endnote>
  <w:endnote w:id="19">
    <w:p w14:paraId="16F18208" w14:textId="77777777" w:rsidR="00464361" w:rsidRDefault="00464361" w:rsidP="00464361">
      <w:pPr>
        <w:pStyle w:val="EndnoteText"/>
      </w:pPr>
      <w:r>
        <w:rPr>
          <w:rStyle w:val="EndnoteReference"/>
        </w:rPr>
        <w:endnoteRef/>
      </w:r>
      <w:r>
        <w:t xml:space="preserve"> </w:t>
      </w:r>
      <w:r w:rsidRPr="00464361">
        <w:rPr>
          <w:rFonts w:ascii="Times New Roman" w:hAnsi="Times New Roman" w:cs="Times New Roman"/>
          <w:bCs/>
        </w:rPr>
        <w:t>PJM Interconnection. PJM Manual 13: Emergency Operations. Rev. 97, effective November 20,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E1CC" w14:textId="77777777" w:rsidR="00CB557A" w:rsidRDefault="00CB557A" w:rsidP="008B1F31">
      <w:pPr>
        <w:spacing w:after="0" w:line="240" w:lineRule="auto"/>
      </w:pPr>
      <w:r>
        <w:separator/>
      </w:r>
    </w:p>
  </w:footnote>
  <w:footnote w:type="continuationSeparator" w:id="0">
    <w:p w14:paraId="4F86C108" w14:textId="77777777" w:rsidR="00CB557A" w:rsidRDefault="00CB557A" w:rsidP="008B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86786D"/>
    <w:multiLevelType w:val="multilevel"/>
    <w:tmpl w:val="8FC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CB0688"/>
    <w:multiLevelType w:val="hybridMultilevel"/>
    <w:tmpl w:val="688C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549585">
    <w:abstractNumId w:val="0"/>
  </w:num>
  <w:num w:numId="2" w16cid:durableId="670909119">
    <w:abstractNumId w:val="2"/>
  </w:num>
  <w:num w:numId="3" w16cid:durableId="1540630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058A1"/>
    <w:rsid w:val="00012850"/>
    <w:rsid w:val="00014BBD"/>
    <w:rsid w:val="00043407"/>
    <w:rsid w:val="00054C76"/>
    <w:rsid w:val="0006399D"/>
    <w:rsid w:val="00067E98"/>
    <w:rsid w:val="00072704"/>
    <w:rsid w:val="00077F24"/>
    <w:rsid w:val="00093498"/>
    <w:rsid w:val="000A4B3E"/>
    <w:rsid w:val="000A601D"/>
    <w:rsid w:val="000C137A"/>
    <w:rsid w:val="000D0F0B"/>
    <w:rsid w:val="000D0FB5"/>
    <w:rsid w:val="000D5784"/>
    <w:rsid w:val="000E571A"/>
    <w:rsid w:val="00114243"/>
    <w:rsid w:val="00123193"/>
    <w:rsid w:val="00134FC3"/>
    <w:rsid w:val="00154604"/>
    <w:rsid w:val="0016253B"/>
    <w:rsid w:val="00170FFE"/>
    <w:rsid w:val="0017672D"/>
    <w:rsid w:val="00176CEF"/>
    <w:rsid w:val="001930CA"/>
    <w:rsid w:val="001A0BA3"/>
    <w:rsid w:val="001A63E5"/>
    <w:rsid w:val="001A724F"/>
    <w:rsid w:val="001B6093"/>
    <w:rsid w:val="001D5418"/>
    <w:rsid w:val="001D6E1E"/>
    <w:rsid w:val="001F684C"/>
    <w:rsid w:val="00214197"/>
    <w:rsid w:val="00223179"/>
    <w:rsid w:val="00227F82"/>
    <w:rsid w:val="00240CA5"/>
    <w:rsid w:val="00245018"/>
    <w:rsid w:val="00253C40"/>
    <w:rsid w:val="00257069"/>
    <w:rsid w:val="00271730"/>
    <w:rsid w:val="00282261"/>
    <w:rsid w:val="0029198D"/>
    <w:rsid w:val="002922E6"/>
    <w:rsid w:val="002A1B01"/>
    <w:rsid w:val="002A3C16"/>
    <w:rsid w:val="002A6001"/>
    <w:rsid w:val="002B2D59"/>
    <w:rsid w:val="002C3C12"/>
    <w:rsid w:val="002D0120"/>
    <w:rsid w:val="002D6082"/>
    <w:rsid w:val="002F2A9A"/>
    <w:rsid w:val="003229E9"/>
    <w:rsid w:val="00331948"/>
    <w:rsid w:val="00336B79"/>
    <w:rsid w:val="003504ED"/>
    <w:rsid w:val="00351E27"/>
    <w:rsid w:val="00353DA9"/>
    <w:rsid w:val="00377EDD"/>
    <w:rsid w:val="00385481"/>
    <w:rsid w:val="00390B2B"/>
    <w:rsid w:val="00394EB6"/>
    <w:rsid w:val="0039630A"/>
    <w:rsid w:val="003A0B79"/>
    <w:rsid w:val="003A1A7B"/>
    <w:rsid w:val="003E7288"/>
    <w:rsid w:val="00400DD3"/>
    <w:rsid w:val="00402C2C"/>
    <w:rsid w:val="004135E7"/>
    <w:rsid w:val="004309E8"/>
    <w:rsid w:val="00453346"/>
    <w:rsid w:val="004554E2"/>
    <w:rsid w:val="0046133D"/>
    <w:rsid w:val="00464361"/>
    <w:rsid w:val="00466263"/>
    <w:rsid w:val="00481538"/>
    <w:rsid w:val="00490749"/>
    <w:rsid w:val="004A3755"/>
    <w:rsid w:val="004A4C15"/>
    <w:rsid w:val="004B3CD7"/>
    <w:rsid w:val="004B4310"/>
    <w:rsid w:val="004B51CA"/>
    <w:rsid w:val="004D41B9"/>
    <w:rsid w:val="004E632D"/>
    <w:rsid w:val="00521721"/>
    <w:rsid w:val="0053767D"/>
    <w:rsid w:val="00543DE5"/>
    <w:rsid w:val="00550511"/>
    <w:rsid w:val="00552814"/>
    <w:rsid w:val="005657DD"/>
    <w:rsid w:val="00565B9C"/>
    <w:rsid w:val="0056751C"/>
    <w:rsid w:val="00590A70"/>
    <w:rsid w:val="0059191C"/>
    <w:rsid w:val="00591D3A"/>
    <w:rsid w:val="005A5317"/>
    <w:rsid w:val="005B5E60"/>
    <w:rsid w:val="005E0C54"/>
    <w:rsid w:val="005E3031"/>
    <w:rsid w:val="005E46AD"/>
    <w:rsid w:val="005F328B"/>
    <w:rsid w:val="00617EC8"/>
    <w:rsid w:val="0065765A"/>
    <w:rsid w:val="00671E85"/>
    <w:rsid w:val="006770F3"/>
    <w:rsid w:val="006A1A7E"/>
    <w:rsid w:val="006A352F"/>
    <w:rsid w:val="006B3A4F"/>
    <w:rsid w:val="006C38FF"/>
    <w:rsid w:val="00710748"/>
    <w:rsid w:val="00722127"/>
    <w:rsid w:val="00726741"/>
    <w:rsid w:val="007268E3"/>
    <w:rsid w:val="00751DD0"/>
    <w:rsid w:val="007618E0"/>
    <w:rsid w:val="007668A9"/>
    <w:rsid w:val="00774BA4"/>
    <w:rsid w:val="00775561"/>
    <w:rsid w:val="007A40F0"/>
    <w:rsid w:val="007B267C"/>
    <w:rsid w:val="007B5ECF"/>
    <w:rsid w:val="007C14BF"/>
    <w:rsid w:val="007C4983"/>
    <w:rsid w:val="007D5039"/>
    <w:rsid w:val="007F0115"/>
    <w:rsid w:val="007F1E87"/>
    <w:rsid w:val="00817625"/>
    <w:rsid w:val="00817783"/>
    <w:rsid w:val="00833BB0"/>
    <w:rsid w:val="00834DC6"/>
    <w:rsid w:val="00835266"/>
    <w:rsid w:val="00842381"/>
    <w:rsid w:val="00844AD3"/>
    <w:rsid w:val="00845AA3"/>
    <w:rsid w:val="00847A3F"/>
    <w:rsid w:val="00850F22"/>
    <w:rsid w:val="00857CE5"/>
    <w:rsid w:val="00865B15"/>
    <w:rsid w:val="00871BF0"/>
    <w:rsid w:val="00877A4C"/>
    <w:rsid w:val="00883767"/>
    <w:rsid w:val="00886523"/>
    <w:rsid w:val="008A09F2"/>
    <w:rsid w:val="008A3863"/>
    <w:rsid w:val="008B1F31"/>
    <w:rsid w:val="008E3CF7"/>
    <w:rsid w:val="008F69CF"/>
    <w:rsid w:val="00903655"/>
    <w:rsid w:val="0091318F"/>
    <w:rsid w:val="00923425"/>
    <w:rsid w:val="0092661B"/>
    <w:rsid w:val="009375CA"/>
    <w:rsid w:val="00950AEA"/>
    <w:rsid w:val="00960595"/>
    <w:rsid w:val="009614D5"/>
    <w:rsid w:val="00962C35"/>
    <w:rsid w:val="0098133A"/>
    <w:rsid w:val="00982135"/>
    <w:rsid w:val="009878E4"/>
    <w:rsid w:val="00991460"/>
    <w:rsid w:val="00991EAA"/>
    <w:rsid w:val="00994BA4"/>
    <w:rsid w:val="009A52DD"/>
    <w:rsid w:val="009B402C"/>
    <w:rsid w:val="009E4842"/>
    <w:rsid w:val="00A025CD"/>
    <w:rsid w:val="00A115E6"/>
    <w:rsid w:val="00A1522D"/>
    <w:rsid w:val="00A156A9"/>
    <w:rsid w:val="00A416F7"/>
    <w:rsid w:val="00A42F23"/>
    <w:rsid w:val="00A55550"/>
    <w:rsid w:val="00A8073C"/>
    <w:rsid w:val="00A82326"/>
    <w:rsid w:val="00A97414"/>
    <w:rsid w:val="00AA2BB3"/>
    <w:rsid w:val="00AB44AF"/>
    <w:rsid w:val="00AB73BB"/>
    <w:rsid w:val="00AD2062"/>
    <w:rsid w:val="00AE1AB4"/>
    <w:rsid w:val="00AF38B5"/>
    <w:rsid w:val="00AF6594"/>
    <w:rsid w:val="00AF7413"/>
    <w:rsid w:val="00B11586"/>
    <w:rsid w:val="00B117B8"/>
    <w:rsid w:val="00B24D6B"/>
    <w:rsid w:val="00B31367"/>
    <w:rsid w:val="00B362F2"/>
    <w:rsid w:val="00B514A5"/>
    <w:rsid w:val="00B82F7F"/>
    <w:rsid w:val="00B94883"/>
    <w:rsid w:val="00BB62FE"/>
    <w:rsid w:val="00BC3406"/>
    <w:rsid w:val="00BC4F32"/>
    <w:rsid w:val="00BC54F8"/>
    <w:rsid w:val="00BC6144"/>
    <w:rsid w:val="00BD3B44"/>
    <w:rsid w:val="00BE40BF"/>
    <w:rsid w:val="00BE4AEC"/>
    <w:rsid w:val="00BF52C2"/>
    <w:rsid w:val="00C00508"/>
    <w:rsid w:val="00C05126"/>
    <w:rsid w:val="00C068FA"/>
    <w:rsid w:val="00C12FA3"/>
    <w:rsid w:val="00C20F55"/>
    <w:rsid w:val="00C47F0E"/>
    <w:rsid w:val="00C70DE3"/>
    <w:rsid w:val="00C74245"/>
    <w:rsid w:val="00C8000E"/>
    <w:rsid w:val="00C85773"/>
    <w:rsid w:val="00C8753F"/>
    <w:rsid w:val="00CA1283"/>
    <w:rsid w:val="00CB557A"/>
    <w:rsid w:val="00CC6AA9"/>
    <w:rsid w:val="00CC7FBF"/>
    <w:rsid w:val="00CD0F81"/>
    <w:rsid w:val="00CD2054"/>
    <w:rsid w:val="00CD3D79"/>
    <w:rsid w:val="00CF3435"/>
    <w:rsid w:val="00D0534F"/>
    <w:rsid w:val="00D16F6D"/>
    <w:rsid w:val="00D5398E"/>
    <w:rsid w:val="00D628A4"/>
    <w:rsid w:val="00D708DF"/>
    <w:rsid w:val="00D81F26"/>
    <w:rsid w:val="00D842D5"/>
    <w:rsid w:val="00D85FA0"/>
    <w:rsid w:val="00D92FFA"/>
    <w:rsid w:val="00DA7ED3"/>
    <w:rsid w:val="00DC56F4"/>
    <w:rsid w:val="00DE288D"/>
    <w:rsid w:val="00E33BC8"/>
    <w:rsid w:val="00E4263B"/>
    <w:rsid w:val="00E55B00"/>
    <w:rsid w:val="00E7538B"/>
    <w:rsid w:val="00EA3AD5"/>
    <w:rsid w:val="00EA5CD3"/>
    <w:rsid w:val="00EC45E1"/>
    <w:rsid w:val="00EC5A23"/>
    <w:rsid w:val="00ED5494"/>
    <w:rsid w:val="00EF5D4F"/>
    <w:rsid w:val="00F00522"/>
    <w:rsid w:val="00F064BF"/>
    <w:rsid w:val="00F30A9B"/>
    <w:rsid w:val="00F30CDA"/>
    <w:rsid w:val="00F33DFF"/>
    <w:rsid w:val="00F407A0"/>
    <w:rsid w:val="00F57EBF"/>
    <w:rsid w:val="00FA4A59"/>
    <w:rsid w:val="00FB45F0"/>
    <w:rsid w:val="00FD0C38"/>
    <w:rsid w:val="00FD47C1"/>
    <w:rsid w:val="00FF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 w:type="paragraph" w:styleId="Revision">
    <w:name w:val="Revision"/>
    <w:hidden/>
    <w:uiPriority w:val="99"/>
    <w:semiHidden/>
    <w:rsid w:val="009878E4"/>
    <w:pPr>
      <w:spacing w:after="0" w:line="240" w:lineRule="auto"/>
    </w:pPr>
  </w:style>
  <w:style w:type="paragraph" w:styleId="Caption">
    <w:name w:val="caption"/>
    <w:basedOn w:val="Normal"/>
    <w:next w:val="Normal"/>
    <w:uiPriority w:val="35"/>
    <w:unhideWhenUsed/>
    <w:qFormat/>
    <w:rsid w:val="00B82F7F"/>
    <w:pPr>
      <w:spacing w:after="200" w:line="240" w:lineRule="auto"/>
    </w:pPr>
    <w:rPr>
      <w:i/>
      <w:iCs/>
      <w:color w:val="0E2841" w:themeColor="text2"/>
      <w:sz w:val="18"/>
      <w:szCs w:val="18"/>
    </w:rPr>
  </w:style>
  <w:style w:type="table" w:styleId="TableGrid">
    <w:name w:val="Table Grid"/>
    <w:basedOn w:val="TableNormal"/>
    <w:uiPriority w:val="39"/>
    <w:rsid w:val="00D85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0FFE"/>
    <w:rPr>
      <w:color w:val="467886" w:themeColor="hyperlink"/>
      <w:u w:val="single"/>
    </w:rPr>
  </w:style>
  <w:style w:type="character" w:styleId="UnresolvedMention">
    <w:name w:val="Unresolved Mention"/>
    <w:basedOn w:val="DefaultParagraphFont"/>
    <w:uiPriority w:val="99"/>
    <w:semiHidden/>
    <w:unhideWhenUsed/>
    <w:rsid w:val="00170FFE"/>
    <w:rPr>
      <w:color w:val="605E5C"/>
      <w:shd w:val="clear" w:color="auto" w:fill="E1DFDD"/>
    </w:rPr>
  </w:style>
  <w:style w:type="paragraph" w:styleId="EndnoteText">
    <w:name w:val="endnote text"/>
    <w:basedOn w:val="Normal"/>
    <w:link w:val="EndnoteTextChar"/>
    <w:uiPriority w:val="99"/>
    <w:semiHidden/>
    <w:unhideWhenUsed/>
    <w:rsid w:val="008B1F3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B1F31"/>
    <w:rPr>
      <w:sz w:val="20"/>
      <w:szCs w:val="20"/>
    </w:rPr>
  </w:style>
  <w:style w:type="character" w:styleId="EndnoteReference">
    <w:name w:val="endnote reference"/>
    <w:basedOn w:val="DefaultParagraphFont"/>
    <w:uiPriority w:val="99"/>
    <w:semiHidden/>
    <w:unhideWhenUsed/>
    <w:rsid w:val="008B1F31"/>
    <w:rPr>
      <w:vertAlign w:val="superscript"/>
    </w:rPr>
  </w:style>
  <w:style w:type="paragraph" w:styleId="FootnoteText">
    <w:name w:val="footnote text"/>
    <w:basedOn w:val="Normal"/>
    <w:link w:val="FootnoteTextChar"/>
    <w:uiPriority w:val="99"/>
    <w:semiHidden/>
    <w:unhideWhenUsed/>
    <w:rsid w:val="004309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09E8"/>
    <w:rPr>
      <w:sz w:val="20"/>
      <w:szCs w:val="20"/>
    </w:rPr>
  </w:style>
  <w:style w:type="character" w:styleId="FootnoteReference">
    <w:name w:val="footnote reference"/>
    <w:basedOn w:val="DefaultParagraphFont"/>
    <w:uiPriority w:val="99"/>
    <w:semiHidden/>
    <w:unhideWhenUsed/>
    <w:rsid w:val="004309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1504</TotalTime>
  <Pages>27</Pages>
  <Words>8484</Words>
  <Characters>54044</Characters>
  <Application>Microsoft Office Word</Application>
  <DocSecurity>0</DocSecurity>
  <Lines>1000</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19</cp:revision>
  <cp:lastPrinted>2026-04-13T15:49:00Z</cp:lastPrinted>
  <dcterms:created xsi:type="dcterms:W3CDTF">2026-04-25T02:48:00Z</dcterms:created>
  <dcterms:modified xsi:type="dcterms:W3CDTF">2026-04-26T03:31:00Z</dcterms:modified>
</cp:coreProperties>
</file>