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F8E48" w14:textId="77777777" w:rsidR="005C00BD" w:rsidRDefault="00000000">
      <w:pPr>
        <w:pStyle w:val="Title"/>
      </w:pPr>
      <w:r>
        <w:t>Technical Appendix: Ten-Parameter Cascade Derivation</w:t>
      </w:r>
    </w:p>
    <w:p w14:paraId="509F8E49" w14:textId="77777777" w:rsidR="005C00BD" w:rsidRDefault="00000000">
      <w:pPr>
        <w:pStyle w:val="Heading1"/>
      </w:pPr>
      <w:bookmarkStart w:id="0" w:name="Xe5d3c74ab12b8dea6470cd5e2ca5f1b15655e19"/>
      <w:r>
        <w:t>Technical Appendix: Ten-Parameter Cascade Derivation</w:t>
      </w:r>
    </w:p>
    <w:p w14:paraId="509F8E4A" w14:textId="77777777" w:rsidR="005C00BD" w:rsidRDefault="00000000">
      <w:pPr>
        <w:pStyle w:val="FirstParagraph"/>
        <w:pBdr>
          <w:bottom w:val="single" w:sz="12" w:space="1" w:color="auto"/>
        </w:pBdr>
      </w:pPr>
      <w:r>
        <w:rPr>
          <w:i/>
          <w:iCs/>
        </w:rPr>
        <w:t>This document provides the complete analytical derivation, empirical grounding, and source documentation for every parameter in the ten-parameter multiplicative cascade model of spatial migration feasibility. It is intended as the authoritative companion to the Nature Energy manuscript, providing the full reasoning chain behind each assumption for reviewer verification.</w:t>
      </w:r>
    </w:p>
    <w:p w14:paraId="509F8E4C" w14:textId="77777777" w:rsidR="005C00BD" w:rsidRPr="000B2C9D" w:rsidRDefault="00000000" w:rsidP="000B2C9D">
      <w:pPr>
        <w:rPr>
          <w:b/>
          <w:bCs/>
          <w:sz w:val="28"/>
          <w:szCs w:val="28"/>
        </w:rPr>
      </w:pPr>
      <w:bookmarkStart w:id="1" w:name="framework-overview"/>
      <w:r w:rsidRPr="000B2C9D">
        <w:rPr>
          <w:b/>
          <w:bCs/>
          <w:sz w:val="28"/>
          <w:szCs w:val="28"/>
        </w:rPr>
        <w:t>1. Framework Overview</w:t>
      </w:r>
    </w:p>
    <w:p w14:paraId="509F8E4D" w14:textId="77777777" w:rsidR="005C00BD" w:rsidRDefault="00000000">
      <w:pPr>
        <w:pStyle w:val="FirstParagraph"/>
      </w:pPr>
      <w:r>
        <w:t>The cascade decomposes the conditions required for cross-region inference workload migration into ten independently estimable parameters:</w:t>
      </w:r>
    </w:p>
    <w:p w14:paraId="509F8E4E" w14:textId="77777777" w:rsidR="005C00BD" w:rsidRDefault="00000000">
      <w:pPr>
        <w:pStyle w:val="BodyText"/>
      </w:pPr>
      <w:r>
        <w:rPr>
          <w:b/>
          <w:bCs/>
        </w:rPr>
        <w:t>Effective Spatial Fraction = S1 × S2 × S3 × D1 × D2 × D3 × D4 × D5 × E1 × E2</w:t>
      </w:r>
    </w:p>
    <w:p w14:paraId="509F8E4F" w14:textId="77777777" w:rsidR="005C00BD" w:rsidRDefault="00000000">
      <w:pPr>
        <w:pStyle w:val="BodyText"/>
      </w:pPr>
      <w:r>
        <w:rPr>
          <w:b/>
          <w:bCs/>
        </w:rPr>
        <w:t>Commitment Depth = Spatial + FLEX_FRAC × (S1 − Spatial)</w:t>
      </w:r>
    </w:p>
    <w:p w14:paraId="344A81AD" w14:textId="72E9980D" w:rsidR="004A1164" w:rsidRDefault="004A1164">
      <w:pPr>
        <w:pStyle w:val="BodyText"/>
      </w:pPr>
      <w:r w:rsidRPr="004A1164">
        <w:t>where FLEX_FRAC = 0.25 is adopted as a conservative ceiling for the aggregate software-orchestrated flexibility fraction at the GPU cluster level, consistent with the 25% power reduction sustained for three hours on a 256-GPU cluster in Phoenix by Colangelo et al.</w:t>
      </w:r>
      <w:r w:rsidR="00586219">
        <w:t xml:space="preserve"> </w:t>
      </w:r>
      <w:r w:rsidRPr="004A1164">
        <w:t>(Nat Energy, 2026).</w:t>
      </w:r>
      <w:r w:rsidR="00586219">
        <w:rPr>
          <w:rStyle w:val="FootnoteReference"/>
        </w:rPr>
        <w:footnoteReference w:id="1"/>
      </w:r>
      <w:r w:rsidRPr="004A1164">
        <w:t xml:space="preserve"> The demonstrated reduction was achieved via a combination of control knobs — including DVFS (nvidia-smi power capping), job pausing, and GPU resource reallocation — rather than any single technique, and reflects a utility-set target rather than a measured physical ceiling.</w:t>
      </w:r>
      <w:r>
        <w:t xml:space="preserve"> </w:t>
      </w:r>
    </w:p>
    <w:p w14:paraId="509F8E51" w14:textId="6BAF0472" w:rsidR="005C00BD" w:rsidRDefault="00000000">
      <w:pPr>
        <w:pStyle w:val="BodyText"/>
      </w:pPr>
      <w:r>
        <w:t>The three stages of the cascade reflect the logical sequence of spatial migration:</w:t>
      </w:r>
    </w:p>
    <w:p w14:paraId="509F8E52" w14:textId="77777777" w:rsidR="005C00BD" w:rsidRDefault="00000000">
      <w:pPr>
        <w:pStyle w:val="Compact"/>
        <w:numPr>
          <w:ilvl w:val="0"/>
          <w:numId w:val="2"/>
        </w:numPr>
      </w:pPr>
      <w:r>
        <w:rPr>
          <w:b/>
          <w:bCs/>
        </w:rPr>
        <w:t>Source-side (S1, S2, S3):</w:t>
      </w:r>
      <w:r>
        <w:t xml:space="preserve"> </w:t>
      </w:r>
      <w:r w:rsidRPr="005A1171">
        <w:rPr>
          <w:i/>
          <w:iCs/>
        </w:rPr>
        <w:t>Is the workload a migration candidate, is it geographically unconstrained, and can it complete within the dispatch window?</w:t>
      </w:r>
    </w:p>
    <w:p w14:paraId="509F8E53" w14:textId="77777777" w:rsidR="005C00BD" w:rsidRDefault="00000000">
      <w:pPr>
        <w:pStyle w:val="Compact"/>
        <w:numPr>
          <w:ilvl w:val="0"/>
          <w:numId w:val="2"/>
        </w:numPr>
      </w:pPr>
      <w:r>
        <w:rPr>
          <w:b/>
          <w:bCs/>
        </w:rPr>
        <w:t>Destination-side (D1, D2, D3, D4, D5):</w:t>
      </w:r>
      <w:r>
        <w:t xml:space="preserve"> </w:t>
      </w:r>
      <w:r w:rsidRPr="005A1171">
        <w:rPr>
          <w:i/>
          <w:iCs/>
        </w:rPr>
        <w:t>Is an unstressed destination available, does it have GPU headroom, is the hardware compatible, is it running inference, and are model weights pre-staged?</w:t>
      </w:r>
    </w:p>
    <w:p w14:paraId="509F8E54" w14:textId="77777777" w:rsidR="005C00BD" w:rsidRDefault="00000000">
      <w:pPr>
        <w:pStyle w:val="Compact"/>
        <w:numPr>
          <w:ilvl w:val="0"/>
          <w:numId w:val="2"/>
        </w:numPr>
      </w:pPr>
      <w:r>
        <w:rPr>
          <w:b/>
          <w:bCs/>
        </w:rPr>
        <w:t>Execution (E1, E2):</w:t>
      </w:r>
      <w:r>
        <w:t xml:space="preserve"> </w:t>
      </w:r>
      <w:r w:rsidRPr="005A1171">
        <w:rPr>
          <w:i/>
          <w:iCs/>
        </w:rPr>
        <w:t>Does the routing operation succeed, and is there sufficient bandwidth?</w:t>
      </w:r>
    </w:p>
    <w:p w14:paraId="509F8E55" w14:textId="77777777" w:rsidR="005C00BD" w:rsidRDefault="00000000">
      <w:pPr>
        <w:pStyle w:val="FirstParagraph"/>
      </w:pPr>
      <w:r>
        <w:lastRenderedPageBreak/>
        <w:t>Each parameter is an independent filter. A workload must pass all ten to contribute to spatial migration. The product of all ten is the effective spatial fraction — the share of facility load that disappears from the source node during a capacity market dispatch event.</w:t>
      </w:r>
    </w:p>
    <w:p w14:paraId="509F8E56" w14:textId="77777777" w:rsidR="005C00BD" w:rsidRPr="004D33B4" w:rsidRDefault="00000000" w:rsidP="004D33B4">
      <w:pPr>
        <w:rPr>
          <w:b/>
          <w:bCs/>
        </w:rPr>
      </w:pPr>
      <w:bookmarkStart w:id="2" w:name="commitment-depth-formula"/>
      <w:r w:rsidRPr="004D33B4">
        <w:rPr>
          <w:b/>
          <w:bCs/>
        </w:rPr>
        <w:t>Commitment Depth Formula</w:t>
      </w:r>
    </w:p>
    <w:p w14:paraId="509F8E57" w14:textId="77777777" w:rsidR="005C00BD" w:rsidRDefault="00000000">
      <w:pPr>
        <w:pStyle w:val="FirstParagraph"/>
      </w:pPr>
      <w:r>
        <w:t>The commitment depth formula applies DVFS only to the compute-amenable portion of facility load (the S1 envelope):</w:t>
      </w:r>
    </w:p>
    <w:p w14:paraId="509F8E58" w14:textId="77777777" w:rsidR="005C00BD" w:rsidRDefault="00000000">
      <w:pPr>
        <w:pStyle w:val="BlockText"/>
      </w:pPr>
      <w:r>
        <w:t>Commitment Depth = Spatial + FLEX_FRAC × (S1 − Spatial)</w:t>
      </w:r>
    </w:p>
    <w:p w14:paraId="509F8E5A" w14:textId="7E60B4A4" w:rsidR="005C00BD" w:rsidRDefault="00000000">
      <w:pPr>
        <w:pStyle w:val="BodyText"/>
      </w:pPr>
      <w:r>
        <w:t xml:space="preserve">The </w:t>
      </w:r>
      <w:r w:rsidR="00586219">
        <w:t>flex</w:t>
      </w:r>
      <w:r>
        <w:t>-only floor (no spatial migration at all) is FLEX_FRAC × S1 = 0.25 × 0.70 = 17.5%. This is the minimum commitment depth achievable by any inference-dominant facility through local power management alone, without any spatial migration.</w:t>
      </w:r>
    </w:p>
    <w:p w14:paraId="509F8E5B" w14:textId="77777777" w:rsidR="005C00BD" w:rsidRPr="004D33B4" w:rsidRDefault="00000000" w:rsidP="004D33B4">
      <w:pPr>
        <w:rPr>
          <w:b/>
          <w:bCs/>
        </w:rPr>
      </w:pPr>
      <w:bookmarkStart w:id="3" w:name="analysis-scope"/>
      <w:bookmarkEnd w:id="2"/>
      <w:r w:rsidRPr="004D33B4">
        <w:rPr>
          <w:b/>
          <w:bCs/>
        </w:rPr>
        <w:t>Analysis Scope</w:t>
      </w:r>
    </w:p>
    <w:p w14:paraId="509F8E5C" w14:textId="57AD72DF" w:rsidR="005C00BD" w:rsidRDefault="00000000">
      <w:pPr>
        <w:pStyle w:val="FirstParagraph"/>
      </w:pPr>
      <w:r>
        <w:t xml:space="preserve">The cascade is scoped to </w:t>
      </w:r>
      <w:r w:rsidRPr="004D33B4">
        <w:t>inference-dominant facilities</w:t>
      </w:r>
      <w:r>
        <w:t xml:space="preserve"> (S1 = 0.70 fixed). S1 is a scope-defining parameter, not a stochastic variable </w:t>
      </w:r>
      <w:r w:rsidR="00586219">
        <w:t>and</w:t>
      </w:r>
      <w:r>
        <w:t xml:space="preserve"> is held fixed rather than drawn in the Monte Carlo. The rationale:</w:t>
      </w:r>
    </w:p>
    <w:p w14:paraId="509F8E5D" w14:textId="723568B4" w:rsidR="005C00BD" w:rsidRDefault="00000000">
      <w:pPr>
        <w:pStyle w:val="Compact"/>
        <w:numPr>
          <w:ilvl w:val="0"/>
          <w:numId w:val="3"/>
        </w:numPr>
      </w:pPr>
      <w:r>
        <w:t>Inference is the fastest-growing segment of data center compute (35% CAGR per McKinsey December 2025), making inference-dominant facilities the likely marginal participants in any DR program.</w:t>
      </w:r>
      <w:r w:rsidR="00AB1883">
        <w:rPr>
          <w:rStyle w:val="FootnoteReference"/>
        </w:rPr>
        <w:footnoteReference w:id="2"/>
      </w:r>
    </w:p>
    <w:p w14:paraId="509F8E5E" w14:textId="77777777" w:rsidR="005C00BD" w:rsidRDefault="00000000">
      <w:pPr>
        <w:pStyle w:val="Compact"/>
        <w:numPr>
          <w:ilvl w:val="0"/>
          <w:numId w:val="3"/>
        </w:numPr>
      </w:pPr>
      <w:r>
        <w:t>The empirical grounding (production traces, published measurements) is strongest for inference workloads.</w:t>
      </w:r>
    </w:p>
    <w:p w14:paraId="509F8E5F" w14:textId="77777777" w:rsidR="005C00BD" w:rsidRDefault="00000000">
      <w:pPr>
        <w:pStyle w:val="Compact"/>
        <w:numPr>
          <w:ilvl w:val="0"/>
          <w:numId w:val="3"/>
        </w:numPr>
      </w:pPr>
      <w:r>
        <w:t>Training-heavy facilities participate through DVFS only (the 17.5% floor), not through spatial migration.</w:t>
      </w:r>
    </w:p>
    <w:p w14:paraId="509F8E61" w14:textId="388A3AD1" w:rsidR="005C00BD" w:rsidRDefault="00000000" w:rsidP="00142361">
      <w:pPr>
        <w:pStyle w:val="FirstParagraph"/>
        <w:pBdr>
          <w:bottom w:val="single" w:sz="12" w:space="1" w:color="auto"/>
        </w:pBdr>
      </w:pPr>
      <w:r>
        <w:t>Composition uncertainty across facility archetypes (inference-dominant vs. training-heavy vs. mixed) is not modeled in the current framework. If participation is driven by regulatory mandate rather than voluntary optimization, a broader mix of facility types would participate and S1 would need to be treated as a stochastic parameter with its own distribution.</w:t>
      </w:r>
    </w:p>
    <w:p w14:paraId="509F8E62" w14:textId="77777777" w:rsidR="005C00BD" w:rsidRPr="004D33B4" w:rsidRDefault="00000000" w:rsidP="004D33B4">
      <w:pPr>
        <w:rPr>
          <w:b/>
          <w:bCs/>
          <w:sz w:val="28"/>
          <w:szCs w:val="28"/>
        </w:rPr>
      </w:pPr>
      <w:bookmarkStart w:id="4" w:name="source-side-parameters"/>
      <w:bookmarkEnd w:id="1"/>
      <w:bookmarkEnd w:id="3"/>
      <w:r w:rsidRPr="004D33B4">
        <w:rPr>
          <w:b/>
          <w:bCs/>
          <w:sz w:val="28"/>
          <w:szCs w:val="28"/>
        </w:rPr>
        <w:t>2. Source-Side Parameters</w:t>
      </w:r>
    </w:p>
    <w:p w14:paraId="509F8E63" w14:textId="77777777" w:rsidR="005C00BD" w:rsidRPr="004D33B4" w:rsidRDefault="00000000" w:rsidP="004D33B4">
      <w:pPr>
        <w:rPr>
          <w:b/>
          <w:bCs/>
        </w:rPr>
      </w:pPr>
      <w:bookmarkStart w:id="5" w:name="s1-workload-candidacy"/>
      <w:r w:rsidRPr="004D33B4">
        <w:rPr>
          <w:b/>
          <w:bCs/>
        </w:rPr>
        <w:t>S1: Workload Candidacy</w:t>
      </w:r>
    </w:p>
    <w:tbl>
      <w:tblPr>
        <w:tblStyle w:val="Table"/>
        <w:tblW w:w="8807" w:type="dxa"/>
        <w:tblLook w:val="0020" w:firstRow="1" w:lastRow="0" w:firstColumn="0" w:lastColumn="0" w:noHBand="0" w:noVBand="0"/>
      </w:tblPr>
      <w:tblGrid>
        <w:gridCol w:w="4014"/>
        <w:gridCol w:w="4793"/>
      </w:tblGrid>
      <w:tr w:rsidR="005C00BD" w14:paraId="509F8E66" w14:textId="77777777" w:rsidTr="004D33B4">
        <w:trPr>
          <w:cnfStyle w:val="100000000000" w:firstRow="1" w:lastRow="0" w:firstColumn="0" w:lastColumn="0" w:oddVBand="0" w:evenVBand="0" w:oddHBand="0" w:evenHBand="0" w:firstRowFirstColumn="0" w:firstRowLastColumn="0" w:lastRowFirstColumn="0" w:lastRowLastColumn="0"/>
          <w:trHeight w:val="356"/>
          <w:tblHeader/>
        </w:trPr>
        <w:tc>
          <w:tcPr>
            <w:tcW w:w="0" w:type="auto"/>
          </w:tcPr>
          <w:p w14:paraId="509F8E64" w14:textId="77777777" w:rsidR="005C00BD" w:rsidRDefault="00000000">
            <w:pPr>
              <w:pStyle w:val="Compact"/>
            </w:pPr>
            <w:r>
              <w:lastRenderedPageBreak/>
              <w:t>Attribute</w:t>
            </w:r>
          </w:p>
        </w:tc>
        <w:tc>
          <w:tcPr>
            <w:tcW w:w="0" w:type="auto"/>
          </w:tcPr>
          <w:p w14:paraId="509F8E65" w14:textId="77777777" w:rsidR="005C00BD" w:rsidRDefault="00000000">
            <w:pPr>
              <w:pStyle w:val="Compact"/>
            </w:pPr>
            <w:r>
              <w:t>Value</w:t>
            </w:r>
          </w:p>
        </w:tc>
      </w:tr>
      <w:tr w:rsidR="005C00BD" w14:paraId="509F8E69" w14:textId="77777777" w:rsidTr="004D33B4">
        <w:trPr>
          <w:trHeight w:val="364"/>
        </w:trPr>
        <w:tc>
          <w:tcPr>
            <w:tcW w:w="0" w:type="auto"/>
          </w:tcPr>
          <w:p w14:paraId="509F8E67" w14:textId="77777777" w:rsidR="005C00BD" w:rsidRDefault="00000000">
            <w:pPr>
              <w:pStyle w:val="Compact"/>
            </w:pPr>
            <w:r>
              <w:t>Central value</w:t>
            </w:r>
          </w:p>
        </w:tc>
        <w:tc>
          <w:tcPr>
            <w:tcW w:w="0" w:type="auto"/>
          </w:tcPr>
          <w:p w14:paraId="509F8E68" w14:textId="77777777" w:rsidR="005C00BD" w:rsidRDefault="00000000">
            <w:pPr>
              <w:pStyle w:val="Compact"/>
            </w:pPr>
            <w:r>
              <w:t>0.70 (fixed)</w:t>
            </w:r>
          </w:p>
        </w:tc>
      </w:tr>
      <w:tr w:rsidR="005C00BD" w14:paraId="509F8E6C" w14:textId="77777777" w:rsidTr="004D33B4">
        <w:trPr>
          <w:trHeight w:val="356"/>
        </w:trPr>
        <w:tc>
          <w:tcPr>
            <w:tcW w:w="0" w:type="auto"/>
          </w:tcPr>
          <w:p w14:paraId="509F8E6A" w14:textId="77777777" w:rsidR="005C00BD" w:rsidRDefault="00000000">
            <w:pPr>
              <w:pStyle w:val="Compact"/>
            </w:pPr>
            <w:r>
              <w:t>Range</w:t>
            </w:r>
          </w:p>
        </w:tc>
        <w:tc>
          <w:tcPr>
            <w:tcW w:w="0" w:type="auto"/>
          </w:tcPr>
          <w:p w14:paraId="509F8E6B" w14:textId="77777777" w:rsidR="005C00BD" w:rsidRDefault="00000000">
            <w:pPr>
              <w:pStyle w:val="Compact"/>
            </w:pPr>
            <w:r>
              <w:t>Not drawn; scope-defining</w:t>
            </w:r>
          </w:p>
        </w:tc>
      </w:tr>
      <w:tr w:rsidR="005C00BD" w14:paraId="509F8E6F" w14:textId="77777777" w:rsidTr="004D33B4">
        <w:trPr>
          <w:trHeight w:val="364"/>
        </w:trPr>
        <w:tc>
          <w:tcPr>
            <w:tcW w:w="0" w:type="auto"/>
          </w:tcPr>
          <w:p w14:paraId="509F8E6D" w14:textId="77777777" w:rsidR="005C00BD" w:rsidRDefault="00000000">
            <w:pPr>
              <w:pStyle w:val="Compact"/>
            </w:pPr>
            <w:r>
              <w:t>Grounding quality</w:t>
            </w:r>
          </w:p>
        </w:tc>
        <w:tc>
          <w:tcPr>
            <w:tcW w:w="0" w:type="auto"/>
          </w:tcPr>
          <w:p w14:paraId="509F8E6E" w14:textId="77777777" w:rsidR="005C00BD" w:rsidRDefault="00000000">
            <w:pPr>
              <w:pStyle w:val="Compact"/>
            </w:pPr>
            <w:r>
              <w:t>STRUCTURAL</w:t>
            </w:r>
          </w:p>
        </w:tc>
      </w:tr>
      <w:tr w:rsidR="005C00BD" w14:paraId="509F8E72" w14:textId="77777777" w:rsidTr="004D33B4">
        <w:trPr>
          <w:trHeight w:val="356"/>
        </w:trPr>
        <w:tc>
          <w:tcPr>
            <w:tcW w:w="0" w:type="auto"/>
          </w:tcPr>
          <w:p w14:paraId="509F8E70" w14:textId="77777777" w:rsidR="005C00BD" w:rsidRDefault="00000000">
            <w:pPr>
              <w:pStyle w:val="Compact"/>
            </w:pPr>
            <w:r>
              <w:t>Variance contribution</w:t>
            </w:r>
          </w:p>
        </w:tc>
        <w:tc>
          <w:tcPr>
            <w:tcW w:w="0" w:type="auto"/>
          </w:tcPr>
          <w:p w14:paraId="509F8E71" w14:textId="77777777" w:rsidR="005C00BD" w:rsidRDefault="00000000">
            <w:pPr>
              <w:pStyle w:val="Compact"/>
            </w:pPr>
            <w:r>
              <w:t>0% (fixed)</w:t>
            </w:r>
          </w:p>
        </w:tc>
      </w:tr>
    </w:tbl>
    <w:p w14:paraId="509F8E73" w14:textId="2D7001CE" w:rsidR="005C00BD" w:rsidRPr="004D33B4" w:rsidRDefault="00142361" w:rsidP="004D33B4">
      <w:pPr>
        <w:rPr>
          <w:i/>
          <w:iCs/>
        </w:rPr>
      </w:pPr>
      <w:bookmarkStart w:id="6" w:name="what-s1-measures"/>
      <w:r>
        <w:rPr>
          <w:i/>
          <w:iCs/>
        </w:rPr>
        <w:br/>
      </w:r>
      <w:r w:rsidRPr="004D33B4">
        <w:rPr>
          <w:i/>
          <w:iCs/>
        </w:rPr>
        <w:t>What S1 Measures</w:t>
      </w:r>
    </w:p>
    <w:p w14:paraId="509F8E74" w14:textId="77777777" w:rsidR="005C00BD" w:rsidRDefault="00000000">
      <w:pPr>
        <w:pStyle w:val="FirstParagraph"/>
      </w:pPr>
      <w:r>
        <w:t xml:space="preserve">S1 answers: </w:t>
      </w:r>
      <w:r>
        <w:rPr>
          <w:i/>
          <w:iCs/>
        </w:rPr>
        <w:t>of the compute running at a facility, what fraction is a workload type architecturally capable of spatial migration?</w:t>
      </w:r>
    </w:p>
    <w:p w14:paraId="509F8E75" w14:textId="77777777" w:rsidR="005C00BD" w:rsidRDefault="00000000">
      <w:pPr>
        <w:pStyle w:val="BodyText"/>
      </w:pPr>
      <w:r>
        <w:t>S1 is a classification parameter. It selects the inference-eligible share of facility compute; all subsequent cascade parameters (S2 through E2) apply exclusively to this selected fraction. S1 does not assess whether a specific workload instance will actually execute migration — that is captured by S2 through E2.</w:t>
      </w:r>
    </w:p>
    <w:p w14:paraId="509F8E76" w14:textId="77777777" w:rsidR="005C00BD" w:rsidRPr="00142361" w:rsidRDefault="00000000" w:rsidP="00142361">
      <w:pPr>
        <w:rPr>
          <w:i/>
          <w:iCs/>
        </w:rPr>
      </w:pPr>
      <w:bookmarkStart w:id="7" w:name="ai-era-workload-composition"/>
      <w:bookmarkEnd w:id="6"/>
      <w:r w:rsidRPr="00142361">
        <w:rPr>
          <w:i/>
          <w:iCs/>
        </w:rPr>
        <w:t>AI-Era Workload Composition</w:t>
      </w:r>
    </w:p>
    <w:p w14:paraId="509F8E77" w14:textId="77777777" w:rsidR="005C00BD" w:rsidRDefault="00000000">
      <w:pPr>
        <w:pStyle w:val="FirstParagraph"/>
      </w:pPr>
      <w:r>
        <w:t>The workload composition of modern data centers has shifted dramatically toward inference, which has fundamentally different flexibility characteristics than traditional batch computing.</w:t>
      </w:r>
    </w:p>
    <w:p w14:paraId="509F8E78" w14:textId="77777777" w:rsidR="005C00BD" w:rsidRDefault="00000000">
      <w:pPr>
        <w:pStyle w:val="BodyText"/>
      </w:pPr>
      <w:r>
        <w:rPr>
          <w:b/>
          <w:bCs/>
        </w:rPr>
        <w:t>McKinsey Data Center Demand Model (December 2025):</w:t>
      </w:r>
    </w:p>
    <w:tbl>
      <w:tblPr>
        <w:tblStyle w:val="Table"/>
        <w:tblW w:w="0" w:type="auto"/>
        <w:tblLook w:val="0020" w:firstRow="1" w:lastRow="0" w:firstColumn="0" w:lastColumn="0" w:noHBand="0" w:noVBand="0"/>
      </w:tblPr>
      <w:tblGrid>
        <w:gridCol w:w="2290"/>
        <w:gridCol w:w="1552"/>
        <w:gridCol w:w="1795"/>
        <w:gridCol w:w="1699"/>
        <w:gridCol w:w="1354"/>
      </w:tblGrid>
      <w:tr w:rsidR="005C00BD" w14:paraId="509F8E7E"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8E79" w14:textId="77777777" w:rsidR="005C00BD" w:rsidRDefault="00000000">
            <w:pPr>
              <w:pStyle w:val="Compact"/>
            </w:pPr>
            <w:r>
              <w:t>Year</w:t>
            </w:r>
          </w:p>
        </w:tc>
        <w:tc>
          <w:tcPr>
            <w:tcW w:w="0" w:type="auto"/>
          </w:tcPr>
          <w:p w14:paraId="509F8E7A" w14:textId="77777777" w:rsidR="005C00BD" w:rsidRDefault="00000000">
            <w:pPr>
              <w:pStyle w:val="Compact"/>
            </w:pPr>
            <w:r>
              <w:t>Non-AI (GW)</w:t>
            </w:r>
          </w:p>
        </w:tc>
        <w:tc>
          <w:tcPr>
            <w:tcW w:w="0" w:type="auto"/>
          </w:tcPr>
          <w:p w14:paraId="509F8E7B" w14:textId="77777777" w:rsidR="005C00BD" w:rsidRDefault="00000000">
            <w:pPr>
              <w:pStyle w:val="Compact"/>
            </w:pPr>
            <w:r>
              <w:t>Inference (GW)</w:t>
            </w:r>
          </w:p>
        </w:tc>
        <w:tc>
          <w:tcPr>
            <w:tcW w:w="0" w:type="auto"/>
          </w:tcPr>
          <w:p w14:paraId="509F8E7C" w14:textId="77777777" w:rsidR="005C00BD" w:rsidRDefault="00000000">
            <w:pPr>
              <w:pStyle w:val="Compact"/>
            </w:pPr>
            <w:r>
              <w:t>Training (GW)</w:t>
            </w:r>
          </w:p>
        </w:tc>
        <w:tc>
          <w:tcPr>
            <w:tcW w:w="0" w:type="auto"/>
          </w:tcPr>
          <w:p w14:paraId="509F8E7D" w14:textId="77777777" w:rsidR="005C00BD" w:rsidRDefault="00000000">
            <w:pPr>
              <w:pStyle w:val="Compact"/>
            </w:pPr>
            <w:r>
              <w:t>Total (GW)</w:t>
            </w:r>
          </w:p>
        </w:tc>
      </w:tr>
      <w:tr w:rsidR="005C00BD" w14:paraId="509F8E84" w14:textId="77777777">
        <w:tc>
          <w:tcPr>
            <w:tcW w:w="0" w:type="auto"/>
          </w:tcPr>
          <w:p w14:paraId="509F8E7F" w14:textId="77777777" w:rsidR="005C00BD" w:rsidRDefault="00000000">
            <w:pPr>
              <w:pStyle w:val="Compact"/>
            </w:pPr>
            <w:r>
              <w:t>2025</w:t>
            </w:r>
          </w:p>
        </w:tc>
        <w:tc>
          <w:tcPr>
            <w:tcW w:w="0" w:type="auto"/>
          </w:tcPr>
          <w:p w14:paraId="509F8E80" w14:textId="77777777" w:rsidR="005C00BD" w:rsidRDefault="00000000">
            <w:pPr>
              <w:pStyle w:val="Compact"/>
            </w:pPr>
            <w:r>
              <w:t>38.3 (47%)</w:t>
            </w:r>
          </w:p>
        </w:tc>
        <w:tc>
          <w:tcPr>
            <w:tcW w:w="0" w:type="auto"/>
          </w:tcPr>
          <w:p w14:paraId="509F8E81" w14:textId="77777777" w:rsidR="005C00BD" w:rsidRDefault="00000000">
            <w:pPr>
              <w:pStyle w:val="Compact"/>
            </w:pPr>
            <w:r>
              <w:t>20.9 (25%)</w:t>
            </w:r>
          </w:p>
        </w:tc>
        <w:tc>
          <w:tcPr>
            <w:tcW w:w="0" w:type="auto"/>
          </w:tcPr>
          <w:p w14:paraId="509F8E82" w14:textId="77777777" w:rsidR="005C00BD" w:rsidRDefault="00000000">
            <w:pPr>
              <w:pStyle w:val="Compact"/>
            </w:pPr>
            <w:r>
              <w:t>23.1 (28%)</w:t>
            </w:r>
          </w:p>
        </w:tc>
        <w:tc>
          <w:tcPr>
            <w:tcW w:w="0" w:type="auto"/>
          </w:tcPr>
          <w:p w14:paraId="509F8E83" w14:textId="77777777" w:rsidR="005C00BD" w:rsidRDefault="00000000">
            <w:pPr>
              <w:pStyle w:val="Compact"/>
            </w:pPr>
            <w:r>
              <w:t>82.3</w:t>
            </w:r>
          </w:p>
        </w:tc>
      </w:tr>
      <w:tr w:rsidR="005C00BD" w14:paraId="509F8E8A" w14:textId="77777777">
        <w:tc>
          <w:tcPr>
            <w:tcW w:w="0" w:type="auto"/>
          </w:tcPr>
          <w:p w14:paraId="509F8E85" w14:textId="77777777" w:rsidR="005C00BD" w:rsidRDefault="00000000">
            <w:pPr>
              <w:pStyle w:val="Compact"/>
            </w:pPr>
            <w:r>
              <w:t>2027 (extrapolated)</w:t>
            </w:r>
          </w:p>
        </w:tc>
        <w:tc>
          <w:tcPr>
            <w:tcW w:w="0" w:type="auto"/>
          </w:tcPr>
          <w:p w14:paraId="509F8E86" w14:textId="77777777" w:rsidR="005C00BD" w:rsidRDefault="00000000">
            <w:pPr>
              <w:pStyle w:val="Compact"/>
            </w:pPr>
            <w:r>
              <w:t>~47 (38%)</w:t>
            </w:r>
          </w:p>
        </w:tc>
        <w:tc>
          <w:tcPr>
            <w:tcW w:w="0" w:type="auto"/>
          </w:tcPr>
          <w:p w14:paraId="509F8E87" w14:textId="77777777" w:rsidR="005C00BD" w:rsidRDefault="00000000">
            <w:pPr>
              <w:pStyle w:val="Compact"/>
            </w:pPr>
            <w:r>
              <w:t>~45 (36%)</w:t>
            </w:r>
          </w:p>
        </w:tc>
        <w:tc>
          <w:tcPr>
            <w:tcW w:w="0" w:type="auto"/>
          </w:tcPr>
          <w:p w14:paraId="509F8E88" w14:textId="77777777" w:rsidR="005C00BD" w:rsidRDefault="00000000">
            <w:pPr>
              <w:pStyle w:val="Compact"/>
            </w:pPr>
            <w:r>
              <w:t>~33 (26%)</w:t>
            </w:r>
          </w:p>
        </w:tc>
        <w:tc>
          <w:tcPr>
            <w:tcW w:w="0" w:type="auto"/>
          </w:tcPr>
          <w:p w14:paraId="509F8E89" w14:textId="77777777" w:rsidR="005C00BD" w:rsidRDefault="00000000">
            <w:pPr>
              <w:pStyle w:val="Compact"/>
            </w:pPr>
            <w:r>
              <w:t>~125</w:t>
            </w:r>
          </w:p>
        </w:tc>
      </w:tr>
      <w:tr w:rsidR="005C00BD" w14:paraId="509F8E90" w14:textId="77777777">
        <w:tc>
          <w:tcPr>
            <w:tcW w:w="0" w:type="auto"/>
          </w:tcPr>
          <w:p w14:paraId="509F8E8B" w14:textId="77777777" w:rsidR="005C00BD" w:rsidRDefault="00000000">
            <w:pPr>
              <w:pStyle w:val="Compact"/>
            </w:pPr>
            <w:r>
              <w:t>2030</w:t>
            </w:r>
          </w:p>
        </w:tc>
        <w:tc>
          <w:tcPr>
            <w:tcW w:w="0" w:type="auto"/>
          </w:tcPr>
          <w:p w14:paraId="509F8E8C" w14:textId="77777777" w:rsidR="005C00BD" w:rsidRDefault="00000000">
            <w:pPr>
              <w:pStyle w:val="Compact"/>
            </w:pPr>
            <w:r>
              <w:t>63.5 (29%)</w:t>
            </w:r>
          </w:p>
        </w:tc>
        <w:tc>
          <w:tcPr>
            <w:tcW w:w="0" w:type="auto"/>
          </w:tcPr>
          <w:p w14:paraId="509F8E8D" w14:textId="77777777" w:rsidR="005C00BD" w:rsidRDefault="00000000">
            <w:pPr>
              <w:pStyle w:val="Compact"/>
            </w:pPr>
            <w:r>
              <w:t>93.3 (43%)</w:t>
            </w:r>
          </w:p>
        </w:tc>
        <w:tc>
          <w:tcPr>
            <w:tcW w:w="0" w:type="auto"/>
          </w:tcPr>
          <w:p w14:paraId="509F8E8E" w14:textId="77777777" w:rsidR="005C00BD" w:rsidRDefault="00000000">
            <w:pPr>
              <w:pStyle w:val="Compact"/>
            </w:pPr>
            <w:r>
              <w:t>62.2 (28%)</w:t>
            </w:r>
          </w:p>
        </w:tc>
        <w:tc>
          <w:tcPr>
            <w:tcW w:w="0" w:type="auto"/>
          </w:tcPr>
          <w:p w14:paraId="509F8E8F" w14:textId="77777777" w:rsidR="005C00BD" w:rsidRDefault="00000000">
            <w:pPr>
              <w:pStyle w:val="Compact"/>
            </w:pPr>
            <w:r>
              <w:t>219.0</w:t>
            </w:r>
          </w:p>
        </w:tc>
      </w:tr>
    </w:tbl>
    <w:p w14:paraId="509F8E91" w14:textId="77777777" w:rsidR="005C00BD" w:rsidRDefault="00000000">
      <w:pPr>
        <w:pStyle w:val="BodyText"/>
      </w:pPr>
      <w:r>
        <w:rPr>
          <w:b/>
          <w:bCs/>
        </w:rPr>
        <w:t>Deloitte (November 2025):</w:t>
      </w:r>
      <w:r>
        <w:t xml:space="preserve"> Inference was approximately one-third of compute in 2023, roughly half in 2025, and projected two-thirds by 2026. Deloitte further notes that post-training and test-time scaling can be “relatively interruptible” compared to pre-training, which helps enable DR participation.</w:t>
      </w:r>
    </w:p>
    <w:p w14:paraId="509F8E92" w14:textId="77777777" w:rsidR="005C00BD" w:rsidRPr="00142361" w:rsidRDefault="00000000" w:rsidP="00142361">
      <w:pPr>
        <w:rPr>
          <w:i/>
          <w:iCs/>
        </w:rPr>
      </w:pPr>
      <w:bookmarkStart w:id="8" w:name="X19b2c2b65ff6a0b099f1c003177d5b01ca1c1ed"/>
      <w:bookmarkEnd w:id="7"/>
      <w:r w:rsidRPr="00142361">
        <w:rPr>
          <w:i/>
          <w:iCs/>
        </w:rPr>
        <w:t>Workload Taxonomy and Flexibility Profiles</w:t>
      </w:r>
    </w:p>
    <w:p w14:paraId="509F8E93" w14:textId="77777777" w:rsidR="005C00BD" w:rsidRDefault="00000000">
      <w:pPr>
        <w:pStyle w:val="FirstParagraph"/>
      </w:pPr>
      <w:r>
        <w:t>Rather than estimating S1 as a single universal constant, we define workload-type-specific flexibility profiles and compose them based on facility workload mixes. Four workload categories are relevant:</w:t>
      </w:r>
    </w:p>
    <w:p w14:paraId="509F8E94" w14:textId="77777777" w:rsidR="005C00BD" w:rsidRDefault="00000000">
      <w:pPr>
        <w:pStyle w:val="BodyText"/>
      </w:pPr>
      <w:r>
        <w:rPr>
          <w:b/>
          <w:bCs/>
        </w:rPr>
        <w:t>A. AI Inference (Stateless/Near-Stateless) — Architectural Spatial Flexibility: HIGH (0.80–0.95)</w:t>
      </w:r>
    </w:p>
    <w:p w14:paraId="509F8E95" w14:textId="77777777" w:rsidR="005C00BD" w:rsidRDefault="00000000">
      <w:pPr>
        <w:pStyle w:val="BodyText"/>
      </w:pPr>
      <w:r>
        <w:t>Inference workloads are stateless at the request level: no persistent GPU state between requests, model weights loaded but not modified, KV-cache per-request and ephemeral.</w:t>
      </w:r>
    </w:p>
    <w:p w14:paraId="79883054" w14:textId="77777777" w:rsidR="0076489A" w:rsidRDefault="00000000">
      <w:pPr>
        <w:pStyle w:val="BodyText"/>
      </w:pPr>
      <w:r>
        <w:t xml:space="preserve">Key evidence: </w:t>
      </w:r>
    </w:p>
    <w:p w14:paraId="70139DEC" w14:textId="77777777" w:rsidR="0076489A" w:rsidRDefault="00000000" w:rsidP="0076489A">
      <w:pPr>
        <w:pStyle w:val="BodyText"/>
        <w:numPr>
          <w:ilvl w:val="0"/>
          <w:numId w:val="25"/>
        </w:numPr>
      </w:pPr>
      <w:r>
        <w:lastRenderedPageBreak/>
        <w:t>McKinsey (December 2025) characterizes inference as “highly atomizable — individual tasks can be handled independently — unlike training, which relies on large-scale, tightly synchronized GPU clusters.”</w:t>
      </w:r>
    </w:p>
    <w:p w14:paraId="439E6836" w14:textId="77777777" w:rsidR="0076489A" w:rsidRDefault="00000000" w:rsidP="0076489A">
      <w:pPr>
        <w:pStyle w:val="BodyText"/>
        <w:numPr>
          <w:ilvl w:val="0"/>
          <w:numId w:val="25"/>
        </w:numPr>
      </w:pPr>
      <w:r>
        <w:t xml:space="preserve">Splitwise (Patel et al., ISCA 2024) demonstrates that even within a single inference request, prompt and decode phases can be split across different machines with KV-cache transfer, implying inter-facility request routing is architecturally trivial compared to intra-request splitting. </w:t>
      </w:r>
    </w:p>
    <w:p w14:paraId="0EC33FCC" w14:textId="77777777" w:rsidR="0076489A" w:rsidRDefault="007430A6" w:rsidP="0076489A">
      <w:pPr>
        <w:pStyle w:val="BodyText"/>
        <w:numPr>
          <w:ilvl w:val="0"/>
          <w:numId w:val="25"/>
        </w:numPr>
      </w:pPr>
      <w:r>
        <w:t>SageServe (Jaiswal et al., 2025) production O365 traces show strong diurnal periodicity (ρ ≈ 0.95) for interactive foreground inference, confirming load is predictable and schedulable.</w:t>
      </w:r>
    </w:p>
    <w:p w14:paraId="509F8E96" w14:textId="57526395" w:rsidR="005C00BD" w:rsidRDefault="00DE2175" w:rsidP="0076489A">
      <w:pPr>
        <w:pStyle w:val="BodyText"/>
        <w:numPr>
          <w:ilvl w:val="0"/>
          <w:numId w:val="25"/>
        </w:numPr>
      </w:pPr>
      <w:r>
        <w:t xml:space="preserve">DynamoLLM (Stojkovic et al., HPCA 2025) demonstrates inference clusters have significant load variation, with periods of low utilization where joint control of GPU frequency, model parallelism, and instance count achieves 52% energy savings at the service level. </w:t>
      </w:r>
    </w:p>
    <w:p w14:paraId="509F8E97" w14:textId="77777777" w:rsidR="005C00BD" w:rsidRDefault="00000000">
      <w:pPr>
        <w:pStyle w:val="BodyText"/>
      </w:pPr>
      <w:r>
        <w:t>The 0.80–0.95 range represents the architectural ceiling on spatial flexibility: the fraction of inference compute that could in principle migrate, based on workload architecture alone. The operational fraction that can actually execute migration in a specific event is captured separately by S2 and S3.</w:t>
      </w:r>
    </w:p>
    <w:p w14:paraId="2E3E3982" w14:textId="77777777" w:rsidR="00E74250" w:rsidRDefault="00000000">
      <w:pPr>
        <w:pStyle w:val="BodyText"/>
      </w:pPr>
      <w:r>
        <w:t>DVFS amenability for inference is high:</w:t>
      </w:r>
    </w:p>
    <w:p w14:paraId="479AAEC4" w14:textId="77777777" w:rsidR="00E74250" w:rsidRDefault="00000000" w:rsidP="00E74250">
      <w:pPr>
        <w:pStyle w:val="BodyText"/>
        <w:numPr>
          <w:ilvl w:val="0"/>
          <w:numId w:val="26"/>
        </w:numPr>
      </w:pPr>
      <w:r>
        <w:t>Patel et al. (ASPLOS 2024) measured approximately 21% power headroom at the cluster level in Azure production inference clusters due to statistical multiplexing.</w:t>
      </w:r>
    </w:p>
    <w:p w14:paraId="509F8E98" w14:textId="752FD8BD" w:rsidR="005C00BD" w:rsidRDefault="00000000" w:rsidP="00E74250">
      <w:pPr>
        <w:pStyle w:val="BodyText"/>
        <w:numPr>
          <w:ilvl w:val="0"/>
          <w:numId w:val="26"/>
        </w:numPr>
      </w:pPr>
      <w:r>
        <w:t>Kakolyris et al. (IEEE CAL, 2024) achieved 22.8–45.5% energy savings under SLO constraints for inference serving through iteration-level GPU DVFS.</w:t>
      </w:r>
    </w:p>
    <w:p w14:paraId="509F8E99" w14:textId="77777777" w:rsidR="005C00BD" w:rsidRDefault="00000000">
      <w:pPr>
        <w:pStyle w:val="BodyText"/>
      </w:pPr>
      <w:r>
        <w:rPr>
          <w:b/>
          <w:bCs/>
        </w:rPr>
        <w:t>B. AI Training (Synchronous, Stateful) — Spatial Flexibility: LOW (0.10–0.25)</w:t>
      </w:r>
    </w:p>
    <w:p w14:paraId="509F8E9A" w14:textId="77777777" w:rsidR="005C00BD" w:rsidRDefault="00000000">
      <w:pPr>
        <w:pStyle w:val="BodyText"/>
      </w:pPr>
      <w:r>
        <w:t>Training requires tight GPU synchronization across thousands of GPUs via NVLink/InfiniBand. Mid-job migration requires full checkpoint (tens of GB to TB), cluster drain, and restart.</w:t>
      </w:r>
    </w:p>
    <w:p w14:paraId="509F8E9B" w14:textId="77777777" w:rsidR="005C00BD" w:rsidRDefault="00000000">
      <w:pPr>
        <w:pStyle w:val="BodyText"/>
      </w:pPr>
      <w:r>
        <w:t>Key evidence: - Patel et al. (ASPLOS 2024) measured only approximately 3% power headroom in training clusters due to massive, coordinated power peaks from synchronous operations. - Dubey et al. (Meta, 2024) documented 466 job interruptions during Llama 3’s 54-day training run across 16,000 H100 GPUs, with recovery taking hours per event. This was failure recovery, not planned migration.</w:t>
      </w:r>
    </w:p>
    <w:p w14:paraId="509F8E9C" w14:textId="77777777" w:rsidR="005C00BD" w:rsidRDefault="00000000">
      <w:pPr>
        <w:pStyle w:val="BodyText"/>
      </w:pPr>
      <w:r>
        <w:t>However, training has moderate-to-high temporal flexibility (0.60–0.80): runs last days to months, so completing six hours later is negligible impact. Deloitte explicitly identifies post-training as “relatively interruptible.” Training participates in DR through DVFS and checkpoint-defer-restart, not through spatial migration.</w:t>
      </w:r>
    </w:p>
    <w:p w14:paraId="509F8E9D" w14:textId="77777777" w:rsidR="005C00BD" w:rsidRDefault="00000000">
      <w:pPr>
        <w:pStyle w:val="BodyText"/>
      </w:pPr>
      <w:r>
        <w:rPr>
          <w:b/>
          <w:bCs/>
        </w:rPr>
        <w:t>C. Traditional Cloud — Spatial Flexibility: MODERATE (0.30–0.50)</w:t>
      </w:r>
    </w:p>
    <w:p w14:paraId="509F8E9E" w14:textId="77777777" w:rsidR="005C00BD" w:rsidRDefault="00000000">
      <w:pPr>
        <w:pStyle w:val="Compact"/>
        <w:numPr>
          <w:ilvl w:val="0"/>
          <w:numId w:val="4"/>
        </w:numPr>
      </w:pPr>
      <w:r>
        <w:lastRenderedPageBreak/>
        <w:t>Google’s Borg cluster management system reports approximately 40% of CPU usage allocated to non-production batch tiers (Verma et al., EuroSys 2015; Tirmazi et al., EuroSys 2020).</w:t>
      </w:r>
    </w:p>
    <w:p w14:paraId="509F8E9F" w14:textId="77777777" w:rsidR="005C00BD" w:rsidRDefault="00000000">
      <w:pPr>
        <w:pStyle w:val="Compact"/>
        <w:numPr>
          <w:ilvl w:val="0"/>
          <w:numId w:val="4"/>
        </w:numPr>
      </w:pPr>
      <w:r>
        <w:t>Azure reports 60% of VMs with average CPU utilization below 20% (Cortez et al., SOSP 2017).</w:t>
      </w:r>
    </w:p>
    <w:p w14:paraId="509F8EA0" w14:textId="4EB541AA" w:rsidR="005C00BD" w:rsidRDefault="00C45327" w:rsidP="00C45327">
      <w:pPr>
        <w:pStyle w:val="BodyText"/>
        <w:numPr>
          <w:ilvl w:val="0"/>
          <w:numId w:val="4"/>
        </w:numPr>
      </w:pPr>
      <w:r>
        <w:t xml:space="preserve">Zhang (Chien advisor, UChicago 2022) characterizes capacity-variable scheduling as capable of absorbing substantial runtime variation, with empirically observed goodput decreases of up to 60% and 15–40% job failure rates under aggressive variability. The upper bound of 0.50 reflects that sophisticated scheduling with 24-hour foresight is required to achieve meaningful dynamic range without unacceptable goodput loss; typical operations without such scheduling are closer to 0.30–0.40. </w:t>
      </w:r>
    </w:p>
    <w:p w14:paraId="391F8134" w14:textId="77777777" w:rsidR="00971A3D" w:rsidRDefault="00971A3D" w:rsidP="009729F2">
      <w:pPr>
        <w:rPr>
          <w:i/>
          <w:iCs/>
        </w:rPr>
      </w:pPr>
      <w:bookmarkStart w:id="9" w:name="Xc75443290cc10df727b808e1f2c4467a5ce995a"/>
      <w:bookmarkEnd w:id="8"/>
    </w:p>
    <w:p w14:paraId="509F8EA3" w14:textId="3FD06780" w:rsidR="005C00BD" w:rsidRPr="00971A3D" w:rsidRDefault="00000000" w:rsidP="009729F2">
      <w:pPr>
        <w:rPr>
          <w:i/>
          <w:iCs/>
          <w:highlight w:val="yellow"/>
        </w:rPr>
      </w:pPr>
      <w:r w:rsidRPr="00971A3D">
        <w:rPr>
          <w:i/>
          <w:iCs/>
          <w:highlight w:val="yellow"/>
        </w:rPr>
        <w:t>S1 = 0.70 for the Inference-Dominant Scenario</w:t>
      </w:r>
    </w:p>
    <w:p w14:paraId="509F8EA4" w14:textId="77777777" w:rsidR="005C00BD" w:rsidRPr="00971A3D" w:rsidRDefault="00000000">
      <w:pPr>
        <w:pStyle w:val="FirstParagraph"/>
        <w:rPr>
          <w:highlight w:val="yellow"/>
        </w:rPr>
      </w:pPr>
      <w:r w:rsidRPr="00971A3D">
        <w:rPr>
          <w:highlight w:val="yellow"/>
        </w:rPr>
        <w:t>The inference-dominant scenario assumes a 70/10/10/10 workload mix (inference/training/cloud/fine-tuning). S1 = 0.70 is the inference share, grounded in McKinsey projections for 2027+ inference-specialized facilities.</w:t>
      </w:r>
    </w:p>
    <w:p w14:paraId="509F8EA5" w14:textId="77777777" w:rsidR="005C00BD" w:rsidRDefault="00000000">
      <w:pPr>
        <w:pStyle w:val="BodyText"/>
      </w:pPr>
      <w:r w:rsidRPr="00971A3D">
        <w:rPr>
          <w:highlight w:val="yellow"/>
        </w:rPr>
        <w:t>S1 is a scenario construction, not a stochastic variable: within the inference-dominant archetype, S1 does not carry a range. The value is a modeling assumption informed by industry projections, not a published benchmark. The conceptual basis for distinct facility archetypes is well-supported by McKinsey, Uptime Institute, and Deloitte analyses of diverging infrastructure requirements, but no published source provides exact inference-share coefficients by facility type.</w:t>
      </w:r>
    </w:p>
    <w:p w14:paraId="509F8EA6" w14:textId="77777777" w:rsidR="005C00BD" w:rsidRPr="009729F2" w:rsidRDefault="00000000" w:rsidP="009729F2">
      <w:pPr>
        <w:rPr>
          <w:i/>
          <w:iCs/>
        </w:rPr>
      </w:pPr>
      <w:bookmarkStart w:id="10" w:name="X8bff5a0790c6f955460ee7fac8914d49dd93368"/>
      <w:bookmarkEnd w:id="9"/>
      <w:r w:rsidRPr="009729F2">
        <w:rPr>
          <w:i/>
          <w:iCs/>
        </w:rPr>
        <w:t>Empirical Grounding: Azure LLM Inference Trace Analysis</w:t>
      </w:r>
    </w:p>
    <w:p w14:paraId="5177A11C" w14:textId="011B220E" w:rsidR="007430A6" w:rsidRDefault="007430A6">
      <w:pPr>
        <w:pStyle w:val="BodyText"/>
      </w:pPr>
      <w:r>
        <w:t>To ground the inference flexibility profile in production data, we analyzed 44.1 million production LLM inference requests across two Azure services (Coding and Conversation) from the DynamoLLM trace release on the Azure Public Dataset repository. The underlying traces were characterized for energy-management purposes by Stojkovic et al. (HPCA 2025). Our analysis aggregates the released per-request timestamps, context tokens, generated tokens, and time-to-first-token to hourly resolution across both services.</w:t>
      </w:r>
      <w:r>
        <w:rPr>
          <w:rStyle w:val="FootnoteReference"/>
        </w:rPr>
        <w:footnoteReference w:id="3"/>
      </w:r>
    </w:p>
    <w:p w14:paraId="509F8EA8" w14:textId="756C8CE7" w:rsidR="005C00BD" w:rsidRDefault="00000000">
      <w:pPr>
        <w:pStyle w:val="BodyText"/>
      </w:pPr>
      <w:r>
        <w:t>Key findings relevant to the cascade:</w:t>
      </w:r>
    </w:p>
    <w:p w14:paraId="509F8EA9" w14:textId="77777777" w:rsidR="005C00BD" w:rsidRDefault="00000000">
      <w:pPr>
        <w:numPr>
          <w:ilvl w:val="0"/>
          <w:numId w:val="5"/>
        </w:numPr>
      </w:pPr>
      <w:r>
        <w:rPr>
          <w:b/>
          <w:bCs/>
        </w:rPr>
        <w:t>Load variability</w:t>
      </w:r>
      <w:r>
        <w:t xml:space="preserve">: </w:t>
      </w:r>
      <w:commentRangeStart w:id="11"/>
      <w:r>
        <w:t xml:space="preserve">Hourly request coefficient of variation (CoV) ranges from 0.29 (Conversation) to 0.85 (Coding) across the two services, reflecting the sharper diurnal cycle in code-generation workloads. The 24-hour autocorrelation is moderate to strong (ρ ≈ 0.40–0.75), confirming diurnal periodicity, with Coding </w:t>
      </w:r>
      <w:r>
        <w:lastRenderedPageBreak/>
        <w:t>exhibiting the stronger cycle (ρ = 0.75). Weekday peak-to-trough ratios average 2.0:1 (Conversation) to 10.0:1 (Coding), with weekend load reduction of 43–68%. Median headroom versus peak is 38% (Conversation) to 80% (Coding) of instantaneous capacity. This variability is the temporal flexibility that DVFS exploits.</w:t>
      </w:r>
      <w:commentRangeEnd w:id="11"/>
      <w:r w:rsidR="00971A3D">
        <w:rPr>
          <w:rStyle w:val="CommentReference"/>
        </w:rPr>
        <w:commentReference w:id="11"/>
      </w:r>
    </w:p>
    <w:p w14:paraId="509F8EAA" w14:textId="77777777" w:rsidR="005C00BD" w:rsidRDefault="00000000">
      <w:pPr>
        <w:numPr>
          <w:ilvl w:val="0"/>
          <w:numId w:val="5"/>
        </w:numPr>
      </w:pPr>
      <w:r>
        <w:rPr>
          <w:b/>
          <w:bCs/>
        </w:rPr>
        <w:t>Drain time:</w:t>
      </w:r>
      <w:r>
        <w:t xml:space="preserve"> P99 generated token counts imply drain times of 4.5–11.6 seconds at typical throughput (60 tok/s per GPU), spanning Coding (4.5 s) and Conversation (11.6 s) services. At optimistic throughput (100 tok/s), drain times compress to 2.7–7.0 seconds. Even at the P99.9 level, individual requests complete well within one minute. This confirms that for inference, the “migration” operation completes in seconds to tens of seconds, not minutes.</w:t>
      </w:r>
    </w:p>
    <w:p w14:paraId="509F8EAB" w14:textId="77777777" w:rsidR="005C00BD" w:rsidRDefault="00000000">
      <w:pPr>
        <w:numPr>
          <w:ilvl w:val="0"/>
          <w:numId w:val="5"/>
        </w:numPr>
      </w:pPr>
      <w:r>
        <w:rPr>
          <w:b/>
          <w:bCs/>
        </w:rPr>
        <w:t>Request independence:</w:t>
      </w:r>
      <w:r>
        <w:t xml:space="preserve"> Inter-arrival time distributions are approximately exponential (consistent with independent Poisson arrivals). This supports the architectural argument that inference requests are statistically independent and can be routed to any available endpoint without coordination.</w:t>
      </w:r>
    </w:p>
    <w:p w14:paraId="509F8EAC" w14:textId="77777777" w:rsidR="005C00BD" w:rsidRDefault="00000000">
      <w:pPr>
        <w:numPr>
          <w:ilvl w:val="0"/>
          <w:numId w:val="5"/>
        </w:numPr>
      </w:pPr>
      <w:r>
        <w:rPr>
          <w:b/>
          <w:bCs/>
        </w:rPr>
        <w:t>Token throughput versus request count:</w:t>
      </w:r>
      <w:r>
        <w:t xml:space="preserve"> Correlation between hourly request counts and hourly token throughput is 0.85–0.95, meaning request-count-based load metrics are a reasonable proxy for compute-weighted load. This simplifies operational implementation: the orchestrator can make routing decisions based on request counts without per-request compute profiling.</w:t>
      </w:r>
    </w:p>
    <w:p w14:paraId="509F8EAD" w14:textId="77777777" w:rsidR="005C00BD" w:rsidRDefault="00000000">
      <w:r>
        <w:pict w14:anchorId="509F91A6">
          <v:rect id="_x0000_i1025" style="width:0;height:1.5pt" o:hralign="center" o:hrstd="t" o:hr="t"/>
        </w:pict>
      </w:r>
    </w:p>
    <w:p w14:paraId="509F8EAE" w14:textId="77777777" w:rsidR="005C00BD" w:rsidRPr="009729F2" w:rsidRDefault="00000000" w:rsidP="009729F2">
      <w:pPr>
        <w:rPr>
          <w:b/>
          <w:bCs/>
        </w:rPr>
      </w:pPr>
      <w:bookmarkStart w:id="12" w:name="s2-data-locality"/>
      <w:bookmarkEnd w:id="5"/>
      <w:bookmarkEnd w:id="10"/>
      <w:r w:rsidRPr="009729F2">
        <w:rPr>
          <w:b/>
          <w:bCs/>
        </w:rPr>
        <w:t>S2: Data Locality</w:t>
      </w:r>
    </w:p>
    <w:tbl>
      <w:tblPr>
        <w:tblStyle w:val="Table"/>
        <w:tblW w:w="9471" w:type="dxa"/>
        <w:tblLook w:val="0020" w:firstRow="1" w:lastRow="0" w:firstColumn="0" w:lastColumn="0" w:noHBand="0" w:noVBand="0"/>
      </w:tblPr>
      <w:tblGrid>
        <w:gridCol w:w="4930"/>
        <w:gridCol w:w="4541"/>
      </w:tblGrid>
      <w:tr w:rsidR="005C00BD" w14:paraId="509F8EB1" w14:textId="77777777" w:rsidTr="009729F2">
        <w:trPr>
          <w:cnfStyle w:val="100000000000" w:firstRow="1" w:lastRow="0" w:firstColumn="0" w:lastColumn="0" w:oddVBand="0" w:evenVBand="0" w:oddHBand="0" w:evenHBand="0" w:firstRowFirstColumn="0" w:firstRowLastColumn="0" w:lastRowFirstColumn="0" w:lastRowLastColumn="0"/>
          <w:trHeight w:val="353"/>
          <w:tblHeader/>
        </w:trPr>
        <w:tc>
          <w:tcPr>
            <w:tcW w:w="0" w:type="auto"/>
          </w:tcPr>
          <w:p w14:paraId="509F8EAF" w14:textId="77777777" w:rsidR="005C00BD" w:rsidRDefault="00000000">
            <w:pPr>
              <w:pStyle w:val="Compact"/>
            </w:pPr>
            <w:r>
              <w:t>Attribute</w:t>
            </w:r>
          </w:p>
        </w:tc>
        <w:tc>
          <w:tcPr>
            <w:tcW w:w="0" w:type="auto"/>
          </w:tcPr>
          <w:p w14:paraId="509F8EB0" w14:textId="77777777" w:rsidR="005C00BD" w:rsidRDefault="00000000">
            <w:pPr>
              <w:pStyle w:val="Compact"/>
            </w:pPr>
            <w:r>
              <w:t>Value</w:t>
            </w:r>
          </w:p>
        </w:tc>
      </w:tr>
      <w:tr w:rsidR="005C00BD" w14:paraId="509F8EB4" w14:textId="77777777" w:rsidTr="009729F2">
        <w:trPr>
          <w:trHeight w:val="361"/>
        </w:trPr>
        <w:tc>
          <w:tcPr>
            <w:tcW w:w="0" w:type="auto"/>
          </w:tcPr>
          <w:p w14:paraId="509F8EB2" w14:textId="77777777" w:rsidR="005C00BD" w:rsidRDefault="00000000">
            <w:pPr>
              <w:pStyle w:val="Compact"/>
            </w:pPr>
            <w:commentRangeStart w:id="13"/>
            <w:r>
              <w:t>Central value</w:t>
            </w:r>
          </w:p>
        </w:tc>
        <w:tc>
          <w:tcPr>
            <w:tcW w:w="0" w:type="auto"/>
          </w:tcPr>
          <w:p w14:paraId="509F8EB3" w14:textId="77777777" w:rsidR="005C00BD" w:rsidRDefault="00000000">
            <w:pPr>
              <w:pStyle w:val="Compact"/>
            </w:pPr>
            <w:r>
              <w:t>0.70</w:t>
            </w:r>
            <w:commentRangeEnd w:id="13"/>
            <w:r w:rsidR="00D373F3">
              <w:rPr>
                <w:rStyle w:val="CommentReference"/>
              </w:rPr>
              <w:commentReference w:id="13"/>
            </w:r>
          </w:p>
        </w:tc>
      </w:tr>
      <w:tr w:rsidR="005C00BD" w14:paraId="509F8EB7" w14:textId="77777777" w:rsidTr="009729F2">
        <w:trPr>
          <w:trHeight w:val="353"/>
        </w:trPr>
        <w:tc>
          <w:tcPr>
            <w:tcW w:w="0" w:type="auto"/>
          </w:tcPr>
          <w:p w14:paraId="509F8EB5" w14:textId="77777777" w:rsidR="005C00BD" w:rsidRDefault="00000000">
            <w:pPr>
              <w:pStyle w:val="Compact"/>
            </w:pPr>
            <w:r>
              <w:t>Range</w:t>
            </w:r>
          </w:p>
        </w:tc>
        <w:tc>
          <w:tcPr>
            <w:tcW w:w="0" w:type="auto"/>
          </w:tcPr>
          <w:p w14:paraId="509F8EB6" w14:textId="77777777" w:rsidR="005C00BD" w:rsidRDefault="00000000">
            <w:pPr>
              <w:pStyle w:val="Compact"/>
            </w:pPr>
            <w:r>
              <w:t>Uniform[0.60, 0.95]</w:t>
            </w:r>
          </w:p>
        </w:tc>
      </w:tr>
      <w:tr w:rsidR="005C00BD" w14:paraId="509F8EBA" w14:textId="77777777" w:rsidTr="009729F2">
        <w:trPr>
          <w:trHeight w:val="361"/>
        </w:trPr>
        <w:tc>
          <w:tcPr>
            <w:tcW w:w="0" w:type="auto"/>
          </w:tcPr>
          <w:p w14:paraId="509F8EB8" w14:textId="77777777" w:rsidR="005C00BD" w:rsidRDefault="00000000">
            <w:pPr>
              <w:pStyle w:val="Compact"/>
            </w:pPr>
            <w:r>
              <w:t>Grounding quality</w:t>
            </w:r>
          </w:p>
        </w:tc>
        <w:tc>
          <w:tcPr>
            <w:tcW w:w="0" w:type="auto"/>
          </w:tcPr>
          <w:p w14:paraId="509F8EB9" w14:textId="77777777" w:rsidR="005C00BD" w:rsidRDefault="00000000">
            <w:pPr>
              <w:pStyle w:val="Compact"/>
            </w:pPr>
            <w:r>
              <w:t>ESTIMATED-WEAK</w:t>
            </w:r>
          </w:p>
        </w:tc>
      </w:tr>
      <w:tr w:rsidR="005C00BD" w14:paraId="509F8EBD" w14:textId="77777777" w:rsidTr="009729F2">
        <w:trPr>
          <w:trHeight w:val="353"/>
        </w:trPr>
        <w:tc>
          <w:tcPr>
            <w:tcW w:w="0" w:type="auto"/>
          </w:tcPr>
          <w:p w14:paraId="509F8EBB" w14:textId="77777777" w:rsidR="005C00BD" w:rsidRDefault="00000000">
            <w:pPr>
              <w:pStyle w:val="Compact"/>
            </w:pPr>
            <w:r>
              <w:t>Variance contribution</w:t>
            </w:r>
          </w:p>
        </w:tc>
        <w:tc>
          <w:tcPr>
            <w:tcW w:w="0" w:type="auto"/>
          </w:tcPr>
          <w:p w14:paraId="509F8EBC" w14:textId="77777777" w:rsidR="005C00BD" w:rsidRDefault="00000000">
            <w:pPr>
              <w:pStyle w:val="Compact"/>
            </w:pPr>
            <w:r>
              <w:t>12.5% (4th highest)</w:t>
            </w:r>
          </w:p>
        </w:tc>
      </w:tr>
    </w:tbl>
    <w:p w14:paraId="1A190D40" w14:textId="77777777" w:rsidR="009729F2" w:rsidRDefault="009729F2" w:rsidP="009729F2">
      <w:pPr>
        <w:rPr>
          <w:i/>
          <w:iCs/>
        </w:rPr>
      </w:pPr>
      <w:bookmarkStart w:id="14" w:name="what-s2-measures"/>
    </w:p>
    <w:p w14:paraId="509F8EBE" w14:textId="61EE9D65" w:rsidR="005C00BD" w:rsidRPr="00B6000D" w:rsidRDefault="00000000" w:rsidP="009729F2">
      <w:pPr>
        <w:rPr>
          <w:b/>
          <w:bCs/>
          <w:i/>
          <w:iCs/>
        </w:rPr>
      </w:pPr>
      <w:r w:rsidRPr="00B6000D">
        <w:rPr>
          <w:b/>
          <w:bCs/>
          <w:i/>
          <w:iCs/>
        </w:rPr>
        <w:t>What S2 Measures</w:t>
      </w:r>
    </w:p>
    <w:p w14:paraId="2755666B" w14:textId="6E9E05C3" w:rsidR="00B6000D" w:rsidRPr="00B6000D" w:rsidRDefault="00B6000D">
      <w:pPr>
        <w:pStyle w:val="BodyText"/>
      </w:pPr>
      <w:r w:rsidRPr="00B6000D">
        <w:t>S2 answers: of the S1-eligible inference workloads, what fraction is free to relocate across interconnection boundaries without violating a regulatory, contractual, or operational constraint that pins execution to a specific region?</w:t>
      </w:r>
    </w:p>
    <w:p w14:paraId="53705F42" w14:textId="49175EC4" w:rsidR="00B6000D" w:rsidRPr="00B6000D" w:rsidRDefault="00B6000D" w:rsidP="009729F2">
      <w:pPr>
        <w:rPr>
          <w:b/>
          <w:bCs/>
          <w:i/>
          <w:iCs/>
        </w:rPr>
      </w:pPr>
      <w:bookmarkStart w:id="15" w:name="X3f3b589890a48cce2b48cda3e55657cc9983087"/>
      <w:bookmarkEnd w:id="14"/>
      <w:r w:rsidRPr="00B6000D">
        <w:rPr>
          <w:b/>
          <w:bCs/>
          <w:i/>
          <w:iCs/>
        </w:rPr>
        <w:t>Framing</w:t>
      </w:r>
    </w:p>
    <w:p w14:paraId="01219720" w14:textId="3A553ECF" w:rsidR="00B6000D" w:rsidRDefault="00B6000D" w:rsidP="009729F2">
      <w:r>
        <w:t xml:space="preserve">Production-grade cross-region inference is architecturally deployed and operationally demonstrated at hyperscaler scale. Google has run carbon-aware temporal and spatial compute shifting in production since 2020 (Radovanovic et al., IEEE Transactions on Power Systems 38 (2), 2023). Amazon Bedrock routes inference requests across regions automatically via cross-region inference profiles. Academic work on cross-region load </w:t>
      </w:r>
      <w:r>
        <w:lastRenderedPageBreak/>
        <w:t>balancing for LLM inference (SkyLB, arXiv:2505.24095, 2025) demonstrates locality-aware orchestration at production latency.</w:t>
      </w:r>
    </w:p>
    <w:p w14:paraId="7B8F7982" w14:textId="57880308" w:rsidR="00B6000D" w:rsidRPr="00B6000D" w:rsidRDefault="00B6000D" w:rsidP="009729F2">
      <w:r>
        <w:t xml:space="preserve">The question is therefore not whether inference can be geographically redistributed but what fraction of the aggregate fleet is subject to constraints that prevent it. We evaluate three categories of constraint against the U.S. only scope of this analysis. </w:t>
      </w:r>
    </w:p>
    <w:p w14:paraId="509F8EC1" w14:textId="7872493B" w:rsidR="005C00BD" w:rsidRPr="009729F2" w:rsidRDefault="00000000" w:rsidP="009729F2">
      <w:pPr>
        <w:rPr>
          <w:i/>
          <w:iCs/>
        </w:rPr>
      </w:pPr>
      <w:r w:rsidRPr="009729F2">
        <w:rPr>
          <w:i/>
          <w:iCs/>
        </w:rPr>
        <w:t>Three Categories of Geographic Constraint</w:t>
      </w:r>
    </w:p>
    <w:p w14:paraId="509F8EC2" w14:textId="77777777" w:rsidR="005C00BD" w:rsidRDefault="00000000">
      <w:pPr>
        <w:pStyle w:val="FirstParagraph"/>
      </w:pPr>
      <w:r>
        <w:rPr>
          <w:b/>
          <w:bCs/>
        </w:rPr>
        <w:t>1. Data residency and sovereignty mandates.</w:t>
      </w:r>
    </w:p>
    <w:p w14:paraId="13A5800F" w14:textId="77777777" w:rsidR="00B83C0B" w:rsidRDefault="00B83C0B">
      <w:pPr>
        <w:pStyle w:val="FirstParagraph"/>
      </w:pPr>
      <w:r w:rsidRPr="00B83C0B">
        <w:t>Within CONUS footprint, federal data residency mandates are narrow — applying primarily to federal government workloads (FedRAMP, CJIS, IRS 1075, ITAR) and to a limited set of state-government procurement contracts. Sectoral regulations governing healthcare and financial data (HIPAA, GLBA) impose safeguards requirements but do not pin data geographically within the United States. For the commercial AI inference workloads that dominate hyperscaler fleet composition, CONUS-to-CONUS migration across interconnections is not meaningfully constrained by data residency mandates.</w:t>
      </w:r>
    </w:p>
    <w:p w14:paraId="509F8EC8" w14:textId="4D5A78B4" w:rsidR="005C00BD" w:rsidRDefault="00B83C0B">
      <w:pPr>
        <w:pStyle w:val="FirstParagraph"/>
      </w:pPr>
      <w:r>
        <w:t xml:space="preserve">For the purposes of this study, and it’s scope to U.S. only spatial shifting sources and destinations, we will consider this factor to be immaterial. </w:t>
      </w:r>
    </w:p>
    <w:p w14:paraId="509F8EC9" w14:textId="77777777" w:rsidR="005C00BD" w:rsidRDefault="00000000">
      <w:pPr>
        <w:pStyle w:val="BodyText"/>
      </w:pPr>
      <w:r>
        <w:rPr>
          <w:b/>
          <w:bCs/>
        </w:rPr>
        <w:t>2. Ultra-low-latency SLO constraints.</w:t>
      </w:r>
    </w:p>
    <w:p w14:paraId="5D6C5E52" w14:textId="77777777" w:rsidR="00B6000D" w:rsidRDefault="00B6000D">
      <w:pPr>
        <w:pStyle w:val="BodyText"/>
      </w:pPr>
      <w:r w:rsidRPr="00B6000D">
        <w:t>Cross-CONUS round-trip latency on hyperscaler backbone networks is bounded above by approximately 80 ms (measured Azure inter-region P50, West US ↔ East US: 73 ms¹), well within the SLO budget of the vast majority of data-center-served AI inference — production LLM time-to-first-token SLOs are typically 200–500 ms². Edge-deployed inference with tight latency requirements (autonomous vehicles, robotics, AR/VR) runs on embedded hardware outside the hyperscaler fleet³ and is not part of the compute base under analysis. We consider latency-driven geographic pinning immaterial at the fleet level.</w:t>
      </w:r>
    </w:p>
    <w:p w14:paraId="509F8ECC" w14:textId="00F1F5B9" w:rsidR="005C00BD" w:rsidRDefault="00000000">
      <w:pPr>
        <w:pStyle w:val="BodyText"/>
      </w:pPr>
      <w:r>
        <w:rPr>
          <w:b/>
          <w:bCs/>
        </w:rPr>
        <w:t>3. Enterprise contractual restrictions.</w:t>
      </w:r>
    </w:p>
    <w:p w14:paraId="4CB5F257" w14:textId="77777777" w:rsidR="00B6000D" w:rsidRDefault="00B6000D" w:rsidP="009729F2">
      <w:bookmarkStart w:id="16" w:name="range-justification"/>
      <w:bookmarkEnd w:id="15"/>
      <w:r w:rsidRPr="00B6000D">
        <w:t>Some enterprise cloud deployments include contractual provisions specifying the region or facility where workloads execute, independent of regulatory requirements — examples include Microsoft's Advanced Data Residency commitments, Google Cloud's Assured Workloads, and region-specific Committed Use Discount agreements. Beyond explicit contracts, operational friction — internal change-control processes, risk-averse customer-notification requirements, SLA exposure concerns — can functionally pin workloads even when no formal constraint binds them. These constraints are commercial and organizational rather than physical, but are binding during a dispatch event. Public literature does not quantify the fraction of inference workloads subject to such provisions. This is the category that does the analytical work in S2.</w:t>
      </w:r>
    </w:p>
    <w:p w14:paraId="509F8ECE" w14:textId="0C484CC6" w:rsidR="005C00BD" w:rsidRPr="009729F2" w:rsidRDefault="00000000" w:rsidP="009729F2">
      <w:pPr>
        <w:rPr>
          <w:i/>
          <w:iCs/>
        </w:rPr>
      </w:pPr>
      <w:r w:rsidRPr="009729F2">
        <w:rPr>
          <w:i/>
          <w:iCs/>
        </w:rPr>
        <w:t>Range Justification</w:t>
      </w:r>
    </w:p>
    <w:p w14:paraId="509F8ECF" w14:textId="24567E85" w:rsidR="005C00BD" w:rsidRDefault="00000000">
      <w:pPr>
        <w:numPr>
          <w:ilvl w:val="0"/>
          <w:numId w:val="7"/>
        </w:numPr>
      </w:pPr>
      <w:r>
        <w:rPr>
          <w:b/>
          <w:bCs/>
        </w:rPr>
        <w:lastRenderedPageBreak/>
        <w:t>Floor (0.</w:t>
      </w:r>
      <w:r w:rsidR="00B6000D">
        <w:rPr>
          <w:b/>
          <w:bCs/>
        </w:rPr>
        <w:t>60</w:t>
      </w:r>
      <w:r>
        <w:rPr>
          <w:b/>
          <w:bCs/>
        </w:rPr>
        <w:t>):</w:t>
      </w:r>
      <w:r>
        <w:t xml:space="preserve"> </w:t>
      </w:r>
      <w:r w:rsidR="00B6000D" w:rsidRPr="00B6000D">
        <w:t>Reflects a scenario of aggressive contractual rigidity and operator risk aversion, in which ~40% of inference is effectively unavailable for cross-interconnection dispatch despite facing no regulatory constraint</w:t>
      </w:r>
      <w:r>
        <w:t>.</w:t>
      </w:r>
    </w:p>
    <w:p w14:paraId="509F8ED0" w14:textId="60DC4471" w:rsidR="005C00BD" w:rsidRDefault="00000000">
      <w:pPr>
        <w:numPr>
          <w:ilvl w:val="0"/>
          <w:numId w:val="7"/>
        </w:numPr>
      </w:pPr>
      <w:r>
        <w:rPr>
          <w:b/>
          <w:bCs/>
        </w:rPr>
        <w:t>Central (0.70):</w:t>
      </w:r>
      <w:r>
        <w:t xml:space="preserve"> </w:t>
      </w:r>
      <w:r w:rsidR="00C76F92" w:rsidRPr="00C76F92">
        <w:t>Assumes ~30% of inference is pinned, dominated by Category 3 effects: explicit contractual region locks plus operational friction preventing participation in spatial dispatch even among technically eligible workloads. The decomposition within this 30% is not independently sourced.</w:t>
      </w:r>
    </w:p>
    <w:p w14:paraId="61CB550B" w14:textId="69D1E1C9" w:rsidR="00B6000D" w:rsidRDefault="00000000" w:rsidP="00B6000D">
      <w:pPr>
        <w:numPr>
          <w:ilvl w:val="0"/>
          <w:numId w:val="7"/>
        </w:numPr>
      </w:pPr>
      <w:r>
        <w:rPr>
          <w:b/>
          <w:bCs/>
        </w:rPr>
        <w:t>Ceiling (0.95):</w:t>
      </w:r>
      <w:r>
        <w:t xml:space="preserve"> </w:t>
      </w:r>
      <w:r w:rsidR="00C76F92" w:rsidRPr="00C76F92">
        <w:t>Reflects that cloud API serving, batch inference, embedding generation, and asynchronous model evaluation — which constitute the majority of inference compute — face no formal pinning once residency and latency are excluded. The ~5% pinned in this scenario is attributed entirely to explicit contractual region locks on enterprise tenants.</w:t>
      </w:r>
    </w:p>
    <w:p w14:paraId="509F8ED7" w14:textId="0F898FCE" w:rsidR="005C00BD" w:rsidRDefault="00C76F92">
      <w:pPr>
        <w:pStyle w:val="FirstParagraph"/>
      </w:pPr>
      <w:bookmarkStart w:id="17" w:name="indirect-evidence"/>
      <w:bookmarkEnd w:id="16"/>
      <w:r w:rsidRPr="00C76F92">
        <w:t>S2 is the single least-grounded parameter in the cascade. The three categories identified here establish that regulatory and latency-driven pinning are immaterial for CONUS commercial inference, which means the full weight of the parameter rests on contractual and operational pinning — a fraction for which no public measurement exists. Production data on hyperscaler cross-region inference traffic (specifically, the fraction executed under region-locked contracts versus flexible dispatch, and the fraction of technically eligible workloads that operators would actually permit to participate in a DR program) would narrow the [0.60, 0.95] range substantially and is the highest-value empirical target identified in this analysis.</w:t>
      </w:r>
    </w:p>
    <w:p w14:paraId="509F8ED8" w14:textId="77777777" w:rsidR="005C00BD" w:rsidRDefault="00000000">
      <w:r>
        <w:pict w14:anchorId="509F91A7">
          <v:rect id="_x0000_i1026" style="width:0;height:1.5pt" o:hralign="center" o:hrstd="t" o:hr="t"/>
        </w:pict>
      </w:r>
    </w:p>
    <w:p w14:paraId="509F8ED9" w14:textId="77777777" w:rsidR="005C00BD" w:rsidRPr="009729F2" w:rsidRDefault="00000000" w:rsidP="009729F2">
      <w:pPr>
        <w:rPr>
          <w:b/>
          <w:bCs/>
        </w:rPr>
      </w:pPr>
      <w:bookmarkStart w:id="18" w:name="s3-operational-timing"/>
      <w:bookmarkEnd w:id="12"/>
      <w:bookmarkEnd w:id="17"/>
      <w:r w:rsidRPr="009729F2">
        <w:rPr>
          <w:b/>
          <w:bCs/>
        </w:rPr>
        <w:t>S3: Operational Timing</w:t>
      </w:r>
    </w:p>
    <w:tbl>
      <w:tblPr>
        <w:tblStyle w:val="Table"/>
        <w:tblW w:w="9455" w:type="dxa"/>
        <w:tblLook w:val="0020" w:firstRow="1" w:lastRow="0" w:firstColumn="0" w:lastColumn="0" w:noHBand="0" w:noVBand="0"/>
      </w:tblPr>
      <w:tblGrid>
        <w:gridCol w:w="4950"/>
        <w:gridCol w:w="4505"/>
      </w:tblGrid>
      <w:tr w:rsidR="005C00BD" w14:paraId="509F8EDC" w14:textId="77777777" w:rsidTr="009729F2">
        <w:trPr>
          <w:cnfStyle w:val="100000000000" w:firstRow="1" w:lastRow="0" w:firstColumn="0" w:lastColumn="0" w:oddVBand="0" w:evenVBand="0" w:oddHBand="0" w:evenHBand="0" w:firstRowFirstColumn="0" w:firstRowLastColumn="0" w:lastRowFirstColumn="0" w:lastRowLastColumn="0"/>
          <w:trHeight w:val="340"/>
          <w:tblHeader/>
        </w:trPr>
        <w:tc>
          <w:tcPr>
            <w:tcW w:w="0" w:type="auto"/>
          </w:tcPr>
          <w:p w14:paraId="509F8EDA" w14:textId="77777777" w:rsidR="005C00BD" w:rsidRDefault="00000000">
            <w:pPr>
              <w:pStyle w:val="Compact"/>
            </w:pPr>
            <w:r>
              <w:t>Attribute</w:t>
            </w:r>
          </w:p>
        </w:tc>
        <w:tc>
          <w:tcPr>
            <w:tcW w:w="0" w:type="auto"/>
          </w:tcPr>
          <w:p w14:paraId="509F8EDB" w14:textId="77777777" w:rsidR="005C00BD" w:rsidRDefault="00000000">
            <w:pPr>
              <w:pStyle w:val="Compact"/>
            </w:pPr>
            <w:r>
              <w:t>Value</w:t>
            </w:r>
          </w:p>
        </w:tc>
      </w:tr>
      <w:tr w:rsidR="005C00BD" w14:paraId="509F8EDF" w14:textId="77777777" w:rsidTr="009729F2">
        <w:trPr>
          <w:trHeight w:val="348"/>
        </w:trPr>
        <w:tc>
          <w:tcPr>
            <w:tcW w:w="0" w:type="auto"/>
          </w:tcPr>
          <w:p w14:paraId="509F8EDD" w14:textId="77777777" w:rsidR="005C00BD" w:rsidRDefault="00000000">
            <w:pPr>
              <w:pStyle w:val="Compact"/>
            </w:pPr>
            <w:r>
              <w:t>Central value</w:t>
            </w:r>
          </w:p>
        </w:tc>
        <w:tc>
          <w:tcPr>
            <w:tcW w:w="0" w:type="auto"/>
          </w:tcPr>
          <w:p w14:paraId="509F8EDE" w14:textId="77777777" w:rsidR="005C00BD" w:rsidRDefault="00000000">
            <w:pPr>
              <w:pStyle w:val="Compact"/>
            </w:pPr>
            <w:r>
              <w:t>0.90</w:t>
            </w:r>
          </w:p>
        </w:tc>
      </w:tr>
      <w:tr w:rsidR="005C00BD" w14:paraId="509F8EE2" w14:textId="77777777" w:rsidTr="009729F2">
        <w:trPr>
          <w:trHeight w:val="340"/>
        </w:trPr>
        <w:tc>
          <w:tcPr>
            <w:tcW w:w="0" w:type="auto"/>
          </w:tcPr>
          <w:p w14:paraId="509F8EE0" w14:textId="77777777" w:rsidR="005C00BD" w:rsidRDefault="00000000">
            <w:pPr>
              <w:pStyle w:val="Compact"/>
            </w:pPr>
            <w:r>
              <w:t>Range</w:t>
            </w:r>
          </w:p>
        </w:tc>
        <w:tc>
          <w:tcPr>
            <w:tcW w:w="0" w:type="auto"/>
          </w:tcPr>
          <w:p w14:paraId="509F8EE1" w14:textId="77777777" w:rsidR="005C00BD" w:rsidRDefault="00000000">
            <w:pPr>
              <w:pStyle w:val="Compact"/>
            </w:pPr>
            <w:r>
              <w:t>Uniform[0.85, 0.95]</w:t>
            </w:r>
          </w:p>
        </w:tc>
      </w:tr>
      <w:tr w:rsidR="005C00BD" w14:paraId="509F8EE5" w14:textId="77777777" w:rsidTr="009729F2">
        <w:trPr>
          <w:trHeight w:val="348"/>
        </w:trPr>
        <w:tc>
          <w:tcPr>
            <w:tcW w:w="0" w:type="auto"/>
          </w:tcPr>
          <w:p w14:paraId="509F8EE3" w14:textId="77777777" w:rsidR="005C00BD" w:rsidRDefault="00000000">
            <w:pPr>
              <w:pStyle w:val="Compact"/>
            </w:pPr>
            <w:r>
              <w:t>Grounding quality</w:t>
            </w:r>
          </w:p>
        </w:tc>
        <w:tc>
          <w:tcPr>
            <w:tcW w:w="0" w:type="auto"/>
          </w:tcPr>
          <w:p w14:paraId="509F8EE4" w14:textId="77777777" w:rsidR="005C00BD" w:rsidRDefault="00000000">
            <w:pPr>
              <w:pStyle w:val="Compact"/>
            </w:pPr>
            <w:r>
              <w:t>DATA</w:t>
            </w:r>
          </w:p>
        </w:tc>
      </w:tr>
      <w:tr w:rsidR="005C00BD" w14:paraId="509F8EE8" w14:textId="77777777" w:rsidTr="009729F2">
        <w:trPr>
          <w:trHeight w:val="340"/>
        </w:trPr>
        <w:tc>
          <w:tcPr>
            <w:tcW w:w="0" w:type="auto"/>
          </w:tcPr>
          <w:p w14:paraId="509F8EE6" w14:textId="77777777" w:rsidR="005C00BD" w:rsidRDefault="00000000">
            <w:pPr>
              <w:pStyle w:val="Compact"/>
            </w:pPr>
            <w:r>
              <w:t>Variance contribution</w:t>
            </w:r>
          </w:p>
        </w:tc>
        <w:tc>
          <w:tcPr>
            <w:tcW w:w="0" w:type="auto"/>
          </w:tcPr>
          <w:p w14:paraId="509F8EE7" w14:textId="77777777" w:rsidR="005C00BD" w:rsidRDefault="00000000">
            <w:pPr>
              <w:pStyle w:val="Compact"/>
            </w:pPr>
            <w:r>
              <w:t>0.9%</w:t>
            </w:r>
          </w:p>
        </w:tc>
      </w:tr>
    </w:tbl>
    <w:p w14:paraId="509F8EE9" w14:textId="38DC9392" w:rsidR="005C00BD" w:rsidRPr="009729F2" w:rsidRDefault="009729F2" w:rsidP="009729F2">
      <w:pPr>
        <w:rPr>
          <w:i/>
          <w:iCs/>
        </w:rPr>
      </w:pPr>
      <w:bookmarkStart w:id="19" w:name="what-s3-measures"/>
      <w:r>
        <w:rPr>
          <w:i/>
          <w:iCs/>
        </w:rPr>
        <w:br/>
      </w:r>
      <w:r w:rsidRPr="009729F2">
        <w:rPr>
          <w:i/>
          <w:iCs/>
        </w:rPr>
        <w:t>What S3 Measures</w:t>
      </w:r>
    </w:p>
    <w:p w14:paraId="509F8EEA" w14:textId="77777777" w:rsidR="005C00BD" w:rsidRDefault="00000000">
      <w:pPr>
        <w:pStyle w:val="FirstParagraph"/>
      </w:pPr>
      <w:r>
        <w:t xml:space="preserve">S3 answers: </w:t>
      </w:r>
      <w:r>
        <w:rPr>
          <w:i/>
          <w:iCs/>
        </w:rPr>
        <w:t>of the S1-eligible, S2-unconstrained inference workloads, what fraction can complete the migration operation within the grid operator’s emergency dispatch window?</w:t>
      </w:r>
    </w:p>
    <w:p w14:paraId="509F8EEB" w14:textId="77777777" w:rsidR="005C00BD" w:rsidRDefault="00000000">
      <w:pPr>
        <w:pStyle w:val="BodyText"/>
      </w:pPr>
      <w:r>
        <w:t>For inference workloads, “migration” means finishing in-flight requests at the source endpoint and routing new requests to the destination. There is no checkpoint, no optimizer state, no training run to interrupt. Active requests drain in seconds; new requests route immediately via load balancer configuration.</w:t>
      </w:r>
    </w:p>
    <w:p w14:paraId="509F8EEC" w14:textId="77777777" w:rsidR="005C00BD" w:rsidRPr="009729F2" w:rsidRDefault="00000000" w:rsidP="009729F2">
      <w:pPr>
        <w:rPr>
          <w:i/>
          <w:iCs/>
        </w:rPr>
      </w:pPr>
      <w:bookmarkStart w:id="20" w:name="the-timescale-mismatch"/>
      <w:bookmarkEnd w:id="19"/>
      <w:r w:rsidRPr="009729F2">
        <w:rPr>
          <w:i/>
          <w:iCs/>
        </w:rPr>
        <w:t>The Timescale Mismatch</w:t>
      </w:r>
    </w:p>
    <w:p w14:paraId="509F8EED" w14:textId="77777777" w:rsidR="005C00BD" w:rsidRDefault="00000000">
      <w:pPr>
        <w:pStyle w:val="FirstParagraph"/>
      </w:pPr>
      <w:r>
        <w:lastRenderedPageBreak/>
        <w:t>The empirical case rests on a two-orders-of-magnitude gap between the drain timescale and the dispatch notice timescale:</w:t>
      </w:r>
    </w:p>
    <w:p w14:paraId="739BC605" w14:textId="77777777" w:rsidR="00061A09" w:rsidRDefault="00061A09">
      <w:pPr>
        <w:pStyle w:val="Compact"/>
        <w:numPr>
          <w:ilvl w:val="0"/>
          <w:numId w:val="9"/>
        </w:numPr>
      </w:pPr>
      <w:r>
        <w:rPr>
          <w:b/>
          <w:bCs/>
        </w:rPr>
        <w:t>PJM dispatch window:</w:t>
      </w:r>
      <w:r>
        <w:t xml:space="preserve"> 10–30 minutes advance notice (PJM Manual 13, Emergency Operations, Rev. 97, 2025).</w:t>
      </w:r>
    </w:p>
    <w:p w14:paraId="509F8EEF" w14:textId="5BDACA9D" w:rsidR="005C00BD" w:rsidRDefault="00000000">
      <w:pPr>
        <w:pStyle w:val="Compact"/>
        <w:numPr>
          <w:ilvl w:val="0"/>
          <w:numId w:val="9"/>
        </w:numPr>
      </w:pPr>
      <w:r>
        <w:rPr>
          <w:b/>
          <w:bCs/>
        </w:rPr>
        <w:t>Inference drain time:</w:t>
      </w:r>
      <w:r>
        <w:t xml:space="preserve"> P99 of 4.5–12.1 seconds at 60 tokens/second.</w:t>
      </w:r>
    </w:p>
    <w:p w14:paraId="509F8EF0" w14:textId="77777777" w:rsidR="005C00BD" w:rsidRDefault="00000000">
      <w:pPr>
        <w:pStyle w:val="FirstParagraph"/>
      </w:pPr>
      <w:r>
        <w:t>Even at 10× the observed P99 drain time (i.e., ~120 seconds), the operation completes well within the 10-minute minimum notice period.</w:t>
      </w:r>
    </w:p>
    <w:p w14:paraId="509F8EF1" w14:textId="77777777" w:rsidR="005C00BD" w:rsidRDefault="00000000">
      <w:pPr>
        <w:pStyle w:val="Heading4"/>
      </w:pPr>
      <w:bookmarkStart w:id="21" w:name="empirical-validation-ne-paper-4"/>
      <w:bookmarkEnd w:id="20"/>
      <w:r>
        <w:t>Empirical Validation (NE Paper §4)</w:t>
      </w:r>
    </w:p>
    <w:p w14:paraId="509F8EF2" w14:textId="77777777" w:rsidR="005C00BD" w:rsidRDefault="00000000">
      <w:pPr>
        <w:pStyle w:val="FirstParagraph"/>
      </w:pPr>
      <w:r>
        <w:t>Two independent production inference datasets, totaling 49.3 million requests over a combined 128 days of observation:</w:t>
      </w:r>
    </w:p>
    <w:tbl>
      <w:tblPr>
        <w:tblStyle w:val="Table"/>
        <w:tblW w:w="5000" w:type="pct"/>
        <w:tblLook w:val="0020" w:firstRow="1" w:lastRow="0" w:firstColumn="0" w:lastColumn="0" w:noHBand="0" w:noVBand="0"/>
      </w:tblPr>
      <w:tblGrid>
        <w:gridCol w:w="1528"/>
        <w:gridCol w:w="2758"/>
        <w:gridCol w:w="1151"/>
        <w:gridCol w:w="2059"/>
        <w:gridCol w:w="2080"/>
      </w:tblGrid>
      <w:tr w:rsidR="005C00BD" w14:paraId="509F8EF8"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8EF3" w14:textId="77777777" w:rsidR="005C00BD" w:rsidRDefault="00000000">
            <w:pPr>
              <w:pStyle w:val="Compact"/>
            </w:pPr>
            <w:r>
              <w:t>Dataset</w:t>
            </w:r>
          </w:p>
        </w:tc>
        <w:tc>
          <w:tcPr>
            <w:tcW w:w="0" w:type="auto"/>
          </w:tcPr>
          <w:p w14:paraId="509F8EF4" w14:textId="77777777" w:rsidR="005C00BD" w:rsidRDefault="00000000">
            <w:pPr>
              <w:pStyle w:val="Compact"/>
            </w:pPr>
            <w:r>
              <w:t>Source</w:t>
            </w:r>
          </w:p>
        </w:tc>
        <w:tc>
          <w:tcPr>
            <w:tcW w:w="0" w:type="auto"/>
          </w:tcPr>
          <w:p w14:paraId="509F8EF5" w14:textId="77777777" w:rsidR="005C00BD" w:rsidRDefault="00000000">
            <w:pPr>
              <w:pStyle w:val="Compact"/>
            </w:pPr>
            <w:r>
              <w:t>Requests</w:t>
            </w:r>
          </w:p>
        </w:tc>
        <w:tc>
          <w:tcPr>
            <w:tcW w:w="0" w:type="auto"/>
          </w:tcPr>
          <w:p w14:paraId="509F8EF6" w14:textId="77777777" w:rsidR="005C00BD" w:rsidRDefault="00000000">
            <w:pPr>
              <w:pStyle w:val="Compact"/>
            </w:pPr>
            <w:r>
              <w:t>Duration</w:t>
            </w:r>
          </w:p>
        </w:tc>
        <w:tc>
          <w:tcPr>
            <w:tcW w:w="0" w:type="auto"/>
          </w:tcPr>
          <w:p w14:paraId="509F8EF7" w14:textId="77777777" w:rsidR="005C00BD" w:rsidRDefault="00000000">
            <w:pPr>
              <w:pStyle w:val="Compact"/>
            </w:pPr>
            <w:r>
              <w:t>P99 Drain Time (60 tok/s)</w:t>
            </w:r>
          </w:p>
        </w:tc>
      </w:tr>
      <w:tr w:rsidR="005C00BD" w14:paraId="509F8EFE" w14:textId="77777777">
        <w:tc>
          <w:tcPr>
            <w:tcW w:w="0" w:type="auto"/>
          </w:tcPr>
          <w:p w14:paraId="509F8EF9" w14:textId="77777777" w:rsidR="005C00BD" w:rsidRDefault="00000000">
            <w:pPr>
              <w:pStyle w:val="Compact"/>
            </w:pPr>
            <w:r>
              <w:t>DynamoLLM</w:t>
            </w:r>
          </w:p>
        </w:tc>
        <w:tc>
          <w:tcPr>
            <w:tcW w:w="0" w:type="auto"/>
          </w:tcPr>
          <w:p w14:paraId="509F8EFA" w14:textId="77777777" w:rsidR="005C00BD" w:rsidRDefault="00000000">
            <w:pPr>
              <w:pStyle w:val="Compact"/>
            </w:pPr>
            <w:r>
              <w:t>Azure production infrastructure</w:t>
            </w:r>
          </w:p>
        </w:tc>
        <w:tc>
          <w:tcPr>
            <w:tcW w:w="0" w:type="auto"/>
          </w:tcPr>
          <w:p w14:paraId="509F8EFB" w14:textId="77777777" w:rsidR="005C00BD" w:rsidRDefault="00000000">
            <w:pPr>
              <w:pStyle w:val="Compact"/>
            </w:pPr>
            <w:r>
              <w:t>44.1M</w:t>
            </w:r>
          </w:p>
        </w:tc>
        <w:tc>
          <w:tcPr>
            <w:tcW w:w="0" w:type="auto"/>
          </w:tcPr>
          <w:p w14:paraId="509F8EFC" w14:textId="77777777" w:rsidR="005C00BD" w:rsidRDefault="00000000">
            <w:pPr>
              <w:pStyle w:val="Compact"/>
            </w:pPr>
            <w:r>
              <w:t>7 days (May 2024)</w:t>
            </w:r>
          </w:p>
        </w:tc>
        <w:tc>
          <w:tcPr>
            <w:tcW w:w="0" w:type="auto"/>
          </w:tcPr>
          <w:p w14:paraId="509F8EFD" w14:textId="77777777" w:rsidR="005C00BD" w:rsidRDefault="00000000">
            <w:pPr>
              <w:pStyle w:val="Compact"/>
            </w:pPr>
            <w:r>
              <w:t>Coding: 4.5s, Conv: 11.6s</w:t>
            </w:r>
          </w:p>
        </w:tc>
      </w:tr>
      <w:tr w:rsidR="005C00BD" w14:paraId="509F8F04" w14:textId="77777777">
        <w:tc>
          <w:tcPr>
            <w:tcW w:w="0" w:type="auto"/>
          </w:tcPr>
          <w:p w14:paraId="509F8EFF" w14:textId="77777777" w:rsidR="005C00BD" w:rsidRDefault="00000000">
            <w:pPr>
              <w:pStyle w:val="Compact"/>
            </w:pPr>
            <w:r>
              <w:t>BurstGPT</w:t>
            </w:r>
          </w:p>
        </w:tc>
        <w:tc>
          <w:tcPr>
            <w:tcW w:w="0" w:type="auto"/>
          </w:tcPr>
          <w:p w14:paraId="509F8F00" w14:textId="77777777" w:rsidR="005C00BD" w:rsidRDefault="00000000">
            <w:pPr>
              <w:pStyle w:val="Compact"/>
            </w:pPr>
            <w:r>
              <w:t>Azure OpenAI regional endpoints</w:t>
            </w:r>
          </w:p>
        </w:tc>
        <w:tc>
          <w:tcPr>
            <w:tcW w:w="0" w:type="auto"/>
          </w:tcPr>
          <w:p w14:paraId="509F8F01" w14:textId="68709DAE" w:rsidR="005C00BD" w:rsidRDefault="00000000">
            <w:pPr>
              <w:pStyle w:val="Compact"/>
            </w:pPr>
            <w:r>
              <w:t>5.2</w:t>
            </w:r>
            <w:r w:rsidR="00C45327">
              <w:t>9</w:t>
            </w:r>
            <w:r>
              <w:t>M</w:t>
            </w:r>
          </w:p>
        </w:tc>
        <w:tc>
          <w:tcPr>
            <w:tcW w:w="0" w:type="auto"/>
          </w:tcPr>
          <w:p w14:paraId="509F8F02" w14:textId="77777777" w:rsidR="005C00BD" w:rsidRDefault="00000000">
            <w:pPr>
              <w:pStyle w:val="Compact"/>
            </w:pPr>
            <w:r>
              <w:t>121 days (Jan–Apr 2024)</w:t>
            </w:r>
          </w:p>
        </w:tc>
        <w:tc>
          <w:tcPr>
            <w:tcW w:w="0" w:type="auto"/>
          </w:tcPr>
          <w:p w14:paraId="509F8F03" w14:textId="77777777" w:rsidR="005C00BD" w:rsidRDefault="00000000">
            <w:pPr>
              <w:pStyle w:val="Compact"/>
            </w:pPr>
            <w:r>
              <w:t>12.1s</w:t>
            </w:r>
          </w:p>
        </w:tc>
      </w:tr>
    </w:tbl>
    <w:p w14:paraId="509F8F05" w14:textId="77777777" w:rsidR="005C00BD" w:rsidRDefault="00000000">
      <w:pPr>
        <w:pStyle w:val="BodyText"/>
      </w:pPr>
      <w:r>
        <w:t>The consistency of P99 drain times across two independent datasets from different Azure service tiers provides partial cross-validation. Both yield drain times approximately two orders of magnitude below the PJM dispatch window.</w:t>
      </w:r>
    </w:p>
    <w:p w14:paraId="509F8F06" w14:textId="77777777" w:rsidR="005C00BD" w:rsidRDefault="00000000">
      <w:pPr>
        <w:pStyle w:val="BodyText"/>
      </w:pPr>
      <w:r>
        <w:t>Drain times are computed at an assumed generation rate of 60 tokens per second. Sensitivity to this assumption is reported in Extended Data Fig. 2 of the NE paper; the timescale argument is robust to significant variation.</w:t>
      </w:r>
    </w:p>
    <w:p w14:paraId="509F8F07" w14:textId="77777777" w:rsidR="005C00BD" w:rsidRDefault="00000000">
      <w:pPr>
        <w:pStyle w:val="Heading4"/>
      </w:pPr>
      <w:bookmarkStart w:id="22" w:name="s3-0.90-the-10-reserve"/>
      <w:bookmarkEnd w:id="21"/>
      <w:r>
        <w:t>S3 = 0.90: The 10% Reserve</w:t>
      </w:r>
    </w:p>
    <w:p w14:paraId="509F8F08" w14:textId="77777777" w:rsidR="005C00BD" w:rsidRDefault="00000000">
      <w:pPr>
        <w:pStyle w:val="FirstParagraph"/>
      </w:pPr>
      <w:r>
        <w:t>The 10% excluded by S3 accommodates: - Long-running or batched inference requests (e.g., document-scale summarization, multi-step reasoning chains) - Multi-turn conversational sessions with persistent state that cannot be cleanly interrupted - Potential future workload types with longer completion times</w:t>
      </w:r>
    </w:p>
    <w:p w14:paraId="509F8F09" w14:textId="77777777" w:rsidR="005C00BD" w:rsidRDefault="00000000">
      <w:pPr>
        <w:pStyle w:val="Heading4"/>
      </w:pPr>
      <w:bookmarkStart w:id="23" w:name="Xf6056786ae0d0b526611e8ec7354a69af2fe053"/>
      <w:bookmarkEnd w:id="22"/>
      <w:r>
        <w:t>Four Operational Factors Reducing S3 from 1.0</w:t>
      </w:r>
    </w:p>
    <w:p w14:paraId="509F8F0A" w14:textId="77777777" w:rsidR="005C00BD" w:rsidRDefault="00000000">
      <w:pPr>
        <w:numPr>
          <w:ilvl w:val="0"/>
          <w:numId w:val="10"/>
        </w:numPr>
      </w:pPr>
      <w:r>
        <w:rPr>
          <w:b/>
          <w:bCs/>
        </w:rPr>
        <w:t>Mid-stream requests at the moment of dispatch.</w:t>
      </w:r>
      <w:r>
        <w:t xml:space="preserve"> Requests in the decode phase when the signal arrives must complete before the endpoint can be drained. The Azure traces confirm this completes in seconds, so the impact is a brief delay, not a failure.</w:t>
      </w:r>
    </w:p>
    <w:p w14:paraId="509F8F0B" w14:textId="77777777" w:rsidR="005C00BD" w:rsidRDefault="00000000">
      <w:pPr>
        <w:numPr>
          <w:ilvl w:val="0"/>
          <w:numId w:val="10"/>
        </w:numPr>
      </w:pPr>
      <w:r>
        <w:rPr>
          <w:b/>
          <w:bCs/>
        </w:rPr>
        <w:t>Health check and DNS propagation lag.</w:t>
      </w:r>
      <w:r>
        <w:t xml:space="preserve"> Load balancer health checks operate on polling intervals (typically 5–30 seconds). After the orchestrator marks a source endpoint as draining, downstream routers must detect the change and redirect traffic. Standard cloud load balancer configurations propagate health status within one to two polling cycles.</w:t>
      </w:r>
    </w:p>
    <w:p w14:paraId="509F8F0C" w14:textId="77777777" w:rsidR="005C00BD" w:rsidRDefault="00000000">
      <w:pPr>
        <w:numPr>
          <w:ilvl w:val="0"/>
          <w:numId w:val="10"/>
        </w:numPr>
      </w:pPr>
      <w:r>
        <w:rPr>
          <w:b/>
          <w:bCs/>
        </w:rPr>
        <w:lastRenderedPageBreak/>
        <w:t>Burst timing.</w:t>
      </w:r>
      <w:r>
        <w:t xml:space="preserve"> If the dispatch signal arrives during a request burst (peak-to-trough ratios of 2.0:1 to 10.0:1 in the Azure traces), drain time extends because more requests are in flight. At P99 burst load, the drain window is still under 30 seconds — well within the 10-minute minimum notice period.</w:t>
      </w:r>
    </w:p>
    <w:p w14:paraId="509F8F0D" w14:textId="77777777" w:rsidR="005C00BD" w:rsidRDefault="00000000">
      <w:pPr>
        <w:numPr>
          <w:ilvl w:val="0"/>
          <w:numId w:val="10"/>
        </w:numPr>
      </w:pPr>
      <w:r>
        <w:rPr>
          <w:b/>
          <w:bCs/>
        </w:rPr>
        <w:t>Configuration and orchestration errors.</w:t>
      </w:r>
      <w:r>
        <w:t xml:space="preserve"> The orchestration layer must correctly translate a PJM dispatch signal into endpoint-level routing changes across potentially dozens of serving clusters. The 10% reserve accounts for residual implementation risk: a misconfigured health check, a stale DNS cache, or an edge case in the orchestrator’s decision logic.</w:t>
      </w:r>
    </w:p>
    <w:p w14:paraId="509F8F0E" w14:textId="77777777" w:rsidR="005C00BD" w:rsidRDefault="00000000">
      <w:pPr>
        <w:pStyle w:val="FirstParagraph"/>
      </w:pPr>
      <w:r>
        <w:t>The [0.85, 0.95] range is deliberately tight because the timescale gap is so large. S3 contributes less than 1% of cascade variance.</w:t>
      </w:r>
    </w:p>
    <w:p w14:paraId="509F8F0F" w14:textId="77777777" w:rsidR="005C00BD" w:rsidRDefault="00000000">
      <w:r>
        <w:pict w14:anchorId="509F91A8">
          <v:rect id="_x0000_i1027" style="width:0;height:1.5pt" o:hralign="center" o:hrstd="t" o:hr="t"/>
        </w:pict>
      </w:r>
    </w:p>
    <w:p w14:paraId="509F8F10" w14:textId="77777777" w:rsidR="005C00BD" w:rsidRPr="009E699C" w:rsidRDefault="00000000" w:rsidP="009E699C">
      <w:pPr>
        <w:rPr>
          <w:b/>
          <w:bCs/>
        </w:rPr>
      </w:pPr>
      <w:bookmarkStart w:id="24" w:name="destination-side-parameters"/>
      <w:bookmarkEnd w:id="4"/>
      <w:bookmarkEnd w:id="18"/>
      <w:bookmarkEnd w:id="23"/>
      <w:r w:rsidRPr="009E699C">
        <w:rPr>
          <w:b/>
          <w:bCs/>
        </w:rPr>
        <w:t>3. Destination-Side Parameters</w:t>
      </w:r>
    </w:p>
    <w:p w14:paraId="509F8F11" w14:textId="77777777" w:rsidR="005C00BD" w:rsidRDefault="00000000">
      <w:pPr>
        <w:pStyle w:val="Heading3"/>
      </w:pPr>
      <w:bookmarkStart w:id="25" w:name="d1-cross-region-availability"/>
      <w:r>
        <w:t>D1: Cross-Region Availability</w:t>
      </w:r>
    </w:p>
    <w:tbl>
      <w:tblPr>
        <w:tblStyle w:val="Table"/>
        <w:tblW w:w="9397" w:type="dxa"/>
        <w:tblLook w:val="0020" w:firstRow="1" w:lastRow="0" w:firstColumn="0" w:lastColumn="0" w:noHBand="0" w:noVBand="0"/>
      </w:tblPr>
      <w:tblGrid>
        <w:gridCol w:w="4657"/>
        <w:gridCol w:w="4740"/>
      </w:tblGrid>
      <w:tr w:rsidR="005C00BD" w14:paraId="509F8F14" w14:textId="77777777" w:rsidTr="009E699C">
        <w:trPr>
          <w:cnfStyle w:val="100000000000" w:firstRow="1" w:lastRow="0" w:firstColumn="0" w:lastColumn="0" w:oddVBand="0" w:evenVBand="0" w:oddHBand="0" w:evenHBand="0" w:firstRowFirstColumn="0" w:firstRowLastColumn="0" w:lastRowFirstColumn="0" w:lastRowLastColumn="0"/>
          <w:trHeight w:val="359"/>
          <w:tblHeader/>
        </w:trPr>
        <w:tc>
          <w:tcPr>
            <w:tcW w:w="0" w:type="auto"/>
          </w:tcPr>
          <w:p w14:paraId="509F8F12" w14:textId="77777777" w:rsidR="005C00BD" w:rsidRDefault="00000000">
            <w:pPr>
              <w:pStyle w:val="Compact"/>
            </w:pPr>
            <w:r>
              <w:t>Attribute</w:t>
            </w:r>
          </w:p>
        </w:tc>
        <w:tc>
          <w:tcPr>
            <w:tcW w:w="0" w:type="auto"/>
          </w:tcPr>
          <w:p w14:paraId="509F8F13" w14:textId="77777777" w:rsidR="005C00BD" w:rsidRDefault="00000000">
            <w:pPr>
              <w:pStyle w:val="Compact"/>
            </w:pPr>
            <w:r>
              <w:t>Value</w:t>
            </w:r>
          </w:p>
        </w:tc>
      </w:tr>
      <w:tr w:rsidR="005C00BD" w14:paraId="509F8F17" w14:textId="77777777" w:rsidTr="009E699C">
        <w:trPr>
          <w:trHeight w:val="367"/>
        </w:trPr>
        <w:tc>
          <w:tcPr>
            <w:tcW w:w="0" w:type="auto"/>
          </w:tcPr>
          <w:p w14:paraId="509F8F15" w14:textId="77777777" w:rsidR="005C00BD" w:rsidRDefault="00000000">
            <w:pPr>
              <w:pStyle w:val="Compact"/>
            </w:pPr>
            <w:r>
              <w:t>Central value</w:t>
            </w:r>
          </w:p>
        </w:tc>
        <w:tc>
          <w:tcPr>
            <w:tcW w:w="0" w:type="auto"/>
          </w:tcPr>
          <w:p w14:paraId="509F8F16" w14:textId="77777777" w:rsidR="005C00BD" w:rsidRDefault="00000000">
            <w:pPr>
              <w:pStyle w:val="Compact"/>
            </w:pPr>
            <w:r>
              <w:t>0.99 (empirical)</w:t>
            </w:r>
          </w:p>
        </w:tc>
      </w:tr>
      <w:tr w:rsidR="005C00BD" w14:paraId="509F8F1A" w14:textId="77777777" w:rsidTr="009E699C">
        <w:trPr>
          <w:trHeight w:val="359"/>
        </w:trPr>
        <w:tc>
          <w:tcPr>
            <w:tcW w:w="0" w:type="auto"/>
          </w:tcPr>
          <w:p w14:paraId="509F8F18" w14:textId="77777777" w:rsidR="005C00BD" w:rsidRDefault="00000000">
            <w:pPr>
              <w:pStyle w:val="Compact"/>
            </w:pPr>
            <w:r>
              <w:t>Range</w:t>
            </w:r>
          </w:p>
        </w:tc>
        <w:tc>
          <w:tcPr>
            <w:tcW w:w="0" w:type="auto"/>
          </w:tcPr>
          <w:p w14:paraId="509F8F19" w14:textId="77777777" w:rsidR="005C00BD" w:rsidRDefault="00000000">
            <w:pPr>
              <w:pStyle w:val="Compact"/>
            </w:pPr>
            <w:r>
              <w:t>Uniform[0.945, 0.995]</w:t>
            </w:r>
          </w:p>
        </w:tc>
      </w:tr>
      <w:tr w:rsidR="005C00BD" w14:paraId="509F8F1D" w14:textId="77777777" w:rsidTr="009E699C">
        <w:trPr>
          <w:trHeight w:val="367"/>
        </w:trPr>
        <w:tc>
          <w:tcPr>
            <w:tcW w:w="0" w:type="auto"/>
          </w:tcPr>
          <w:p w14:paraId="509F8F1B" w14:textId="77777777" w:rsidR="005C00BD" w:rsidRDefault="00000000">
            <w:pPr>
              <w:pStyle w:val="Compact"/>
            </w:pPr>
            <w:r>
              <w:t>Grounding quality</w:t>
            </w:r>
          </w:p>
        </w:tc>
        <w:tc>
          <w:tcPr>
            <w:tcW w:w="0" w:type="auto"/>
          </w:tcPr>
          <w:p w14:paraId="509F8F1C" w14:textId="77777777" w:rsidR="005C00BD" w:rsidRDefault="00000000">
            <w:pPr>
              <w:pStyle w:val="Compact"/>
            </w:pPr>
            <w:r>
              <w:t>DATA</w:t>
            </w:r>
          </w:p>
        </w:tc>
      </w:tr>
      <w:tr w:rsidR="005C00BD" w14:paraId="509F8F20" w14:textId="77777777" w:rsidTr="009E699C">
        <w:trPr>
          <w:trHeight w:val="359"/>
        </w:trPr>
        <w:tc>
          <w:tcPr>
            <w:tcW w:w="0" w:type="auto"/>
          </w:tcPr>
          <w:p w14:paraId="509F8F1E" w14:textId="77777777" w:rsidR="005C00BD" w:rsidRDefault="00000000">
            <w:pPr>
              <w:pStyle w:val="Compact"/>
            </w:pPr>
            <w:r>
              <w:t>Variance contribution</w:t>
            </w:r>
          </w:p>
        </w:tc>
        <w:tc>
          <w:tcPr>
            <w:tcW w:w="0" w:type="auto"/>
          </w:tcPr>
          <w:p w14:paraId="509F8F1F" w14:textId="77777777" w:rsidR="005C00BD" w:rsidRDefault="00000000">
            <w:pPr>
              <w:pStyle w:val="Compact"/>
            </w:pPr>
            <w:r>
              <w:t>0.1%</w:t>
            </w:r>
          </w:p>
        </w:tc>
      </w:tr>
    </w:tbl>
    <w:p w14:paraId="509F8F21" w14:textId="77777777" w:rsidR="005C00BD" w:rsidRDefault="00000000">
      <w:pPr>
        <w:pStyle w:val="Heading4"/>
      </w:pPr>
      <w:bookmarkStart w:id="26" w:name="what-d1-measures"/>
      <w:r>
        <w:t>What D1 Measures</w:t>
      </w:r>
    </w:p>
    <w:p w14:paraId="509F8F22" w14:textId="77777777" w:rsidR="005C00BD" w:rsidRDefault="00000000">
      <w:pPr>
        <w:pStyle w:val="FirstParagraph"/>
      </w:pPr>
      <w:r>
        <w:t xml:space="preserve">D1 answers: </w:t>
      </w:r>
      <w:r>
        <w:rPr>
          <w:i/>
          <w:iCs/>
        </w:rPr>
        <w:t>during a source-zone stress event, is at least one cross-region destination zone unstressed and available to receive migrated workload?</w:t>
      </w:r>
    </w:p>
    <w:p w14:paraId="509F8F23" w14:textId="77777777" w:rsidR="005C00BD" w:rsidRDefault="00000000">
      <w:pPr>
        <w:pStyle w:val="Heading4"/>
      </w:pPr>
      <w:bookmarkStart w:id="27" w:name="X03578bab197e52f007f6a840605d89a0587889d"/>
      <w:bookmarkEnd w:id="26"/>
      <w:r>
        <w:t>Treatment in the Two Monte Carlo Frameworks</w:t>
      </w:r>
    </w:p>
    <w:p w14:paraId="509F8F24" w14:textId="77777777" w:rsidR="005C00BD" w:rsidRDefault="00000000">
      <w:pPr>
        <w:pStyle w:val="Compact"/>
        <w:numPr>
          <w:ilvl w:val="0"/>
          <w:numId w:val="11"/>
        </w:numPr>
      </w:pPr>
      <w:r>
        <w:rPr>
          <w:b/>
          <w:bCs/>
        </w:rPr>
        <w:t>Unconditional cascade MC:</w:t>
      </w:r>
      <w:r>
        <w:t xml:space="preserve"> D1 is drawn from Uniform[0.945, 0.995] as a parametric representation of availability uncertainty.</w:t>
      </w:r>
    </w:p>
    <w:p w14:paraId="509F8F25" w14:textId="77777777" w:rsidR="005C00BD" w:rsidRDefault="00000000">
      <w:pPr>
        <w:pStyle w:val="Compact"/>
        <w:numPr>
          <w:ilvl w:val="0"/>
          <w:numId w:val="11"/>
        </w:numPr>
      </w:pPr>
      <w:r>
        <w:rPr>
          <w:b/>
          <w:bCs/>
        </w:rPr>
        <w:t>Conditional MC (NE paper §5):</w:t>
      </w:r>
      <w:r>
        <w:t xml:space="preserve"> D1 is replaced by observed per-hour, per-destination binary realizations from the DA LMP data. This is the “conditional” in conditional Monte Carlo — the simulation conditions on actual grid states rather than drawing D1 parametrically.</w:t>
      </w:r>
    </w:p>
    <w:p w14:paraId="509F8F26" w14:textId="77777777" w:rsidR="005C00BD" w:rsidRDefault="00000000">
      <w:pPr>
        <w:pStyle w:val="Heading4"/>
      </w:pPr>
      <w:bookmarkStart w:id="28" w:name="empirical-result-ne-paper-3"/>
      <w:bookmarkEnd w:id="27"/>
      <w:r>
        <w:t>Empirical Result (NE Paper §3)</w:t>
      </w:r>
    </w:p>
    <w:p w14:paraId="509F8F27" w14:textId="3CFA7B74" w:rsidR="005C00BD" w:rsidRDefault="00000000">
      <w:pPr>
        <w:pStyle w:val="FirstParagraph"/>
      </w:pPr>
      <w:r>
        <w:t>Using 35,060 hours of day-ahead LMP data from January 2022 through December 2025 across 17 destination pricing zones mapped to verified data center locations (DOE/NREL Speed to Power county-level inventory):</w:t>
      </w:r>
    </w:p>
    <w:tbl>
      <w:tblPr>
        <w:tblStyle w:val="Table"/>
        <w:tblW w:w="5000" w:type="pct"/>
        <w:tblLook w:val="0020" w:firstRow="1" w:lastRow="0" w:firstColumn="0" w:lastColumn="0" w:noHBand="0" w:noVBand="0"/>
      </w:tblPr>
      <w:tblGrid>
        <w:gridCol w:w="3481"/>
        <w:gridCol w:w="1375"/>
        <w:gridCol w:w="1392"/>
        <w:gridCol w:w="1167"/>
        <w:gridCol w:w="2161"/>
      </w:tblGrid>
      <w:tr w:rsidR="005C00BD" w14:paraId="509F8F2D"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8F28" w14:textId="77777777" w:rsidR="005C00BD" w:rsidRDefault="00000000">
            <w:pPr>
              <w:pStyle w:val="Compact"/>
            </w:pPr>
            <w:r>
              <w:t>Source Zone</w:t>
            </w:r>
          </w:p>
        </w:tc>
        <w:tc>
          <w:tcPr>
            <w:tcW w:w="0" w:type="auto"/>
          </w:tcPr>
          <w:p w14:paraId="509F8F29" w14:textId="77777777" w:rsidR="005C00BD" w:rsidRDefault="00000000">
            <w:pPr>
              <w:pStyle w:val="Compact"/>
            </w:pPr>
            <w:r>
              <w:t>DC Capacity</w:t>
            </w:r>
          </w:p>
        </w:tc>
        <w:tc>
          <w:tcPr>
            <w:tcW w:w="0" w:type="auto"/>
          </w:tcPr>
          <w:p w14:paraId="509F8F2A" w14:textId="77777777" w:rsidR="005C00BD" w:rsidRDefault="00000000">
            <w:pPr>
              <w:pStyle w:val="Compact"/>
            </w:pPr>
            <w:r>
              <w:t>Stress Hours</w:t>
            </w:r>
          </w:p>
        </w:tc>
        <w:tc>
          <w:tcPr>
            <w:tcW w:w="0" w:type="auto"/>
          </w:tcPr>
          <w:p w14:paraId="509F8F2B" w14:textId="77777777" w:rsidR="005C00BD" w:rsidRDefault="00000000">
            <w:pPr>
              <w:pStyle w:val="Compact"/>
            </w:pPr>
            <w:r>
              <w:t>Available</w:t>
            </w:r>
          </w:p>
        </w:tc>
        <w:tc>
          <w:tcPr>
            <w:tcW w:w="0" w:type="auto"/>
          </w:tcPr>
          <w:p w14:paraId="509F8F2C" w14:textId="77777777" w:rsidR="005C00BD" w:rsidRDefault="00000000">
            <w:pPr>
              <w:pStyle w:val="Compact"/>
            </w:pPr>
            <w:r>
              <w:t>Dynamic Availability</w:t>
            </w:r>
          </w:p>
        </w:tc>
      </w:tr>
      <w:tr w:rsidR="005C00BD" w14:paraId="509F8F33" w14:textId="77777777">
        <w:tc>
          <w:tcPr>
            <w:tcW w:w="0" w:type="auto"/>
          </w:tcPr>
          <w:p w14:paraId="509F8F2E" w14:textId="77777777" w:rsidR="005C00BD" w:rsidRDefault="00000000">
            <w:pPr>
              <w:pStyle w:val="Compact"/>
            </w:pPr>
            <w:r>
              <w:t>PJM ComEd (Northern Illinois)</w:t>
            </w:r>
          </w:p>
        </w:tc>
        <w:tc>
          <w:tcPr>
            <w:tcW w:w="0" w:type="auto"/>
          </w:tcPr>
          <w:p w14:paraId="509F8F2F" w14:textId="77777777" w:rsidR="005C00BD" w:rsidRDefault="00000000">
            <w:pPr>
              <w:pStyle w:val="Compact"/>
            </w:pPr>
            <w:r>
              <w:t>1,647 MW</w:t>
            </w:r>
          </w:p>
        </w:tc>
        <w:tc>
          <w:tcPr>
            <w:tcW w:w="0" w:type="auto"/>
          </w:tcPr>
          <w:p w14:paraId="509F8F30" w14:textId="77777777" w:rsidR="005C00BD" w:rsidRDefault="00000000">
            <w:pPr>
              <w:pStyle w:val="Compact"/>
            </w:pPr>
            <w:r>
              <w:t>200</w:t>
            </w:r>
          </w:p>
        </w:tc>
        <w:tc>
          <w:tcPr>
            <w:tcW w:w="0" w:type="auto"/>
          </w:tcPr>
          <w:p w14:paraId="509F8F31" w14:textId="77777777" w:rsidR="005C00BD" w:rsidRDefault="00000000">
            <w:pPr>
              <w:pStyle w:val="Compact"/>
            </w:pPr>
            <w:r>
              <w:t>198</w:t>
            </w:r>
          </w:p>
        </w:tc>
        <w:tc>
          <w:tcPr>
            <w:tcW w:w="0" w:type="auto"/>
          </w:tcPr>
          <w:p w14:paraId="509F8F32" w14:textId="77777777" w:rsidR="005C00BD" w:rsidRDefault="00000000">
            <w:pPr>
              <w:pStyle w:val="Compact"/>
            </w:pPr>
            <w:r>
              <w:t>99.0%</w:t>
            </w:r>
          </w:p>
        </w:tc>
      </w:tr>
      <w:tr w:rsidR="005C00BD" w14:paraId="509F8F39" w14:textId="77777777">
        <w:tc>
          <w:tcPr>
            <w:tcW w:w="0" w:type="auto"/>
          </w:tcPr>
          <w:p w14:paraId="509F8F34" w14:textId="77777777" w:rsidR="005C00BD" w:rsidRDefault="00000000">
            <w:pPr>
              <w:pStyle w:val="Compact"/>
            </w:pPr>
            <w:r>
              <w:lastRenderedPageBreak/>
              <w:t>PJM Dominion (Northern Virginia)</w:t>
            </w:r>
          </w:p>
        </w:tc>
        <w:tc>
          <w:tcPr>
            <w:tcW w:w="0" w:type="auto"/>
          </w:tcPr>
          <w:p w14:paraId="509F8F35" w14:textId="77777777" w:rsidR="005C00BD" w:rsidRDefault="00000000">
            <w:pPr>
              <w:pStyle w:val="Compact"/>
            </w:pPr>
            <w:r>
              <w:t>9,431 MW</w:t>
            </w:r>
          </w:p>
        </w:tc>
        <w:tc>
          <w:tcPr>
            <w:tcW w:w="0" w:type="auto"/>
          </w:tcPr>
          <w:p w14:paraId="509F8F36" w14:textId="77777777" w:rsidR="005C00BD" w:rsidRDefault="00000000">
            <w:pPr>
              <w:pStyle w:val="Compact"/>
            </w:pPr>
            <w:r>
              <w:t>200</w:t>
            </w:r>
          </w:p>
        </w:tc>
        <w:tc>
          <w:tcPr>
            <w:tcW w:w="0" w:type="auto"/>
          </w:tcPr>
          <w:p w14:paraId="509F8F37" w14:textId="77777777" w:rsidR="005C00BD" w:rsidRDefault="00000000">
            <w:pPr>
              <w:pStyle w:val="Compact"/>
            </w:pPr>
            <w:r>
              <w:t>199</w:t>
            </w:r>
          </w:p>
        </w:tc>
        <w:tc>
          <w:tcPr>
            <w:tcW w:w="0" w:type="auto"/>
          </w:tcPr>
          <w:p w14:paraId="509F8F38" w14:textId="77777777" w:rsidR="005C00BD" w:rsidRDefault="00000000">
            <w:pPr>
              <w:pStyle w:val="Compact"/>
            </w:pPr>
            <w:r>
              <w:t>99.5%</w:t>
            </w:r>
          </w:p>
        </w:tc>
      </w:tr>
      <w:tr w:rsidR="005C00BD" w14:paraId="509F8F3F" w14:textId="77777777">
        <w:tc>
          <w:tcPr>
            <w:tcW w:w="0" w:type="auto"/>
          </w:tcPr>
          <w:p w14:paraId="509F8F3A" w14:textId="77777777" w:rsidR="005C00BD" w:rsidRDefault="00000000">
            <w:pPr>
              <w:pStyle w:val="Compact"/>
            </w:pPr>
            <w:r>
              <w:t>ERCOT LZ North (Dallas-Fort Worth)</w:t>
            </w:r>
          </w:p>
        </w:tc>
        <w:tc>
          <w:tcPr>
            <w:tcW w:w="0" w:type="auto"/>
          </w:tcPr>
          <w:p w14:paraId="509F8F3B" w14:textId="77777777" w:rsidR="005C00BD" w:rsidRDefault="00000000">
            <w:pPr>
              <w:pStyle w:val="Compact"/>
            </w:pPr>
            <w:r>
              <w:t>4,275 MW</w:t>
            </w:r>
          </w:p>
        </w:tc>
        <w:tc>
          <w:tcPr>
            <w:tcW w:w="0" w:type="auto"/>
          </w:tcPr>
          <w:p w14:paraId="509F8F3C" w14:textId="77777777" w:rsidR="005C00BD" w:rsidRDefault="00000000">
            <w:pPr>
              <w:pStyle w:val="Compact"/>
            </w:pPr>
            <w:r>
              <w:t>200</w:t>
            </w:r>
          </w:p>
        </w:tc>
        <w:tc>
          <w:tcPr>
            <w:tcW w:w="0" w:type="auto"/>
          </w:tcPr>
          <w:p w14:paraId="509F8F3D" w14:textId="77777777" w:rsidR="005C00BD" w:rsidRDefault="00000000">
            <w:pPr>
              <w:pStyle w:val="Compact"/>
            </w:pPr>
            <w:r>
              <w:t>200</w:t>
            </w:r>
          </w:p>
        </w:tc>
        <w:tc>
          <w:tcPr>
            <w:tcW w:w="0" w:type="auto"/>
          </w:tcPr>
          <w:p w14:paraId="509F8F3E" w14:textId="77777777" w:rsidR="005C00BD" w:rsidRDefault="00000000">
            <w:pPr>
              <w:pStyle w:val="Compact"/>
            </w:pPr>
            <w:r>
              <w:t>100.0%</w:t>
            </w:r>
          </w:p>
        </w:tc>
      </w:tr>
      <w:tr w:rsidR="005C00BD" w14:paraId="509F8F45" w14:textId="77777777">
        <w:tc>
          <w:tcPr>
            <w:tcW w:w="0" w:type="auto"/>
          </w:tcPr>
          <w:p w14:paraId="509F8F40" w14:textId="77777777" w:rsidR="005C00BD" w:rsidRDefault="00000000">
            <w:pPr>
              <w:pStyle w:val="Compact"/>
            </w:pPr>
            <w:r>
              <w:t>CAISO NP15 (Silicon Valley)</w:t>
            </w:r>
          </w:p>
        </w:tc>
        <w:tc>
          <w:tcPr>
            <w:tcW w:w="0" w:type="auto"/>
          </w:tcPr>
          <w:p w14:paraId="509F8F41" w14:textId="77777777" w:rsidR="005C00BD" w:rsidRDefault="00000000">
            <w:pPr>
              <w:pStyle w:val="Compact"/>
            </w:pPr>
            <w:r>
              <w:t>1,311 MW</w:t>
            </w:r>
          </w:p>
        </w:tc>
        <w:tc>
          <w:tcPr>
            <w:tcW w:w="0" w:type="auto"/>
          </w:tcPr>
          <w:p w14:paraId="509F8F42" w14:textId="77777777" w:rsidR="005C00BD" w:rsidRDefault="00000000">
            <w:pPr>
              <w:pStyle w:val="Compact"/>
            </w:pPr>
            <w:r>
              <w:t>200</w:t>
            </w:r>
          </w:p>
        </w:tc>
        <w:tc>
          <w:tcPr>
            <w:tcW w:w="0" w:type="auto"/>
          </w:tcPr>
          <w:p w14:paraId="509F8F43" w14:textId="77777777" w:rsidR="005C00BD" w:rsidRDefault="00000000">
            <w:pPr>
              <w:pStyle w:val="Compact"/>
            </w:pPr>
            <w:r>
              <w:t>200</w:t>
            </w:r>
          </w:p>
        </w:tc>
        <w:tc>
          <w:tcPr>
            <w:tcW w:w="0" w:type="auto"/>
          </w:tcPr>
          <w:p w14:paraId="509F8F44" w14:textId="77777777" w:rsidR="005C00BD" w:rsidRDefault="00000000">
            <w:pPr>
              <w:pStyle w:val="Compact"/>
            </w:pPr>
            <w:r>
              <w:t>100.0%</w:t>
            </w:r>
          </w:p>
        </w:tc>
      </w:tr>
    </w:tbl>
    <w:p w14:paraId="509F8F46" w14:textId="77777777" w:rsidR="005C00BD" w:rsidRDefault="00000000">
      <w:pPr>
        <w:pStyle w:val="BodyText"/>
      </w:pPr>
      <w:r>
        <w:t>The two ComEd failure hours cluster in the January 2024 Arctic Blast, a continental-scale cold event that simultaneously stressed every major grid.</w:t>
      </w:r>
    </w:p>
    <w:p w14:paraId="509F8F47" w14:textId="77777777" w:rsidR="005C00BD" w:rsidRDefault="00000000">
      <w:pPr>
        <w:pStyle w:val="Heading4"/>
      </w:pPr>
      <w:bookmarkStart w:id="29" w:name="the-interconnection-boundary-effect"/>
      <w:bookmarkEnd w:id="28"/>
      <w:r>
        <w:t>The Interconnection Boundary Effect</w:t>
      </w:r>
    </w:p>
    <w:p w14:paraId="509F8F48" w14:textId="77777777" w:rsidR="005C00BD" w:rsidRDefault="00000000">
      <w:pPr>
        <w:pStyle w:val="FirstParagraph"/>
      </w:pPr>
      <w:r>
        <w:t>The decorrelation structure reflects the electrical topology of the North American transmission system:</w:t>
      </w:r>
    </w:p>
    <w:p w14:paraId="509F8F49" w14:textId="40882E90" w:rsidR="005C00BD" w:rsidRDefault="00000000">
      <w:pPr>
        <w:numPr>
          <w:ilvl w:val="0"/>
          <w:numId w:val="12"/>
        </w:numPr>
      </w:pPr>
      <w:r>
        <w:rPr>
          <w:b/>
          <w:bCs/>
        </w:rPr>
        <w:t>Cross-interconnection destinations (ERCOT, CAISO):</w:t>
      </w:r>
      <w:r>
        <w:t xml:space="preserve"> ERCOT operates as an electrically isolated interconnection with no synchronous ties to the Eastern grid. CAISO has temporal offset and weather patterns largely independent from the Midwest. </w:t>
      </w:r>
      <w:r w:rsidR="004A7482">
        <w:t>Capacity-weighted overlap ranges from 3.7% (ERCOT, summer) to 14.0% (CAISO, annual) — that is, weighted by the data-center capacity mapped to each destination zone. (The companion stress decorrelation appendix reports the same relationships on an unweighted hour-count basis, where the annual ranges are 10–14% for both ERCOT and CAISO; the capacity-weighted numbers are lower because the largest-capacity destination zones are also the most decorrelated.) CAISO exhibits zero summer overlap across the four-year study period.</w:t>
      </w:r>
    </w:p>
    <w:p w14:paraId="509F8F4A" w14:textId="77777777" w:rsidR="005C00BD" w:rsidRDefault="00000000">
      <w:pPr>
        <w:numPr>
          <w:ilvl w:val="0"/>
          <w:numId w:val="12"/>
        </w:numPr>
      </w:pPr>
      <w:r>
        <w:rPr>
          <w:b/>
          <w:bCs/>
        </w:rPr>
        <w:t>Same-interconnection destinations (MISO, NYISO):</w:t>
      </w:r>
      <w:r>
        <w:t xml:space="preserve"> Substantially higher overlap consistent with shared exposure to regional weather systems and partial electrical coupling. MISO zones range from 43% to 66%, NYISO from 29% to 41%.</w:t>
      </w:r>
    </w:p>
    <w:p w14:paraId="509F8F4B" w14:textId="77777777" w:rsidR="005C00BD" w:rsidRDefault="00000000">
      <w:pPr>
        <w:pStyle w:val="FirstParagraph"/>
      </w:pPr>
      <w:r>
        <w:t>The interconnection boundary, not the balancing authority boundary, creates the strongest decorrelation.</w:t>
      </w:r>
    </w:p>
    <w:p w14:paraId="509F8F4C" w14:textId="77777777" w:rsidR="005C00BD" w:rsidRDefault="00000000">
      <w:pPr>
        <w:pStyle w:val="Heading4"/>
      </w:pPr>
      <w:bookmarkStart w:id="30" w:name="seasonal-decomposition"/>
      <w:bookmarkEnd w:id="29"/>
      <w:r>
        <w:t>Seasonal Decomposition</w:t>
      </w:r>
    </w:p>
    <w:p w14:paraId="509F8F4D" w14:textId="77777777" w:rsidR="005C00BD" w:rsidRDefault="00000000">
      <w:pPr>
        <w:pStyle w:val="Compact"/>
        <w:numPr>
          <w:ilvl w:val="0"/>
          <w:numId w:val="13"/>
        </w:numPr>
      </w:pPr>
      <w:r>
        <w:rPr>
          <w:b/>
          <w:bCs/>
        </w:rPr>
        <w:t>Summer:</w:t>
      </w:r>
      <w:r>
        <w:t xml:space="preserve"> ERCOT overlap with ComEd as low as 4–6%; CAISO is 0% — zero coincident summer stress hours across the entire 2022–2025 dataset.</w:t>
      </w:r>
    </w:p>
    <w:p w14:paraId="509F8F4E" w14:textId="77777777" w:rsidR="005C00BD" w:rsidRDefault="00000000">
      <w:pPr>
        <w:pStyle w:val="Compact"/>
        <w:numPr>
          <w:ilvl w:val="0"/>
          <w:numId w:val="13"/>
        </w:numPr>
      </w:pPr>
      <w:r>
        <w:rPr>
          <w:b/>
          <w:bCs/>
        </w:rPr>
        <w:t>Winter:</w:t>
      </w:r>
      <w:r>
        <w:t xml:space="preserve"> ERCOT overlap rises to ~28% in 2024 (Arctic Blast year); CAISO to ~38%. Even in winter, 72% and 62% of ComEd stress hours find ERCOT and CAISO respectively unstressed. The seasonal pattern confirms that summer is the cleanest case for spatial migration, with winter events broader but still manageable through multi-destination portfolio selection.</w:t>
      </w:r>
    </w:p>
    <w:p w14:paraId="509F8F4F" w14:textId="77777777" w:rsidR="005C00BD" w:rsidRDefault="00000000">
      <w:pPr>
        <w:pStyle w:val="Heading4"/>
      </w:pPr>
      <w:bookmarkStart w:id="31" w:name="range-justification-1"/>
      <w:bookmarkEnd w:id="30"/>
      <w:r>
        <w:t>Range Justification</w:t>
      </w:r>
    </w:p>
    <w:p w14:paraId="509F8F50" w14:textId="77777777" w:rsidR="005C00BD" w:rsidRDefault="00000000">
      <w:pPr>
        <w:pStyle w:val="Compact"/>
        <w:numPr>
          <w:ilvl w:val="0"/>
          <w:numId w:val="14"/>
        </w:numPr>
      </w:pPr>
      <w:r>
        <w:rPr>
          <w:b/>
          <w:bCs/>
        </w:rPr>
        <w:t>Conservative (0.945):</w:t>
      </w:r>
      <w:r>
        <w:t xml:space="preserve"> Accounts for the possibility that continental-scale cold events become more frequent due to climate change, and for the reflexivity concern </w:t>
      </w:r>
      <w:r>
        <w:lastRenderedPageBreak/>
        <w:t>— widespread spatial migration adoption could stress destinations during source events (a Goodhart’s Law dynamic).</w:t>
      </w:r>
    </w:p>
    <w:p w14:paraId="509F8F51" w14:textId="77777777" w:rsidR="005C00BD" w:rsidRDefault="00000000">
      <w:pPr>
        <w:pStyle w:val="Compact"/>
        <w:numPr>
          <w:ilvl w:val="0"/>
          <w:numId w:val="14"/>
        </w:numPr>
      </w:pPr>
      <w:r>
        <w:rPr>
          <w:b/>
          <w:bCs/>
        </w:rPr>
        <w:t>Central (0.99):</w:t>
      </w:r>
      <w:r>
        <w:t xml:space="preserve"> Empirical, directly observed from 35,060 hours of pricing data.</w:t>
      </w:r>
    </w:p>
    <w:p w14:paraId="509F8F52" w14:textId="77777777" w:rsidR="005C00BD" w:rsidRDefault="00000000">
      <w:pPr>
        <w:pStyle w:val="Compact"/>
        <w:numPr>
          <w:ilvl w:val="0"/>
          <w:numId w:val="14"/>
        </w:numPr>
      </w:pPr>
      <w:r>
        <w:rPr>
          <w:b/>
          <w:bCs/>
        </w:rPr>
        <w:t>Optimistic (0.995):</w:t>
      </w:r>
      <w:r>
        <w:t xml:space="preserve"> Reflects potential addition of SPP and ISO-NE destinations not yet in the dataset.</w:t>
      </w:r>
    </w:p>
    <w:p w14:paraId="509F8F53" w14:textId="77777777" w:rsidR="005C00BD" w:rsidRDefault="00000000">
      <w:pPr>
        <w:pStyle w:val="FirstParagraph"/>
      </w:pPr>
      <w:r>
        <w:t>D1 contributes less than 1% of cascade variance because its empirical range is narrow and its central value is near 1.0.</w:t>
      </w:r>
    </w:p>
    <w:p w14:paraId="509F8F54" w14:textId="77777777" w:rsidR="005C00BD" w:rsidRDefault="00000000">
      <w:r>
        <w:pict w14:anchorId="509F91A9">
          <v:rect id="_x0000_i1028" style="width:0;height:1.5pt" o:hralign="center" o:hrstd="t" o:hr="t"/>
        </w:pict>
      </w:r>
    </w:p>
    <w:p w14:paraId="2F3A320C" w14:textId="77777777" w:rsidR="00FE4F93" w:rsidRPr="00FE4F93" w:rsidRDefault="00FE4F93" w:rsidP="00FE4F93">
      <w:bookmarkStart w:id="32" w:name="d2-utilization-headroom"/>
      <w:bookmarkStart w:id="33" w:name="why-d2-is-the-largest-variance-driver"/>
      <w:bookmarkEnd w:id="25"/>
      <w:bookmarkEnd w:id="31"/>
      <w:r w:rsidRPr="00FE4F93">
        <w:rPr>
          <w:b/>
          <w:bCs/>
        </w:rPr>
        <w:t>D2: Utilization Headroom</w:t>
      </w:r>
    </w:p>
    <w:tbl>
      <w:tblPr>
        <w:tblStyle w:val="PlainTable1"/>
        <w:tblW w:w="0" w:type="auto"/>
        <w:tblLook w:val="04A0" w:firstRow="1" w:lastRow="0" w:firstColumn="1" w:lastColumn="0" w:noHBand="0" w:noVBand="1"/>
      </w:tblPr>
      <w:tblGrid>
        <w:gridCol w:w="4490"/>
        <w:gridCol w:w="2238"/>
      </w:tblGrid>
      <w:tr w:rsidR="00FE4F93" w:rsidRPr="00FE4F93" w14:paraId="6F7BFB0A" w14:textId="77777777" w:rsidTr="00FE4F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ED0CC" w14:textId="77777777" w:rsidR="00FE4F93" w:rsidRPr="00FE4F93" w:rsidRDefault="00FE4F93" w:rsidP="00FE4F93">
            <w:pPr>
              <w:spacing w:after="200"/>
            </w:pPr>
            <w:r w:rsidRPr="00FE4F93">
              <w:t>Attribute</w:t>
            </w:r>
          </w:p>
        </w:tc>
        <w:tc>
          <w:tcPr>
            <w:tcW w:w="0" w:type="auto"/>
            <w:hideMark/>
          </w:tcPr>
          <w:p w14:paraId="75BD0529" w14:textId="77777777" w:rsidR="00FE4F93" w:rsidRPr="00FE4F93" w:rsidRDefault="00FE4F93" w:rsidP="00FE4F93">
            <w:pPr>
              <w:spacing w:after="200"/>
              <w:cnfStyle w:val="100000000000" w:firstRow="1" w:lastRow="0" w:firstColumn="0" w:lastColumn="0" w:oddVBand="0" w:evenVBand="0" w:oddHBand="0" w:evenHBand="0" w:firstRowFirstColumn="0" w:firstRowLastColumn="0" w:lastRowFirstColumn="0" w:lastRowLastColumn="0"/>
            </w:pPr>
            <w:r w:rsidRPr="00FE4F93">
              <w:t>Value</w:t>
            </w:r>
          </w:p>
        </w:tc>
      </w:tr>
      <w:tr w:rsidR="00FE4F93" w:rsidRPr="00FE4F93" w14:paraId="266D893D" w14:textId="77777777" w:rsidTr="00FE4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AA64C" w14:textId="77777777" w:rsidR="00FE4F93" w:rsidRPr="00FE4F93" w:rsidRDefault="00FE4F93" w:rsidP="00FE4F93">
            <w:pPr>
              <w:spacing w:after="200"/>
            </w:pPr>
            <w:r w:rsidRPr="00FE4F93">
              <w:t>Central value (reference, not headline)</w:t>
            </w:r>
          </w:p>
        </w:tc>
        <w:tc>
          <w:tcPr>
            <w:tcW w:w="0" w:type="auto"/>
            <w:hideMark/>
          </w:tcPr>
          <w:p w14:paraId="6AAA683B" w14:textId="3F0FB584" w:rsidR="00FE4F93" w:rsidRPr="00FE4F93" w:rsidRDefault="00FE4F93" w:rsidP="00FE4F93">
            <w:pPr>
              <w:spacing w:after="200"/>
              <w:cnfStyle w:val="000000100000" w:firstRow="0" w:lastRow="0" w:firstColumn="0" w:lastColumn="0" w:oddVBand="0" w:evenVBand="0" w:oddHBand="1" w:evenHBand="0" w:firstRowFirstColumn="0" w:firstRowLastColumn="0" w:lastRowFirstColumn="0" w:lastRowLastColumn="0"/>
            </w:pPr>
            <w:r w:rsidRPr="00FE4F93">
              <w:t>0.3</w:t>
            </w:r>
            <w:r>
              <w:t>5</w:t>
            </w:r>
          </w:p>
        </w:tc>
      </w:tr>
      <w:tr w:rsidR="00FE4F93" w:rsidRPr="00FE4F93" w14:paraId="56B10197" w14:textId="77777777" w:rsidTr="00FE4F93">
        <w:tc>
          <w:tcPr>
            <w:cnfStyle w:val="001000000000" w:firstRow="0" w:lastRow="0" w:firstColumn="1" w:lastColumn="0" w:oddVBand="0" w:evenVBand="0" w:oddHBand="0" w:evenHBand="0" w:firstRowFirstColumn="0" w:firstRowLastColumn="0" w:lastRowFirstColumn="0" w:lastRowLastColumn="0"/>
            <w:tcW w:w="0" w:type="auto"/>
            <w:hideMark/>
          </w:tcPr>
          <w:p w14:paraId="53369F8F" w14:textId="77777777" w:rsidR="00FE4F93" w:rsidRPr="00FE4F93" w:rsidRDefault="00FE4F93" w:rsidP="00FE4F93">
            <w:pPr>
              <w:spacing w:after="200"/>
            </w:pPr>
            <w:r w:rsidRPr="00FE4F93">
              <w:t>Range (propagated in headline MC)</w:t>
            </w:r>
          </w:p>
        </w:tc>
        <w:tc>
          <w:tcPr>
            <w:tcW w:w="0" w:type="auto"/>
            <w:hideMark/>
          </w:tcPr>
          <w:p w14:paraId="719405D7" w14:textId="77777777" w:rsidR="00FE4F93" w:rsidRPr="00FE4F93" w:rsidRDefault="00FE4F93" w:rsidP="00FE4F93">
            <w:pPr>
              <w:spacing w:after="200"/>
              <w:cnfStyle w:val="000000000000" w:firstRow="0" w:lastRow="0" w:firstColumn="0" w:lastColumn="0" w:oddVBand="0" w:evenVBand="0" w:oddHBand="0" w:evenHBand="0" w:firstRowFirstColumn="0" w:firstRowLastColumn="0" w:lastRowFirstColumn="0" w:lastRowLastColumn="0"/>
            </w:pPr>
            <w:r w:rsidRPr="00FE4F93">
              <w:t>Uniform[0.20, 0.50]</w:t>
            </w:r>
          </w:p>
        </w:tc>
      </w:tr>
      <w:tr w:rsidR="00FE4F93" w:rsidRPr="00FE4F93" w14:paraId="6350DD42" w14:textId="77777777" w:rsidTr="00FE4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6DAB1" w14:textId="77777777" w:rsidR="00FE4F93" w:rsidRPr="00FE4F93" w:rsidRDefault="00FE4F93" w:rsidP="00FE4F93">
            <w:pPr>
              <w:spacing w:after="200"/>
            </w:pPr>
            <w:r w:rsidRPr="00FE4F93">
              <w:t>Grounding quality</w:t>
            </w:r>
          </w:p>
        </w:tc>
        <w:tc>
          <w:tcPr>
            <w:tcW w:w="0" w:type="auto"/>
            <w:hideMark/>
          </w:tcPr>
          <w:p w14:paraId="3950942A" w14:textId="77777777" w:rsidR="00FE4F93" w:rsidRPr="00FE4F93" w:rsidRDefault="00FE4F93" w:rsidP="00FE4F93">
            <w:pPr>
              <w:spacing w:after="200"/>
              <w:cnfStyle w:val="000000100000" w:firstRow="0" w:lastRow="0" w:firstColumn="0" w:lastColumn="0" w:oddVBand="0" w:evenVBand="0" w:oddHBand="1" w:evenHBand="0" w:firstRowFirstColumn="0" w:firstRowLastColumn="0" w:lastRowFirstColumn="0" w:lastRowLastColumn="0"/>
            </w:pPr>
            <w:r w:rsidRPr="00FE4F93">
              <w:t>ESTIMATED-WEAK</w:t>
            </w:r>
          </w:p>
        </w:tc>
      </w:tr>
      <w:tr w:rsidR="00FE4F93" w:rsidRPr="00FE4F93" w14:paraId="3F5ED10D" w14:textId="77777777" w:rsidTr="00FE4F93">
        <w:tc>
          <w:tcPr>
            <w:cnfStyle w:val="001000000000" w:firstRow="0" w:lastRow="0" w:firstColumn="1" w:lastColumn="0" w:oddVBand="0" w:evenVBand="0" w:oddHBand="0" w:evenHBand="0" w:firstRowFirstColumn="0" w:firstRowLastColumn="0" w:lastRowFirstColumn="0" w:lastRowLastColumn="0"/>
            <w:tcW w:w="0" w:type="auto"/>
            <w:hideMark/>
          </w:tcPr>
          <w:p w14:paraId="30450A30" w14:textId="77777777" w:rsidR="00FE4F93" w:rsidRPr="00FE4F93" w:rsidRDefault="00FE4F93" w:rsidP="00FE4F93">
            <w:pPr>
              <w:spacing w:after="200"/>
            </w:pPr>
            <w:r w:rsidRPr="00FE4F93">
              <w:t>Variance contribution</w:t>
            </w:r>
          </w:p>
        </w:tc>
        <w:tc>
          <w:tcPr>
            <w:tcW w:w="0" w:type="auto"/>
            <w:hideMark/>
          </w:tcPr>
          <w:p w14:paraId="63A4ABC7" w14:textId="77777777" w:rsidR="00FE4F93" w:rsidRPr="00FE4F93" w:rsidRDefault="00FE4F93" w:rsidP="00FE4F93">
            <w:pPr>
              <w:spacing w:after="200"/>
              <w:cnfStyle w:val="000000000000" w:firstRow="0" w:lastRow="0" w:firstColumn="0" w:lastColumn="0" w:oddVBand="0" w:evenVBand="0" w:oddHBand="0" w:evenHBand="0" w:firstRowFirstColumn="0" w:firstRowLastColumn="0" w:lastRowFirstColumn="0" w:lastRowLastColumn="0"/>
            </w:pPr>
            <w:r w:rsidRPr="00FE4F93">
              <w:t>43.9% (highest)</w:t>
            </w:r>
          </w:p>
        </w:tc>
      </w:tr>
    </w:tbl>
    <w:p w14:paraId="5D2ECD65" w14:textId="77777777" w:rsidR="00FE4F93" w:rsidRDefault="00FE4F93" w:rsidP="00FE4F93">
      <w:pPr>
        <w:rPr>
          <w:b/>
          <w:bCs/>
        </w:rPr>
      </w:pPr>
    </w:p>
    <w:p w14:paraId="3386BECF" w14:textId="28298DB9" w:rsidR="00FE4F93" w:rsidRPr="00FE4F93" w:rsidRDefault="00FE4F93" w:rsidP="00FE4F93">
      <w:r w:rsidRPr="00FE4F93">
        <w:rPr>
          <w:b/>
          <w:bCs/>
        </w:rPr>
        <w:t>Role in the simulation</w:t>
      </w:r>
    </w:p>
    <w:p w14:paraId="5352D1EE" w14:textId="4D0C1EC1" w:rsidR="00FE4F93" w:rsidRPr="00FE4F93" w:rsidRDefault="00FE4F93" w:rsidP="00FE4F93">
      <w:r w:rsidRPr="00FE4F93">
        <w:t xml:space="preserve">The headline commitment-depth results in </w:t>
      </w:r>
      <w:r>
        <w:t xml:space="preserve">Section </w:t>
      </w:r>
      <w:r w:rsidRPr="00FE4F93">
        <w:t>5 are computed by a conditional Monte Carlo that draws D2 from Uniform[0.20, 0.50] for each of 2,000 iterations × 200 ComEd stress hours (400,000 total draws). The central value of 0.3</w:t>
      </w:r>
      <w:r>
        <w:t>5</w:t>
      </w:r>
      <w:r w:rsidRPr="00FE4F93">
        <w:t xml:space="preserve"> is used only as a reference point — in variance decomposition (Part 2), in the 2D sensitivity surface (</w:t>
      </w:r>
      <w:r>
        <w:t xml:space="preserve">Section </w:t>
      </w:r>
      <w:r w:rsidRPr="00FE4F93">
        <w:t>6a), and as the range midpoint. Reported reliability curves, CVaR, and percent-constrained statistics propagate the full [0.20, 0.50] uncertainty rather than conditioning on the midpoint.</w:t>
      </w:r>
    </w:p>
    <w:p w14:paraId="2B4C8349" w14:textId="77777777" w:rsidR="00FE4F93" w:rsidRPr="00FE4F93" w:rsidRDefault="00FE4F93" w:rsidP="00FE4F93">
      <w:r w:rsidRPr="00FE4F93">
        <w:rPr>
          <w:b/>
          <w:bCs/>
        </w:rPr>
        <w:t>What D2 Measures</w:t>
      </w:r>
    </w:p>
    <w:p w14:paraId="3155499C" w14:textId="77777777" w:rsidR="00FE4F93" w:rsidRPr="00FE4F93" w:rsidRDefault="00FE4F93" w:rsidP="00FE4F93">
      <w:r w:rsidRPr="00FE4F93">
        <w:t xml:space="preserve">D2 answers: </w:t>
      </w:r>
      <w:r w:rsidRPr="00FE4F93">
        <w:rPr>
          <w:i/>
          <w:iCs/>
        </w:rPr>
        <w:t>at destination facilities, what fraction of GPU compute capacity is idle and available to absorb migrated inference workloads during grid stress hours?</w:t>
      </w:r>
    </w:p>
    <w:p w14:paraId="2FF5A117" w14:textId="1675F648" w:rsidR="00FE4F93" w:rsidRPr="00FE4F93" w:rsidRDefault="00FE4F93" w:rsidP="00FE4F93">
      <w:r w:rsidRPr="00FE4F93">
        <w:t>D2 represents GPU compute absorption capacity, not facility-level load factor. The distinction is critical: facility-level load factor includes cooling (30–40% of facility power per EPRI 2024), power conditioning, networking, and storage overhead. None of these can absorb migrated inference workloads. D2 measures headroom in the GPU compute layer specifically. We use facility-level and service-level utilization estimates as bounds on GPU-level headroom, since non-compute overhead scales only partially with IT load; when cited, we note which quantity each source measures</w:t>
      </w:r>
      <w:r w:rsidR="005C6C9C" w:rsidRPr="005C6C9C">
        <w:t xml:space="preserve"> (see the PUE stability evidence in Uptime 2024, discussed below)</w:t>
      </w:r>
      <w:r w:rsidRPr="00FE4F93">
        <w:t>.</w:t>
      </w:r>
    </w:p>
    <w:p w14:paraId="7D31CAC4" w14:textId="77777777" w:rsidR="00FE4F93" w:rsidRPr="00FE4F93" w:rsidRDefault="00FE4F93" w:rsidP="00FE4F93">
      <w:r w:rsidRPr="00FE4F93">
        <w:rPr>
          <w:b/>
          <w:bCs/>
        </w:rPr>
        <w:t>Evidence Base</w:t>
      </w:r>
    </w:p>
    <w:p w14:paraId="08524B32" w14:textId="77777777" w:rsidR="005C6C9C" w:rsidRPr="00FE4F93" w:rsidRDefault="005C6C9C" w:rsidP="005C6C9C">
      <w:r w:rsidRPr="00FE4F93">
        <w:lastRenderedPageBreak/>
        <w:t>No published study directly measures GPU-level utilization distributions at production AI inference facilities during grid stress hours. The D2 range is grounded in the following evidence:</w:t>
      </w:r>
    </w:p>
    <w:p w14:paraId="581B7609" w14:textId="77777777" w:rsidR="005C6C9C" w:rsidRPr="00FE4F93" w:rsidRDefault="005C6C9C" w:rsidP="005C6C9C">
      <w:r w:rsidRPr="00FE4F93">
        <w:rPr>
          <w:b/>
          <w:bCs/>
          <w:i/>
          <w:iCs/>
        </w:rPr>
        <w:t>Direct evidence from production AI inference workloads.</w:t>
      </w:r>
      <w:r w:rsidRPr="00FE4F93">
        <w:t xml:space="preserve"> Stojkovic et al. (2024, DynamoLLM) report peak-to-valley load ratios from production Azure AI inference services of 3.3× (Conversation) and 34.6× (Coding) over one week of invocation traces, with strong diurnal patterns peaking during working hours. These ratios imply average load is 30% of peak (Conversation) and as low as 3% of peak (Coding) during valley hours. This is the only source in our compilation that directly measures AI inference workload variability in production; it establishes that meaningful headroom exists at the service level during off-peak hours, while confirming that working-hour peaks are genuinely constrained. It does not resolve GPU-level utilization at individual facilities, because service load can be concentrated on active facilities while others idle.</w:t>
      </w:r>
    </w:p>
    <w:p w14:paraId="1ED0ADC8" w14:textId="77777777" w:rsidR="00FE4F93" w:rsidRDefault="00FE4F93" w:rsidP="00FE4F93">
      <w:r w:rsidRPr="00FE4F93">
        <w:rPr>
          <w:b/>
          <w:bCs/>
          <w:i/>
          <w:iCs/>
        </w:rPr>
        <w:t>Fleet-level modeling evidence.</w:t>
      </w:r>
      <w:r w:rsidRPr="00FE4F93">
        <w:t xml:space="preserve"> Shehabi et al. (2024, LBNL-2001637) model server operational time by facility type and report ~40% for AI Inferencing, ~50% for Hyperscale, ~80% for AI Training. For an inference-dominant population, this implies fleet-average D2 ≈ 0.60 — higher than our range midpoint. We adopt a more conservative range because peak-hour utilization materially exceeds annual average, and our cascade requires headroom during grid stress hours specifically, which correlate with working-hour demand peaks.</w:t>
      </w:r>
    </w:p>
    <w:p w14:paraId="62CD6B95" w14:textId="6C0059DA" w:rsidR="005C6C9C" w:rsidRPr="00FE4F93" w:rsidRDefault="005C6C9C" w:rsidP="00FE4F93">
      <w:r w:rsidRPr="005C6C9C">
        <w:rPr>
          <w:b/>
          <w:bCs/>
          <w:i/>
          <w:iCs/>
        </w:rPr>
        <w:t>Facility-level industry survey evidence.</w:t>
      </w:r>
      <w:r w:rsidRPr="005C6C9C">
        <w:rPr>
          <w:i/>
          <w:iCs/>
        </w:rPr>
        <w:t xml:space="preserve"> </w:t>
      </w:r>
      <w:r w:rsidRPr="005C6C9C">
        <w:t xml:space="preserve">Uptime Institute's 2024 Global Data Center Survey (n=526 facilities reporting PUE; broader survey n&gt;850 operators) reports that approximately one in four surveyed data centers operates at less than 40% of rated UPS capacity.¹ This is a power-utilization measurement against nameplate rather than a GPU-layer measurement, and it reflects the broad data center population — enterprise, colocation, and cloud/hosting segments, with hyperscale underrepresented — not the inference-dominant subpopulation our cascade targets. It is also a facility-average rather than a stress-hour figure. With those limitations noted, the survey establishes that a non-trivial share of the installed base carries headroom well above our upper bound of 0.50 on an annualized facility basis. The same survey provides two supporting observations relevant to our range. First, only 23% of operators identify generative AI training or inference as the primary driver of their highest-density deployments; business applications (49%) and HPC (52% combined, with and without accelerators) still dominate, confirming that AI inference is a distinct workload segment within the surveyed population rather than representative of it. Second, the industry-average PUE has been stuck at 1.54–1.58 for six consecutive years (1.56 in 2024, 1.54 in 2025), consistent with our framing assumption that non-IT overhead does not scale linearly with IT load — if it did, rising AI utilization would be pulling PUE downward, which it is not. This corroborates treating facility-level </w:t>
      </w:r>
      <w:r w:rsidRPr="005C6C9C">
        <w:lastRenderedPageBreak/>
        <w:t>utilization as a conservative lower bound on GPU-layer headroom rather than a direct substitute.</w:t>
      </w:r>
      <w:r>
        <w:rPr>
          <w:rStyle w:val="FootnoteReference"/>
        </w:rPr>
        <w:footnoteReference w:id="4"/>
      </w:r>
    </w:p>
    <w:p w14:paraId="46A7A307" w14:textId="77777777" w:rsidR="00FE4F93" w:rsidRPr="00FE4F93" w:rsidRDefault="00FE4F93" w:rsidP="00FE4F93">
      <w:r w:rsidRPr="00FE4F93">
        <w:rPr>
          <w:b/>
          <w:bCs/>
          <w:i/>
          <w:iCs/>
        </w:rPr>
        <w:t>Workload-adjacent evidence</w:t>
      </w:r>
      <w:r w:rsidRPr="00FE4F93">
        <w:rPr>
          <w:i/>
          <w:iCs/>
        </w:rPr>
        <w:t>.</w:t>
      </w:r>
      <w:r w:rsidRPr="00FE4F93">
        <w:t xml:space="preserve"> Cortez et al. (2017) measure 2017 Azure enterprise VM CPU utilization and find 60% of VMs below 20% average and ~40% below 50% at the 95th percentile. This is production measurement, but enterprise CPU is not GPU inference. It supports the general proposition that commercial virtualized compute carries substantial headroom, without directly constraining GPU inference utilization.</w:t>
      </w:r>
    </w:p>
    <w:p w14:paraId="2826276D" w14:textId="77777777" w:rsidR="00FE4F93" w:rsidRPr="00FE4F93" w:rsidRDefault="00FE4F93" w:rsidP="00FE4F93">
      <w:r w:rsidRPr="00FE4F93">
        <w:rPr>
          <w:b/>
          <w:bCs/>
        </w:rPr>
        <w:t>Range Justification</w:t>
      </w:r>
    </w:p>
    <w:p w14:paraId="5AC338F1" w14:textId="77777777" w:rsidR="00FE4F93" w:rsidRPr="00FE4F93" w:rsidRDefault="00FE4F93" w:rsidP="00FE4F93">
      <w:r w:rsidRPr="00FE4F93">
        <w:t>The Uniform[0.20, 0.50] range reflects:</w:t>
      </w:r>
    </w:p>
    <w:p w14:paraId="0E6C662C" w14:textId="77777777" w:rsidR="00FE4F93" w:rsidRPr="00FE4F93" w:rsidRDefault="00FE4F93" w:rsidP="00FE4F93">
      <w:pPr>
        <w:numPr>
          <w:ilvl w:val="0"/>
          <w:numId w:val="27"/>
        </w:numPr>
      </w:pPr>
      <w:r w:rsidRPr="00FE4F93">
        <w:rPr>
          <w:b/>
          <w:bCs/>
        </w:rPr>
        <w:t>Lower bound (0.20): commercial overprovisioning floor.</w:t>
      </w:r>
      <w:r w:rsidRPr="00FE4F93">
        <w:t xml:space="preserve"> Facilities maintain spare capacity for redundancy, burst handling, and business continuity — commercial rationales independent of spatial migration and robust across facility types. These sustain a minimum headroom of ~20% even during peak hours.</w:t>
      </w:r>
    </w:p>
    <w:p w14:paraId="6F9859AF" w14:textId="5D8E62FD" w:rsidR="00FE4F93" w:rsidRPr="00FE4F93" w:rsidRDefault="00FE4F93" w:rsidP="00FE4F93">
      <w:pPr>
        <w:numPr>
          <w:ilvl w:val="0"/>
          <w:numId w:val="27"/>
        </w:numPr>
      </w:pPr>
      <w:r w:rsidRPr="00FE4F93">
        <w:rPr>
          <w:b/>
          <w:bCs/>
        </w:rPr>
        <w:t>Upper bound (0.50): conservative relative to Shehabi's ~0.60.</w:t>
      </w:r>
      <w:r w:rsidRPr="00FE4F93">
        <w:t xml:space="preserve"> Shehabi's modeled ~40% server operational time for AI Inferencing implies fleet-average D2 ≈ 0.60. We cap at 0.50 because (a) our cascade targets stress hours specifically, when utilization exceeds average, and (b) we want the range bounded by values the cascade output remains plausible across, not by the single highest modeled value in the literature.</w:t>
      </w:r>
      <w:r w:rsidR="005C6C9C">
        <w:t xml:space="preserve"> </w:t>
      </w:r>
      <w:r w:rsidR="005C6C9C" w:rsidRPr="005C6C9C">
        <w:t>Uptime 2024 further corroborates that 0.50 is a conservative cap: roughly a quarter of surveyed facilities operate below 40% of UPS capacity on a facility-level basis, implying facility headroom above 0.60 for a non-trivial share of the installed base.</w:t>
      </w:r>
    </w:p>
    <w:p w14:paraId="42B57527" w14:textId="77777777" w:rsidR="00FE4F93" w:rsidRPr="00FE4F93" w:rsidRDefault="00FE4F93" w:rsidP="00FE4F93">
      <w:pPr>
        <w:numPr>
          <w:ilvl w:val="0"/>
          <w:numId w:val="27"/>
        </w:numPr>
      </w:pPr>
      <w:r w:rsidRPr="00FE4F93">
        <w:rPr>
          <w:b/>
          <w:bCs/>
        </w:rPr>
        <w:t>No empirical basis exists for narrower bounds.</w:t>
      </w:r>
      <w:r w:rsidRPr="00FE4F93">
        <w:t xml:space="preserve"> Narrowing would require either production inference telemetry during grid stress hours (unavailable publicly) or a principled argument for excluding plausible values (unavailable). The [0.20, 0.50] range is the honest representation of current evidence, and the cascade propagates this uncertainty explicitly rather than collapsing it to a point estimate.</w:t>
      </w:r>
    </w:p>
    <w:p w14:paraId="465C2645" w14:textId="77777777" w:rsidR="00FE4F93" w:rsidRPr="00FE4F93" w:rsidRDefault="00FE4F93" w:rsidP="00FE4F93">
      <w:r w:rsidRPr="00FE4F93">
        <w:rPr>
          <w:b/>
          <w:bCs/>
        </w:rPr>
        <w:t>Why D2 Drives Cascade Variance</w:t>
      </w:r>
    </w:p>
    <w:p w14:paraId="5834FB62" w14:textId="77777777" w:rsidR="00FE4F93" w:rsidRPr="00FE4F93" w:rsidRDefault="00FE4F93" w:rsidP="00FE4F93">
      <w:r w:rsidRPr="00FE4F93">
        <w:t xml:space="preserve">D2 contributes </w:t>
      </w:r>
      <w:r w:rsidRPr="00FE4F93">
        <w:rPr>
          <w:highlight w:val="yellow"/>
        </w:rPr>
        <w:t>43.9%</w:t>
      </w:r>
      <w:r w:rsidRPr="00FE4F93">
        <w:t xml:space="preserve"> of cascade variance (largest single contribution) because:</w:t>
      </w:r>
    </w:p>
    <w:p w14:paraId="039CC209" w14:textId="77777777" w:rsidR="00FE4F93" w:rsidRPr="00FE4F93" w:rsidRDefault="00FE4F93" w:rsidP="00FE4F93">
      <w:pPr>
        <w:numPr>
          <w:ilvl w:val="0"/>
          <w:numId w:val="28"/>
        </w:numPr>
      </w:pPr>
      <w:r w:rsidRPr="00FE4F93">
        <w:t>The [0.20, 0.50] range spans a factor of 2.5, and at low absolute values the multiplicative impact on the cascade product is large.</w:t>
      </w:r>
    </w:p>
    <w:p w14:paraId="2FCC882C" w14:textId="77777777" w:rsidR="00FE4F93" w:rsidRPr="00FE4F93" w:rsidRDefault="00FE4F93" w:rsidP="00FE4F93">
      <w:pPr>
        <w:numPr>
          <w:ilvl w:val="0"/>
          <w:numId w:val="28"/>
        </w:numPr>
      </w:pPr>
      <w:r w:rsidRPr="00FE4F93">
        <w:lastRenderedPageBreak/>
        <w:t>No published study directly measures GPU-level utilization distributions at production inference facilities during grid stress hours.</w:t>
      </w:r>
    </w:p>
    <w:p w14:paraId="5490BC9A" w14:textId="77777777" w:rsidR="00FE4F93" w:rsidRPr="00FE4F93" w:rsidRDefault="00FE4F93" w:rsidP="00FE4F93">
      <w:pPr>
        <w:numPr>
          <w:ilvl w:val="0"/>
          <w:numId w:val="28"/>
        </w:numPr>
      </w:pPr>
      <w:r w:rsidRPr="00FE4F93">
        <w:t>Utilization varies substantially by facility type (Shehabi: ~40% inferencing vs ~80% training), time of day (Stojkovic: peak-to-valley 3.3× to 34.6×), and workload mix — and none of the available sources maps cleanly onto our modeled population during the specific hours that matter for the cascade.</w:t>
      </w:r>
    </w:p>
    <w:p w14:paraId="4FA037C3" w14:textId="77777777" w:rsidR="00FE4F93" w:rsidRPr="00FE4F93" w:rsidRDefault="00FE4F93" w:rsidP="00FE4F93">
      <w:r w:rsidRPr="00FE4F93">
        <w:rPr>
          <w:b/>
          <w:bCs/>
        </w:rPr>
        <w:t>What would resolve this.</w:t>
      </w:r>
      <w:r w:rsidRPr="00FE4F93">
        <w:t xml:space="preserve"> GPU-level power draw or utilization telemetry from production inference facilities, specifically time-series data aligned to grid stress hours in the source interconnection. This is the single most valuable empirical contribution that hyperscale operators could make to tighten the cascade estimate.</w:t>
      </w:r>
    </w:p>
    <w:p w14:paraId="509F8F97" w14:textId="77777777" w:rsidR="005C00BD" w:rsidRDefault="00000000">
      <w:r>
        <w:pict w14:anchorId="509F91AA">
          <v:rect id="_x0000_i1029" style="width:0;height:1.5pt" o:hralign="center" o:hrstd="t" o:hr="t"/>
        </w:pict>
      </w:r>
    </w:p>
    <w:p w14:paraId="509F8F98" w14:textId="77777777" w:rsidR="005C00BD" w:rsidRDefault="00000000">
      <w:pPr>
        <w:pStyle w:val="Heading3"/>
      </w:pPr>
      <w:bookmarkStart w:id="34" w:name="d3-hardware-compatibility"/>
      <w:bookmarkEnd w:id="32"/>
      <w:bookmarkEnd w:id="33"/>
      <w:r>
        <w:t>D3: Hardware Compatibility</w:t>
      </w:r>
    </w:p>
    <w:tbl>
      <w:tblPr>
        <w:tblStyle w:val="Table"/>
        <w:tblW w:w="5000" w:type="pct"/>
        <w:tblLook w:val="0020" w:firstRow="1" w:lastRow="0" w:firstColumn="0" w:lastColumn="0" w:noHBand="0" w:noVBand="0"/>
      </w:tblPr>
      <w:tblGrid>
        <w:gridCol w:w="2404"/>
        <w:gridCol w:w="7172"/>
      </w:tblGrid>
      <w:tr w:rsidR="005C00BD" w14:paraId="509F8F9B"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8F99" w14:textId="77777777" w:rsidR="005C00BD" w:rsidRDefault="00000000">
            <w:pPr>
              <w:pStyle w:val="Compact"/>
            </w:pPr>
            <w:r>
              <w:t>Attribute</w:t>
            </w:r>
          </w:p>
        </w:tc>
        <w:tc>
          <w:tcPr>
            <w:tcW w:w="0" w:type="auto"/>
          </w:tcPr>
          <w:p w14:paraId="509F8F9A" w14:textId="77777777" w:rsidR="005C00BD" w:rsidRDefault="00000000">
            <w:pPr>
              <w:pStyle w:val="Compact"/>
            </w:pPr>
            <w:r>
              <w:t>Value</w:t>
            </w:r>
          </w:p>
        </w:tc>
      </w:tr>
      <w:tr w:rsidR="005C00BD" w14:paraId="509F8F9E" w14:textId="77777777">
        <w:tc>
          <w:tcPr>
            <w:tcW w:w="0" w:type="auto"/>
          </w:tcPr>
          <w:p w14:paraId="509F8F9C" w14:textId="77777777" w:rsidR="005C00BD" w:rsidRDefault="00000000">
            <w:pPr>
              <w:pStyle w:val="Compact"/>
            </w:pPr>
            <w:r>
              <w:t>Central value</w:t>
            </w:r>
          </w:p>
        </w:tc>
        <w:tc>
          <w:tcPr>
            <w:tcW w:w="0" w:type="auto"/>
          </w:tcPr>
          <w:p w14:paraId="509F8F9D" w14:textId="77777777" w:rsidR="005C00BD" w:rsidRDefault="00000000">
            <w:pPr>
              <w:pStyle w:val="Compact"/>
            </w:pPr>
            <w:r>
              <w:t>0.88</w:t>
            </w:r>
          </w:p>
        </w:tc>
      </w:tr>
      <w:tr w:rsidR="005C00BD" w14:paraId="509F8FA1" w14:textId="77777777">
        <w:tc>
          <w:tcPr>
            <w:tcW w:w="0" w:type="auto"/>
          </w:tcPr>
          <w:p w14:paraId="509F8F9F" w14:textId="77777777" w:rsidR="005C00BD" w:rsidRDefault="00000000">
            <w:pPr>
              <w:pStyle w:val="Compact"/>
            </w:pPr>
            <w:r>
              <w:t>Range</w:t>
            </w:r>
          </w:p>
        </w:tc>
        <w:tc>
          <w:tcPr>
            <w:tcW w:w="0" w:type="auto"/>
          </w:tcPr>
          <w:p w14:paraId="509F8FA0" w14:textId="77777777" w:rsidR="005C00BD" w:rsidRDefault="00000000">
            <w:pPr>
              <w:pStyle w:val="Compact"/>
            </w:pPr>
            <w:r>
              <w:t>Uniform[0.80, 0.92] (unconditional MC); fixed at 0.88 in conditional MC</w:t>
            </w:r>
          </w:p>
        </w:tc>
      </w:tr>
      <w:tr w:rsidR="005C00BD" w14:paraId="509F8FA4" w14:textId="77777777">
        <w:tc>
          <w:tcPr>
            <w:tcW w:w="0" w:type="auto"/>
          </w:tcPr>
          <w:p w14:paraId="509F8FA2" w14:textId="77777777" w:rsidR="005C00BD" w:rsidRDefault="00000000">
            <w:pPr>
              <w:pStyle w:val="Compact"/>
            </w:pPr>
            <w:r>
              <w:t>Grounding quality</w:t>
            </w:r>
          </w:p>
        </w:tc>
        <w:tc>
          <w:tcPr>
            <w:tcW w:w="0" w:type="auto"/>
          </w:tcPr>
          <w:p w14:paraId="509F8FA3" w14:textId="77777777" w:rsidR="005C00BD" w:rsidRDefault="00000000">
            <w:pPr>
              <w:pStyle w:val="Compact"/>
            </w:pPr>
            <w:r>
              <w:t>ESTIMATED-MODERATE</w:t>
            </w:r>
          </w:p>
        </w:tc>
      </w:tr>
      <w:tr w:rsidR="005C00BD" w14:paraId="509F8FA7" w14:textId="77777777">
        <w:tc>
          <w:tcPr>
            <w:tcW w:w="0" w:type="auto"/>
          </w:tcPr>
          <w:p w14:paraId="509F8FA5" w14:textId="77777777" w:rsidR="005C00BD" w:rsidRDefault="00000000">
            <w:pPr>
              <w:pStyle w:val="Compact"/>
            </w:pPr>
            <w:r>
              <w:t>Variance contribution</w:t>
            </w:r>
          </w:p>
        </w:tc>
        <w:tc>
          <w:tcPr>
            <w:tcW w:w="0" w:type="auto"/>
          </w:tcPr>
          <w:p w14:paraId="509F8FA6" w14:textId="77777777" w:rsidR="005C00BD" w:rsidRDefault="00000000">
            <w:pPr>
              <w:pStyle w:val="Compact"/>
            </w:pPr>
            <w:r>
              <w:t>1.0%</w:t>
            </w:r>
          </w:p>
        </w:tc>
      </w:tr>
    </w:tbl>
    <w:p w14:paraId="509F8FA8" w14:textId="77777777" w:rsidR="005C00BD" w:rsidRDefault="00000000">
      <w:pPr>
        <w:pStyle w:val="Heading4"/>
      </w:pPr>
      <w:bookmarkStart w:id="35" w:name="what-d3-measures"/>
      <w:r>
        <w:t>What D3 Measures</w:t>
      </w:r>
    </w:p>
    <w:p w14:paraId="509F8FA9" w14:textId="77777777" w:rsidR="005C00BD" w:rsidRDefault="00000000">
      <w:pPr>
        <w:pStyle w:val="FirstParagraph"/>
      </w:pPr>
      <w:r>
        <w:t xml:space="preserve">D3 answers: </w:t>
      </w:r>
      <w:r>
        <w:rPr>
          <w:i/>
          <w:iCs/>
        </w:rPr>
        <w:t>can the destination facility actually run the migrating inference workload on its available GPU hardware?</w:t>
      </w:r>
    </w:p>
    <w:p w14:paraId="509F8FAA" w14:textId="77777777" w:rsidR="005C00BD" w:rsidRDefault="00000000">
      <w:pPr>
        <w:pStyle w:val="Heading4"/>
      </w:pPr>
      <w:bookmarkStart w:id="36" w:name="gpu-architecture-compatibility"/>
      <w:bookmarkEnd w:id="35"/>
      <w:r>
        <w:t>GPU Architecture Compatibility</w:t>
      </w:r>
    </w:p>
    <w:p w14:paraId="509F8FAB" w14:textId="77777777" w:rsidR="005C00BD" w:rsidRDefault="00000000">
      <w:pPr>
        <w:pStyle w:val="FirstParagraph"/>
      </w:pPr>
      <w:r>
        <w:t xml:space="preserve">NVIDIA’s CUDA driver provides </w:t>
      </w:r>
      <w:r>
        <w:rPr>
          <w:b/>
          <w:bCs/>
        </w:rPr>
        <w:t>backward compatibility:</w:t>
      </w:r>
      <w:r>
        <w:t xml:space="preserve"> a newer driver can run applications compiled for older CUDA toolkit versions. This means an inference model compiled for A100 (compute capability 8.0) runs on H100 (compute capability 9.0) without recompilation.</w:t>
      </w:r>
    </w:p>
    <w:p w14:paraId="509F8FAC" w14:textId="77777777" w:rsidR="005C00BD" w:rsidRDefault="00000000">
      <w:pPr>
        <w:pStyle w:val="BodyText"/>
      </w:pPr>
      <w:r>
        <w:t>Source: NVIDIA CUDA Compatibility Documentation (https://docs.nvidia.com/deploy/cuda-compatibility/)</w:t>
      </w:r>
    </w:p>
    <w:p w14:paraId="509F8FAD" w14:textId="75F0DD4B" w:rsidR="005C00BD" w:rsidRDefault="00000000">
      <w:pPr>
        <w:pStyle w:val="BodyText"/>
      </w:pPr>
      <w:r>
        <w:rPr>
          <w:b/>
          <w:bCs/>
        </w:rPr>
        <w:t>Forward compatibility</w:t>
      </w:r>
      <w:r>
        <w:t xml:space="preserve"> </w:t>
      </w:r>
      <w:r w:rsidR="006B61CE" w:rsidRPr="006B61CE">
        <w:t>(newer application on older driver across major release families) requires explicit installation of the CUDA Forward Compatibility package and is supported only on NVIDIA Data Center GPUs, select NGC Server Ready RTX SKUs, and Jetson boards (NVIDIA 2026).</w:t>
      </w:r>
    </w:p>
    <w:p w14:paraId="509F8FAE" w14:textId="77777777" w:rsidR="005C00BD" w:rsidRDefault="00000000">
      <w:pPr>
        <w:pStyle w:val="BodyText"/>
      </w:pPr>
      <w:r>
        <w:t>Source: NVIDIA CUDA Forward Compatibility Documentation (https://docs.nvidia.com/deploy/cuda-compatibility/forward-compatibility.html)</w:t>
      </w:r>
    </w:p>
    <w:p w14:paraId="509F8FAF" w14:textId="77777777" w:rsidR="005C00BD" w:rsidRDefault="00000000">
      <w:pPr>
        <w:pStyle w:val="Heading4"/>
      </w:pPr>
      <w:bookmarkStart w:id="37" w:name="the-tensorrt-llm-constraint"/>
      <w:bookmarkEnd w:id="36"/>
      <w:r>
        <w:lastRenderedPageBreak/>
        <w:t>The TensorRT-LLM Constraint</w:t>
      </w:r>
    </w:p>
    <w:p w14:paraId="509F8FB0" w14:textId="77777777" w:rsidR="005C00BD" w:rsidRDefault="00000000">
      <w:pPr>
        <w:pStyle w:val="FirstParagraph"/>
      </w:pPr>
      <w:r>
        <w:t>TensorRT-LLM compiles models to GPU-architecture-specific engines identified by CUDA compute capability (e.g., 80 for A100, 90 for Hopper). An A100 engine cannot execute on an H100 without recompilation, which adds 5–30 minutes per model depending on model size. A multi-site operator using TensorRT-LLM would need to pre-stage compiled engines for all destination GPU architectures, or use framework-agnostic serving (vLLM, TGI).</w:t>
      </w:r>
    </w:p>
    <w:p w14:paraId="509F8FB1" w14:textId="77777777" w:rsidR="005C00BD" w:rsidRDefault="00000000">
      <w:pPr>
        <w:pStyle w:val="BodyText"/>
      </w:pPr>
      <w:r>
        <w:t>Source: NVIDIA TensorRT-LLM Support Matrix (https://nvidia.github.io/TensorRT-LLM/reference/support-matrix.html)</w:t>
      </w:r>
    </w:p>
    <w:p w14:paraId="509F8FB2" w14:textId="77777777" w:rsidR="005C00BD" w:rsidRDefault="00000000">
      <w:pPr>
        <w:pStyle w:val="Heading4"/>
      </w:pPr>
      <w:bookmarkStart w:id="38" w:name="framework-portability"/>
      <w:bookmarkEnd w:id="37"/>
      <w:r>
        <w:t>Framework Portability</w:t>
      </w:r>
    </w:p>
    <w:p w14:paraId="509F8FB3" w14:textId="77777777" w:rsidR="005C00BD" w:rsidRDefault="00000000">
      <w:pPr>
        <w:pStyle w:val="FirstParagraph"/>
      </w:pPr>
      <w:r>
        <w:t xml:space="preserve">The dominant inference serving frameworks reinforce hardware portability: - </w:t>
      </w:r>
      <w:r>
        <w:rPr>
          <w:b/>
          <w:bCs/>
        </w:rPr>
        <w:t>vLLM</w:t>
      </w:r>
      <w:r>
        <w:t xml:space="preserve"> supports NVIDIA GPUs, AMD GPUs, Intel GPUs, and TPUs; designed for hardware independence (Red Hat, October 2025) - Standard deployments use containerized serving (Docker/Kubernetes), abstracting hardware specifics behind a consistent API</w:t>
      </w:r>
    </w:p>
    <w:p w14:paraId="509F8FB4" w14:textId="77777777" w:rsidR="005C00BD" w:rsidRDefault="00000000">
      <w:pPr>
        <w:pStyle w:val="Heading4"/>
      </w:pPr>
      <w:bookmarkStart w:id="39" w:name="d3-0.88"/>
      <w:bookmarkEnd w:id="38"/>
      <w:r>
        <w:t>D3 = 0.88</w:t>
      </w:r>
    </w:p>
    <w:p w14:paraId="509F8FB5" w14:textId="77777777" w:rsidR="005C00BD" w:rsidRDefault="00000000">
      <w:pPr>
        <w:pStyle w:val="FirstParagraph"/>
      </w:pPr>
      <w:r>
        <w:t>The 0.88 value reflects: - The fraction of the destination GPU fleet running compatible CUDA compute capabilities, accounting for the heterogeneous mix of GPU generations (V100, A100, H100, B100) - Residual risk from quantization format mismatches (FP8 on H100 vs FP16 on A100) and generation-specific GPU features - The assumption that participating operators pre-stage architecture-specific binaries but cannot guarantee coverage across every destination GPU variant</w:t>
      </w:r>
    </w:p>
    <w:p w14:paraId="509F8FB6" w14:textId="77777777" w:rsidR="005C00BD" w:rsidRDefault="00000000">
      <w:pPr>
        <w:pStyle w:val="BodyText"/>
      </w:pPr>
      <w:r>
        <w:t xml:space="preserve">D3 is held fixed in the conditional Monte Carlo because it is fundamentally a </w:t>
      </w:r>
      <w:r>
        <w:rPr>
          <w:b/>
          <w:bCs/>
        </w:rPr>
        <w:t>design parameter</w:t>
      </w:r>
      <w:r>
        <w:t>: participating operators solve hardware compatibility by construction through pre-staging. The 0.88 value accounts for the realistic fraction of the destination fleet that is compatible at any given time. In the unconditional cascade Monte Carlo used for variance decomposition, D3 is drawn from Uniform[0.80, 0.92] to capture the uncertainty in fleet-wide hardware compatibility.</w:t>
      </w:r>
    </w:p>
    <w:p w14:paraId="509F8FB7" w14:textId="77777777" w:rsidR="005C00BD" w:rsidRDefault="00000000">
      <w:r>
        <w:pict w14:anchorId="509F91AB">
          <v:rect id="_x0000_i1030" style="width:0;height:1.5pt" o:hralign="center" o:hrstd="t" o:hr="t"/>
        </w:pict>
      </w:r>
    </w:p>
    <w:p w14:paraId="509F8FB8" w14:textId="77777777" w:rsidR="005C00BD" w:rsidRDefault="00000000">
      <w:pPr>
        <w:pStyle w:val="Heading3"/>
      </w:pPr>
      <w:bookmarkStart w:id="40" w:name="Xcf8933d29fa27c09156296ea8282f01e24b1ace"/>
      <w:bookmarkEnd w:id="34"/>
      <w:bookmarkEnd w:id="39"/>
      <w:commentRangeStart w:id="41"/>
      <w:r w:rsidRPr="00A05ABB">
        <w:rPr>
          <w:highlight w:val="yellow"/>
        </w:rPr>
        <w:t>D4: Inference Workload Share at Destination</w:t>
      </w:r>
      <w:commentRangeEnd w:id="41"/>
      <w:r w:rsidR="00A05ABB">
        <w:rPr>
          <w:rStyle w:val="CommentReference"/>
          <w:rFonts w:asciiTheme="minorHAnsi" w:eastAsiaTheme="minorHAnsi" w:hAnsiTheme="minorHAnsi" w:cstheme="minorBidi"/>
          <w:b w:val="0"/>
          <w:bCs w:val="0"/>
          <w:color w:val="auto"/>
        </w:rPr>
        <w:commentReference w:id="41"/>
      </w:r>
    </w:p>
    <w:tbl>
      <w:tblPr>
        <w:tblStyle w:val="Table"/>
        <w:tblW w:w="0" w:type="auto"/>
        <w:tblLook w:val="0020" w:firstRow="1" w:lastRow="0" w:firstColumn="0" w:lastColumn="0" w:noHBand="0" w:noVBand="0"/>
      </w:tblPr>
      <w:tblGrid>
        <w:gridCol w:w="2459"/>
        <w:gridCol w:w="2786"/>
      </w:tblGrid>
      <w:tr w:rsidR="005C00BD" w14:paraId="509F8FBB"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8FB9" w14:textId="77777777" w:rsidR="005C00BD" w:rsidRDefault="00000000">
            <w:pPr>
              <w:pStyle w:val="Compact"/>
            </w:pPr>
            <w:r>
              <w:t>Attribute</w:t>
            </w:r>
          </w:p>
        </w:tc>
        <w:tc>
          <w:tcPr>
            <w:tcW w:w="0" w:type="auto"/>
          </w:tcPr>
          <w:p w14:paraId="509F8FBA" w14:textId="77777777" w:rsidR="005C00BD" w:rsidRDefault="00000000">
            <w:pPr>
              <w:pStyle w:val="Compact"/>
            </w:pPr>
            <w:r>
              <w:t>Value</w:t>
            </w:r>
          </w:p>
        </w:tc>
      </w:tr>
      <w:tr w:rsidR="005C00BD" w14:paraId="509F8FBE" w14:textId="77777777">
        <w:tc>
          <w:tcPr>
            <w:tcW w:w="0" w:type="auto"/>
          </w:tcPr>
          <w:p w14:paraId="509F8FBC" w14:textId="77777777" w:rsidR="005C00BD" w:rsidRDefault="00000000">
            <w:pPr>
              <w:pStyle w:val="Compact"/>
            </w:pPr>
            <w:r>
              <w:t>Central value</w:t>
            </w:r>
          </w:p>
        </w:tc>
        <w:tc>
          <w:tcPr>
            <w:tcW w:w="0" w:type="auto"/>
          </w:tcPr>
          <w:p w14:paraId="509F8FBD" w14:textId="77777777" w:rsidR="005C00BD" w:rsidRDefault="00000000">
            <w:pPr>
              <w:pStyle w:val="Compact"/>
            </w:pPr>
            <w:r>
              <w:t>0.50</w:t>
            </w:r>
          </w:p>
        </w:tc>
      </w:tr>
      <w:tr w:rsidR="005C00BD" w14:paraId="509F8FC1" w14:textId="77777777">
        <w:tc>
          <w:tcPr>
            <w:tcW w:w="0" w:type="auto"/>
          </w:tcPr>
          <w:p w14:paraId="509F8FBF" w14:textId="77777777" w:rsidR="005C00BD" w:rsidRDefault="00000000">
            <w:pPr>
              <w:pStyle w:val="Compact"/>
            </w:pPr>
            <w:r>
              <w:t>Range</w:t>
            </w:r>
          </w:p>
        </w:tc>
        <w:tc>
          <w:tcPr>
            <w:tcW w:w="0" w:type="auto"/>
          </w:tcPr>
          <w:p w14:paraId="509F8FC0" w14:textId="77777777" w:rsidR="005C00BD" w:rsidRDefault="00000000">
            <w:pPr>
              <w:pStyle w:val="Compact"/>
            </w:pPr>
            <w:r>
              <w:t>Uniform[0.33, 0.67]</w:t>
            </w:r>
          </w:p>
        </w:tc>
      </w:tr>
      <w:tr w:rsidR="005C00BD" w14:paraId="509F8FC4" w14:textId="77777777">
        <w:tc>
          <w:tcPr>
            <w:tcW w:w="0" w:type="auto"/>
          </w:tcPr>
          <w:p w14:paraId="509F8FC2" w14:textId="77777777" w:rsidR="005C00BD" w:rsidRDefault="00000000">
            <w:pPr>
              <w:pStyle w:val="Compact"/>
            </w:pPr>
            <w:r>
              <w:t>Grounding quality</w:t>
            </w:r>
          </w:p>
        </w:tc>
        <w:tc>
          <w:tcPr>
            <w:tcW w:w="0" w:type="auto"/>
          </w:tcPr>
          <w:p w14:paraId="509F8FC3" w14:textId="77777777" w:rsidR="005C00BD" w:rsidRDefault="00000000">
            <w:pPr>
              <w:pStyle w:val="Compact"/>
            </w:pPr>
            <w:r>
              <w:t>ESTIMATED-MODERATE</w:t>
            </w:r>
          </w:p>
        </w:tc>
      </w:tr>
      <w:tr w:rsidR="005C00BD" w14:paraId="509F8FC7" w14:textId="77777777">
        <w:tc>
          <w:tcPr>
            <w:tcW w:w="0" w:type="auto"/>
          </w:tcPr>
          <w:p w14:paraId="509F8FC5" w14:textId="77777777" w:rsidR="005C00BD" w:rsidRDefault="00000000">
            <w:pPr>
              <w:pStyle w:val="Compact"/>
            </w:pPr>
            <w:r>
              <w:t>Variance contribution</w:t>
            </w:r>
          </w:p>
        </w:tc>
        <w:tc>
          <w:tcPr>
            <w:tcW w:w="0" w:type="auto"/>
          </w:tcPr>
          <w:p w14:paraId="509F8FC6" w14:textId="77777777" w:rsidR="005C00BD" w:rsidRDefault="00000000">
            <w:pPr>
              <w:pStyle w:val="Compact"/>
            </w:pPr>
            <w:r>
              <w:t>27.9% (2nd highest)</w:t>
            </w:r>
          </w:p>
        </w:tc>
      </w:tr>
    </w:tbl>
    <w:p w14:paraId="509F8FC8" w14:textId="77777777" w:rsidR="005C00BD" w:rsidRDefault="00000000">
      <w:pPr>
        <w:pStyle w:val="Heading4"/>
      </w:pPr>
      <w:bookmarkStart w:id="42" w:name="what-d4-measures"/>
      <w:r>
        <w:t>What D4 Measures</w:t>
      </w:r>
    </w:p>
    <w:p w14:paraId="509F8FC9" w14:textId="77777777" w:rsidR="005C00BD" w:rsidRDefault="00000000">
      <w:pPr>
        <w:pStyle w:val="FirstParagraph"/>
      </w:pPr>
      <w:r>
        <w:t xml:space="preserve">D4 answers: </w:t>
      </w:r>
      <w:r>
        <w:rPr>
          <w:i/>
          <w:iCs/>
        </w:rPr>
        <w:t>at the destination facility, what fraction of GPU compute is running inference workloads (as opposed to training) that can yield capacity to incoming migrated requests?</w:t>
      </w:r>
    </w:p>
    <w:p w14:paraId="509F8FCA" w14:textId="77777777" w:rsidR="005C00BD" w:rsidRDefault="00000000">
      <w:pPr>
        <w:pStyle w:val="BodyText"/>
      </w:pPr>
      <w:r>
        <w:lastRenderedPageBreak/>
        <w:t xml:space="preserve">D4 is a </w:t>
      </w:r>
      <w:r>
        <w:rPr>
          <w:b/>
          <w:bCs/>
        </w:rPr>
        <w:t>destination-side</w:t>
      </w:r>
      <w:r>
        <w:t xml:space="preserve"> parameter, distinct from S1 (source-side). S1 measures the source facility’s workload composition; D4 measures the destination’s. The migrating workload can only be absorbed by GPU capacity currently running compatible inference — training clusters with tightly synchronized GPU operations cannot absorb ad-hoc inference requests without disrupting training jobs.</w:t>
      </w:r>
    </w:p>
    <w:p w14:paraId="509F8FCB" w14:textId="77777777" w:rsidR="005C00BD" w:rsidRDefault="00000000">
      <w:pPr>
        <w:pStyle w:val="Heading4"/>
      </w:pPr>
      <w:bookmarkStart w:id="43" w:name="range-justification-2"/>
      <w:bookmarkEnd w:id="42"/>
      <w:r>
        <w:t>Range Justification</w:t>
      </w:r>
    </w:p>
    <w:p w14:paraId="509F8FCC" w14:textId="77777777" w:rsidR="005C00BD" w:rsidRDefault="00000000">
      <w:pPr>
        <w:pStyle w:val="FirstParagraph"/>
      </w:pPr>
      <w:r>
        <w:t>The range mirrors the industry-wide inference share trajectory:</w:t>
      </w:r>
    </w:p>
    <w:p w14:paraId="509F8FCD" w14:textId="77777777" w:rsidR="005C00BD" w:rsidRDefault="00000000">
      <w:pPr>
        <w:pStyle w:val="Compact"/>
        <w:numPr>
          <w:ilvl w:val="0"/>
          <w:numId w:val="16"/>
        </w:numPr>
      </w:pPr>
      <w:r>
        <w:rPr>
          <w:b/>
          <w:bCs/>
        </w:rPr>
        <w:t>Floor (0.33):</w:t>
      </w:r>
      <w:r>
        <w:t xml:space="preserve"> Conservative estimate for destination facilities with significant training commitment. Reflects 2023-era composition when inference was approximately one-third of compute (Deloitte, November 2025).</w:t>
      </w:r>
    </w:p>
    <w:p w14:paraId="509F8FCE" w14:textId="77777777" w:rsidR="005C00BD" w:rsidRDefault="00000000">
      <w:pPr>
        <w:pStyle w:val="Compact"/>
        <w:numPr>
          <w:ilvl w:val="0"/>
          <w:numId w:val="16"/>
        </w:numPr>
      </w:pPr>
      <w:r>
        <w:rPr>
          <w:b/>
          <w:bCs/>
        </w:rPr>
        <w:t>Central (0.50):</w:t>
      </w:r>
      <w:r>
        <w:t xml:space="preserve"> Current industry mix. Inference approximately half of compute in 2025 (Deloitte).</w:t>
      </w:r>
    </w:p>
    <w:p w14:paraId="509F8FCF" w14:textId="77777777" w:rsidR="005C00BD" w:rsidRDefault="00000000">
      <w:pPr>
        <w:pStyle w:val="Compact"/>
        <w:numPr>
          <w:ilvl w:val="0"/>
          <w:numId w:val="16"/>
        </w:numPr>
      </w:pPr>
      <w:r>
        <w:rPr>
          <w:b/>
          <w:bCs/>
        </w:rPr>
        <w:t>Ceiling (0.67):</w:t>
      </w:r>
      <w:r>
        <w:t xml:space="preserve"> Near-term trajectory. Deloitte projects inference at two-thirds by 2026. McKinsey’s demand model shows inference reaching 43% of total sector compute by 2030, but inference-specialized facilities skew much higher.</w:t>
      </w:r>
    </w:p>
    <w:p w14:paraId="509F8FD0" w14:textId="77777777" w:rsidR="005C00BD" w:rsidRDefault="00000000">
      <w:pPr>
        <w:pStyle w:val="Heading4"/>
      </w:pPr>
      <w:bookmarkStart w:id="44" w:name="why-d4-matters"/>
      <w:bookmarkEnd w:id="43"/>
      <w:r>
        <w:t>Why D4 Matters</w:t>
      </w:r>
    </w:p>
    <w:p w14:paraId="509F8FD1" w14:textId="77777777" w:rsidR="005C00BD" w:rsidRDefault="00000000">
      <w:pPr>
        <w:pStyle w:val="FirstParagraph"/>
      </w:pPr>
      <w:r>
        <w:t>D4 is the second-largest variance contributor (28%) and captures a structural trend: as the industry shifts from training-dominant to inference-dominant, D4 increases over time. This means the cascade product improves naturally without any policy intervention — the destination pool’s ability to absorb migrated inference grows as more facilities specialize in inference.</w:t>
      </w:r>
    </w:p>
    <w:p w14:paraId="509F8FD2" w14:textId="77777777" w:rsidR="005C00BD" w:rsidRDefault="00000000">
      <w:pPr>
        <w:pStyle w:val="BodyText"/>
      </w:pPr>
      <w:r>
        <w:t>D4 is not directly observable in public data. The inference-to-training ratio at specific destination facilities is an operational detail that operators do not disclose.</w:t>
      </w:r>
    </w:p>
    <w:p w14:paraId="509F8FD3" w14:textId="77777777" w:rsidR="005C00BD" w:rsidRDefault="00000000">
      <w:r>
        <w:pict w14:anchorId="509F91AC">
          <v:rect id="_x0000_i1031" style="width:0;height:1.5pt" o:hralign="center" o:hrstd="t" o:hr="t"/>
        </w:pict>
      </w:r>
    </w:p>
    <w:p w14:paraId="509F8FD4" w14:textId="77777777" w:rsidR="005C00BD" w:rsidRDefault="00000000">
      <w:pPr>
        <w:pStyle w:val="Heading3"/>
      </w:pPr>
      <w:bookmarkStart w:id="45" w:name="d5-pre-staging-readiness"/>
      <w:bookmarkEnd w:id="40"/>
      <w:bookmarkEnd w:id="44"/>
      <w:commentRangeStart w:id="46"/>
      <w:r>
        <w:t>D5: Pre-Staging Readiness</w:t>
      </w:r>
      <w:commentRangeEnd w:id="46"/>
      <w:r w:rsidR="00A05ABB">
        <w:rPr>
          <w:rStyle w:val="CommentReference"/>
          <w:rFonts w:asciiTheme="minorHAnsi" w:eastAsiaTheme="minorHAnsi" w:hAnsiTheme="minorHAnsi" w:cstheme="minorBidi"/>
          <w:b w:val="0"/>
          <w:bCs w:val="0"/>
          <w:color w:val="auto"/>
        </w:rPr>
        <w:commentReference w:id="46"/>
      </w:r>
    </w:p>
    <w:tbl>
      <w:tblPr>
        <w:tblStyle w:val="Table"/>
        <w:tblW w:w="0" w:type="auto"/>
        <w:tblLook w:val="0020" w:firstRow="1" w:lastRow="0" w:firstColumn="0" w:lastColumn="0" w:noHBand="0" w:noVBand="0"/>
      </w:tblPr>
      <w:tblGrid>
        <w:gridCol w:w="2459"/>
        <w:gridCol w:w="2284"/>
      </w:tblGrid>
      <w:tr w:rsidR="005C00BD" w14:paraId="509F8FD7"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8FD5" w14:textId="77777777" w:rsidR="005C00BD" w:rsidRDefault="00000000">
            <w:pPr>
              <w:pStyle w:val="Compact"/>
            </w:pPr>
            <w:r>
              <w:t>Attribute</w:t>
            </w:r>
          </w:p>
        </w:tc>
        <w:tc>
          <w:tcPr>
            <w:tcW w:w="0" w:type="auto"/>
          </w:tcPr>
          <w:p w14:paraId="509F8FD6" w14:textId="77777777" w:rsidR="005C00BD" w:rsidRDefault="00000000">
            <w:pPr>
              <w:pStyle w:val="Compact"/>
            </w:pPr>
            <w:r>
              <w:t>Value</w:t>
            </w:r>
          </w:p>
        </w:tc>
      </w:tr>
      <w:tr w:rsidR="005C00BD" w14:paraId="509F8FDA" w14:textId="77777777">
        <w:tc>
          <w:tcPr>
            <w:tcW w:w="0" w:type="auto"/>
          </w:tcPr>
          <w:p w14:paraId="509F8FD8" w14:textId="77777777" w:rsidR="005C00BD" w:rsidRDefault="00000000">
            <w:pPr>
              <w:pStyle w:val="Compact"/>
            </w:pPr>
            <w:r>
              <w:t>Central value</w:t>
            </w:r>
          </w:p>
        </w:tc>
        <w:tc>
          <w:tcPr>
            <w:tcW w:w="0" w:type="auto"/>
          </w:tcPr>
          <w:p w14:paraId="509F8FD9" w14:textId="77777777" w:rsidR="005C00BD" w:rsidRDefault="00000000">
            <w:pPr>
              <w:pStyle w:val="Compact"/>
            </w:pPr>
            <w:r>
              <w:t>0.65</w:t>
            </w:r>
          </w:p>
        </w:tc>
      </w:tr>
      <w:tr w:rsidR="005C00BD" w14:paraId="509F8FDD" w14:textId="77777777">
        <w:tc>
          <w:tcPr>
            <w:tcW w:w="0" w:type="auto"/>
          </w:tcPr>
          <w:p w14:paraId="509F8FDB" w14:textId="77777777" w:rsidR="005C00BD" w:rsidRDefault="00000000">
            <w:pPr>
              <w:pStyle w:val="Compact"/>
            </w:pPr>
            <w:r>
              <w:t>Range</w:t>
            </w:r>
          </w:p>
        </w:tc>
        <w:tc>
          <w:tcPr>
            <w:tcW w:w="0" w:type="auto"/>
          </w:tcPr>
          <w:p w14:paraId="509F8FDC" w14:textId="77777777" w:rsidR="005C00BD" w:rsidRDefault="00000000">
            <w:pPr>
              <w:pStyle w:val="Compact"/>
            </w:pPr>
            <w:r>
              <w:t>Uniform[0.50, 0.80]</w:t>
            </w:r>
          </w:p>
        </w:tc>
      </w:tr>
      <w:tr w:rsidR="005C00BD" w14:paraId="509F8FE0" w14:textId="77777777">
        <w:tc>
          <w:tcPr>
            <w:tcW w:w="0" w:type="auto"/>
          </w:tcPr>
          <w:p w14:paraId="509F8FDE" w14:textId="77777777" w:rsidR="005C00BD" w:rsidRDefault="00000000">
            <w:pPr>
              <w:pStyle w:val="Compact"/>
            </w:pPr>
            <w:r>
              <w:t>Grounding quality</w:t>
            </w:r>
          </w:p>
        </w:tc>
        <w:tc>
          <w:tcPr>
            <w:tcW w:w="0" w:type="auto"/>
          </w:tcPr>
          <w:p w14:paraId="509F8FDF" w14:textId="77777777" w:rsidR="005C00BD" w:rsidRDefault="00000000">
            <w:pPr>
              <w:pStyle w:val="Compact"/>
            </w:pPr>
            <w:r>
              <w:t>ESTIMATED-WEAK</w:t>
            </w:r>
          </w:p>
        </w:tc>
      </w:tr>
      <w:tr w:rsidR="005C00BD" w14:paraId="509F8FE3" w14:textId="77777777">
        <w:tc>
          <w:tcPr>
            <w:tcW w:w="0" w:type="auto"/>
          </w:tcPr>
          <w:p w14:paraId="509F8FE1" w14:textId="77777777" w:rsidR="005C00BD" w:rsidRDefault="00000000">
            <w:pPr>
              <w:pStyle w:val="Compact"/>
            </w:pPr>
            <w:r>
              <w:t>Variance contribution</w:t>
            </w:r>
          </w:p>
        </w:tc>
        <w:tc>
          <w:tcPr>
            <w:tcW w:w="0" w:type="auto"/>
          </w:tcPr>
          <w:p w14:paraId="509F8FE2" w14:textId="77777777" w:rsidR="005C00BD" w:rsidRDefault="00000000">
            <w:pPr>
              <w:pStyle w:val="Compact"/>
            </w:pPr>
            <w:r>
              <w:t>12.9% (3rd highest)</w:t>
            </w:r>
          </w:p>
        </w:tc>
      </w:tr>
    </w:tbl>
    <w:p w14:paraId="509F8FE4" w14:textId="77777777" w:rsidR="005C00BD" w:rsidRDefault="00000000">
      <w:pPr>
        <w:pStyle w:val="Heading4"/>
      </w:pPr>
      <w:bookmarkStart w:id="47" w:name="what-d5-measures"/>
      <w:r>
        <w:t>What D5 Measures</w:t>
      </w:r>
    </w:p>
    <w:p w14:paraId="509F8FE5" w14:textId="77777777" w:rsidR="005C00BD" w:rsidRDefault="00000000">
      <w:pPr>
        <w:pStyle w:val="FirstParagraph"/>
      </w:pPr>
      <w:r>
        <w:t xml:space="preserve">D5 answers: </w:t>
      </w:r>
      <w:r>
        <w:rPr>
          <w:i/>
          <w:iCs/>
        </w:rPr>
        <w:t>at destination facilities with available inference capacity and compatible hardware, what fraction has the necessary model weights pre-staged and serving infrastructure warm to accept migrated requests immediately?</w:t>
      </w:r>
    </w:p>
    <w:p w14:paraId="509F8FE6" w14:textId="77777777" w:rsidR="005C00BD" w:rsidRDefault="00000000">
      <w:pPr>
        <w:pStyle w:val="Heading4"/>
      </w:pPr>
      <w:bookmarkStart w:id="48" w:name="why-pre-staging-matters"/>
      <w:bookmarkEnd w:id="47"/>
      <w:r>
        <w:lastRenderedPageBreak/>
        <w:t>Why Pre-Staging Matters</w:t>
      </w:r>
    </w:p>
    <w:p w14:paraId="0355A171" w14:textId="77777777" w:rsidR="00FC1101" w:rsidRPr="00FC1101" w:rsidRDefault="00FC1101" w:rsidP="00FC1101">
      <w:pPr>
        <w:pStyle w:val="Heading4"/>
        <w:rPr>
          <w:rFonts w:ascii="Times New Roman" w:hAnsi="Times New Roman" w:cs="Times New Roman"/>
          <w:i w:val="0"/>
          <w:color w:val="auto"/>
        </w:rPr>
      </w:pPr>
      <w:bookmarkStart w:id="49" w:name="range-justification-3"/>
      <w:bookmarkEnd w:id="48"/>
      <w:r w:rsidRPr="00FC1101">
        <w:rPr>
          <w:rFonts w:ascii="Times New Roman" w:hAnsi="Times New Roman" w:cs="Times New Roman"/>
          <w:i w:val="0"/>
          <w:color w:val="auto"/>
        </w:rPr>
        <w:t>For inference spatial migration, model weights must already be loaded at the destination. Without pre-staging, three frictions apply:</w:t>
      </w:r>
    </w:p>
    <w:p w14:paraId="071F1424" w14:textId="77777777" w:rsidR="00FC1101" w:rsidRPr="00FC1101" w:rsidRDefault="00FC1101" w:rsidP="00FC1101">
      <w:pPr>
        <w:pStyle w:val="Heading4"/>
        <w:numPr>
          <w:ilvl w:val="0"/>
          <w:numId w:val="32"/>
        </w:numPr>
        <w:rPr>
          <w:rFonts w:ascii="Times New Roman" w:hAnsi="Times New Roman" w:cs="Times New Roman"/>
          <w:i w:val="0"/>
          <w:color w:val="auto"/>
        </w:rPr>
      </w:pPr>
      <w:r w:rsidRPr="00FC1101">
        <w:rPr>
          <w:rFonts w:ascii="Times New Roman" w:hAnsi="Times New Roman" w:cs="Times New Roman"/>
          <w:i w:val="0"/>
          <w:color w:val="auto"/>
        </w:rPr>
        <w:t>Frontier model weights are large. A 70B-parameter model in FP16 is approximately 140 GB; a 405B-parameter model is approximately 810 GB (Grattafiori et al. 2024).</w:t>
      </w:r>
    </w:p>
    <w:p w14:paraId="4E54635F" w14:textId="77777777" w:rsidR="00FC1101" w:rsidRPr="00FC1101" w:rsidRDefault="00FC1101" w:rsidP="00FC1101">
      <w:pPr>
        <w:pStyle w:val="Heading4"/>
        <w:numPr>
          <w:ilvl w:val="0"/>
          <w:numId w:val="32"/>
        </w:numPr>
        <w:rPr>
          <w:rFonts w:ascii="Times New Roman" w:hAnsi="Times New Roman" w:cs="Times New Roman"/>
          <w:i w:val="0"/>
          <w:color w:val="auto"/>
        </w:rPr>
      </w:pPr>
      <w:r w:rsidRPr="00FC1101">
        <w:rPr>
          <w:rFonts w:ascii="Times New Roman" w:hAnsi="Times New Roman" w:cs="Times New Roman"/>
          <w:i w:val="0"/>
          <w:color w:val="auto"/>
        </w:rPr>
        <w:t>Transferring 810 GB over a 100 Gbps link takes approximately 65 seconds as an arithmetic lower bound, adding latency and consuming WAN capacity that would otherwise serve user traffic.</w:t>
      </w:r>
    </w:p>
    <w:p w14:paraId="1675197E" w14:textId="77777777" w:rsidR="00FC1101" w:rsidRPr="00FC1101" w:rsidRDefault="00FC1101" w:rsidP="00FC1101">
      <w:pPr>
        <w:pStyle w:val="Heading4"/>
        <w:numPr>
          <w:ilvl w:val="0"/>
          <w:numId w:val="32"/>
        </w:numPr>
        <w:rPr>
          <w:rFonts w:ascii="Times New Roman" w:hAnsi="Times New Roman" w:cs="Times New Roman"/>
          <w:i w:val="0"/>
          <w:color w:val="auto"/>
        </w:rPr>
      </w:pPr>
      <w:r w:rsidRPr="00FC1101">
        <w:rPr>
          <w:rFonts w:ascii="Times New Roman" w:hAnsi="Times New Roman" w:cs="Times New Roman"/>
          <w:i w:val="0"/>
          <w:color w:val="auto"/>
        </w:rPr>
        <w:t>Cold-start latency — loading weights from storage into GPU memory and initializing the serving runtime — adds additional time ranging from tens of seconds for moderately sized models on high-throughput storage to several minutes for frontier-scale deployments (Dayan et al. 2025; Fu et al. 2024). Recent work including NVIDIA's Run:ai Model Streamer reduces but does not eliminate this cost.</w:t>
      </w:r>
    </w:p>
    <w:p w14:paraId="23EE3128" w14:textId="77777777" w:rsidR="00FC1101" w:rsidRDefault="00FC1101" w:rsidP="00A05ABB">
      <w:pPr>
        <w:pStyle w:val="Heading4"/>
        <w:rPr>
          <w:rFonts w:ascii="Times New Roman" w:hAnsi="Times New Roman" w:cs="Times New Roman"/>
          <w:i w:val="0"/>
          <w:iCs/>
          <w:color w:val="auto"/>
        </w:rPr>
      </w:pPr>
      <w:r w:rsidRPr="00FC1101">
        <w:rPr>
          <w:rFonts w:ascii="Times New Roman" w:hAnsi="Times New Roman" w:cs="Times New Roman"/>
          <w:i w:val="0"/>
          <w:iCs/>
          <w:color w:val="auto"/>
        </w:rPr>
        <w:t>With pre-staging, model weights are already resident at destination GPUs, migration reduces to a request-routing operation at the load balancer (millisecond-scale), and no WAN bandwidth is consumed for weight transfer during the stress event.</w:t>
      </w:r>
    </w:p>
    <w:p w14:paraId="30920BA5" w14:textId="7E33CA8B" w:rsidR="00A05ABB" w:rsidRDefault="00000000" w:rsidP="00A05ABB">
      <w:pPr>
        <w:pStyle w:val="Heading4"/>
        <w:rPr>
          <w:i w:val="0"/>
          <w:iCs/>
        </w:rPr>
      </w:pPr>
      <w:r w:rsidRPr="00A05ABB">
        <w:rPr>
          <w:i w:val="0"/>
          <w:iCs/>
        </w:rPr>
        <w:t>Range Justification</w:t>
      </w:r>
    </w:p>
    <w:p w14:paraId="647A2176" w14:textId="77777777" w:rsidR="00FC1101" w:rsidRDefault="00FC1101" w:rsidP="00A05ABB">
      <w:pPr>
        <w:pStyle w:val="BodyText"/>
      </w:pPr>
      <w:r w:rsidRPr="00FC1101">
        <w:t>D5 is the cascade parameter with the weakest public empirical grounding. No authoritative public dataset reports the fraction of AI-inference destination capacity with pre-staged weights and warm serving infrastructure at any given time. We therefore treat D5 as uniformly distributed over [0.50, 0.80], adopting the maximum-entropy specification given bound-only knowledge and reporting results across this range. The 12.9% variance contribution — the third-highest in the cascade — reflects this uncertainty rather than concealing it behind a point estimate.</w:t>
      </w:r>
    </w:p>
    <w:p w14:paraId="3598D048" w14:textId="28446F9A" w:rsidR="00A05ABB" w:rsidRPr="00A05ABB" w:rsidRDefault="00A05ABB" w:rsidP="00A05ABB">
      <w:pPr>
        <w:pStyle w:val="BodyText"/>
      </w:pPr>
      <w:r w:rsidRPr="00A05ABB">
        <w:t>The range endpoints are anchored as follows:</w:t>
      </w:r>
    </w:p>
    <w:p w14:paraId="427B2C0E" w14:textId="4757DE7E" w:rsidR="00A05ABB" w:rsidRPr="00A05ABB" w:rsidRDefault="00A05ABB" w:rsidP="00FC1101">
      <w:pPr>
        <w:pStyle w:val="BodyText"/>
        <w:numPr>
          <w:ilvl w:val="0"/>
          <w:numId w:val="30"/>
        </w:numPr>
      </w:pPr>
      <w:r w:rsidRPr="00A05ABB">
        <w:rPr>
          <w:b/>
          <w:bCs/>
          <w:i/>
          <w:iCs/>
        </w:rPr>
        <w:t>Floor (0.50)</w:t>
      </w:r>
      <w:r w:rsidRPr="00A05ABB">
        <w:rPr>
          <w:b/>
          <w:bCs/>
        </w:rPr>
        <w:t>:</w:t>
      </w:r>
      <w:r w:rsidRPr="00A05ABB">
        <w:t xml:space="preserve"> </w:t>
      </w:r>
      <w:r w:rsidR="00FC1101" w:rsidRPr="00FC1101">
        <w:t xml:space="preserve">The Microsoft Azure public serverless trace shows that approximately 40% of functions experience cold-start rates exceeding 25% within a 5-minute keep-alive window, with the longest-tail quartile exceeding 60% cold-start rates (Fu et al. 2024, analyzing Azure Public Dataset). Destinations serving only the most-requested models would exhibit pre-staging coverage near this floor. Note that the Azure data reflects serverless functions broadly rather than LLM inference specifically; because frontier model weights are substantially larger than typical function containers, general-function warm rates likely overstate LLM-specific warm rates, which makes the 0.50 floor conservative in the direction relevant for this paper.   </w:t>
      </w:r>
    </w:p>
    <w:p w14:paraId="0A55DD05" w14:textId="5B2754E6" w:rsidR="00A05ABB" w:rsidRPr="00A05ABB" w:rsidRDefault="00A05ABB" w:rsidP="00A05ABB">
      <w:pPr>
        <w:pStyle w:val="BodyText"/>
        <w:numPr>
          <w:ilvl w:val="0"/>
          <w:numId w:val="30"/>
        </w:numPr>
      </w:pPr>
      <w:r w:rsidRPr="00A05ABB">
        <w:rPr>
          <w:b/>
          <w:bCs/>
          <w:i/>
          <w:iCs/>
        </w:rPr>
        <w:t>Ceiling (0.80)</w:t>
      </w:r>
      <w:r w:rsidRPr="00A05ABB">
        <w:rPr>
          <w:b/>
          <w:bCs/>
        </w:rPr>
        <w:t>:</w:t>
      </w:r>
      <w:r w:rsidRPr="00A05ABB">
        <w:t xml:space="preserve"> </w:t>
      </w:r>
      <w:r w:rsidR="00FC1101" w:rsidRPr="00FC1101">
        <w:t xml:space="preserve">Commercial inference providers currently maintain 200+ popular open-source models in continuously warm serverless pools for best-effort serving (Together AI 2026; Fireworks AI 2026), establishing that coverage at this level is technically and commercially feasible today for the subset of models that dominate </w:t>
      </w:r>
      <w:r w:rsidR="00FC1101" w:rsidRPr="00FC1101">
        <w:lastRenderedPageBreak/>
        <w:t>inference traffic. The 0.80 ceiling reflects heterogeneity across destination facility types and the fraction of frontier workload models covered rather than a technical constraint.</w:t>
      </w:r>
    </w:p>
    <w:p w14:paraId="1B0CCAAE" w14:textId="56A9968B" w:rsidR="00A05ABB" w:rsidRPr="00A05ABB" w:rsidRDefault="00A05ABB" w:rsidP="00A05ABB">
      <w:pPr>
        <w:pStyle w:val="BodyText"/>
        <w:numPr>
          <w:ilvl w:val="0"/>
          <w:numId w:val="30"/>
        </w:numPr>
      </w:pPr>
      <w:r w:rsidRPr="00A05ABB">
        <w:rPr>
          <w:b/>
          <w:bCs/>
          <w:i/>
          <w:iCs/>
        </w:rPr>
        <w:t>Midpoint (0.65)</w:t>
      </w:r>
      <w:r w:rsidRPr="00A05ABB">
        <w:rPr>
          <w:b/>
          <w:bCs/>
        </w:rPr>
        <w:t>:</w:t>
      </w:r>
      <w:r w:rsidRPr="00A05ABB">
        <w:t xml:space="preserve"> </w:t>
      </w:r>
      <w:r w:rsidR="00FC1101" w:rsidRPr="00FC1101">
        <w:t>The expected value under the uniform prior. We do not claim independent empirical support for this specific value.</w:t>
      </w:r>
    </w:p>
    <w:p w14:paraId="1AF23BD0" w14:textId="77777777" w:rsidR="00FC1101" w:rsidRDefault="00000000" w:rsidP="00FC1101">
      <w:pPr>
        <w:pStyle w:val="Heading4"/>
      </w:pPr>
      <w:bookmarkStart w:id="50" w:name="d5-is-the-most-actionable-parameter"/>
      <w:bookmarkEnd w:id="49"/>
      <w:r>
        <w:t>D5 Is the Most Actionable Parameter</w:t>
      </w:r>
    </w:p>
    <w:p w14:paraId="046F526A" w14:textId="77777777" w:rsidR="00FC1101" w:rsidRPr="006C1726" w:rsidRDefault="00FC1101" w:rsidP="00FC1101">
      <w:pPr>
        <w:pStyle w:val="Heading4"/>
        <w:rPr>
          <w:rFonts w:ascii="Times New Roman" w:hAnsi="Times New Roman" w:cs="Times New Roman"/>
          <w:i w:val="0"/>
          <w:iCs/>
          <w:color w:val="auto"/>
        </w:rPr>
      </w:pPr>
      <w:r w:rsidRPr="006C1726">
        <w:rPr>
          <w:rFonts w:ascii="Times New Roman" w:hAnsi="Times New Roman" w:cs="Times New Roman"/>
          <w:i w:val="0"/>
          <w:iCs/>
          <w:color w:val="auto"/>
        </w:rPr>
        <w:t>The weak grounding of D5 is not a liability for the policy argument — it is the policy argument. Precisely because D5 is the highest-uncertainty cascade parameter with the largest operational leverage, it is also the parameter where regulatory intervention has the greatest marginal effect:</w:t>
      </w:r>
    </w:p>
    <w:p w14:paraId="40EBA69D" w14:textId="77777777" w:rsidR="00B2206B" w:rsidRPr="00B2206B" w:rsidRDefault="00A05ABB" w:rsidP="00A05ABB">
      <w:pPr>
        <w:pStyle w:val="Heading4"/>
        <w:numPr>
          <w:ilvl w:val="0"/>
          <w:numId w:val="31"/>
        </w:numPr>
        <w:rPr>
          <w:rFonts w:ascii="Times New Roman" w:hAnsi="Times New Roman" w:cs="Times New Roman"/>
          <w:i w:val="0"/>
          <w:color w:val="auto"/>
        </w:rPr>
      </w:pPr>
      <w:r w:rsidRPr="00B2206B">
        <w:rPr>
          <w:rFonts w:ascii="Times New Roman" w:hAnsi="Times New Roman" w:cs="Times New Roman"/>
          <w:i w:val="0"/>
          <w:color w:val="auto"/>
        </w:rPr>
        <w:t>No hardware change is required. Pre-staging uses existing GPU memory and storage at destination facilities.</w:t>
      </w:r>
    </w:p>
    <w:p w14:paraId="6DB9BB7C" w14:textId="77777777" w:rsidR="00B2206B" w:rsidRPr="00B2206B" w:rsidRDefault="00A05ABB" w:rsidP="00A05ABB">
      <w:pPr>
        <w:pStyle w:val="Heading4"/>
        <w:numPr>
          <w:ilvl w:val="0"/>
          <w:numId w:val="31"/>
        </w:numPr>
        <w:rPr>
          <w:rFonts w:ascii="Times New Roman" w:hAnsi="Times New Roman" w:cs="Times New Roman"/>
          <w:i w:val="0"/>
          <w:color w:val="auto"/>
        </w:rPr>
      </w:pPr>
      <w:r w:rsidRPr="00B2206B">
        <w:rPr>
          <w:rFonts w:ascii="Times New Roman" w:hAnsi="Times New Roman" w:cs="Times New Roman"/>
          <w:i w:val="0"/>
          <w:color w:val="auto"/>
        </w:rPr>
        <w:t>No workload composition change is required. Unlike D4, which depends on the industry-wide mix of training versus inference load, D5 is a pure operational investment decision under operator control</w:t>
      </w:r>
    </w:p>
    <w:p w14:paraId="3E8FC62B" w14:textId="0B8E50AD" w:rsidR="00A05ABB" w:rsidRPr="00B2206B" w:rsidRDefault="00A05ABB" w:rsidP="00A05ABB">
      <w:pPr>
        <w:pStyle w:val="Heading4"/>
        <w:numPr>
          <w:ilvl w:val="0"/>
          <w:numId w:val="31"/>
        </w:numPr>
        <w:rPr>
          <w:rFonts w:ascii="Times New Roman" w:hAnsi="Times New Roman" w:cs="Times New Roman"/>
          <w:i w:val="0"/>
          <w:color w:val="auto"/>
        </w:rPr>
      </w:pPr>
      <w:r w:rsidRPr="00B2206B">
        <w:rPr>
          <w:rFonts w:ascii="Times New Roman" w:hAnsi="Times New Roman" w:cs="Times New Roman"/>
          <w:i w:val="0"/>
          <w:color w:val="auto"/>
        </w:rPr>
        <w:t>The incremental cost is low. The marginal cost is storage capacity and periodic weight synchronization, amortized across the approximately 50–100 stress hours per year when spatial migration would be triggered.</w:t>
      </w:r>
    </w:p>
    <w:p w14:paraId="6FB5E6D3" w14:textId="77777777" w:rsidR="00B2206B" w:rsidRDefault="00B2206B" w:rsidP="00A05ABB"/>
    <w:p w14:paraId="12CB9451" w14:textId="77777777" w:rsidR="00A01C26" w:rsidRDefault="00A01C26">
      <w:r w:rsidRPr="00A01C26">
        <w:t>The policy implication is direct: a regulatory framework that conditions interconnection acceleration on demonstrated pre-staging readiness would target the most actionable parameter in the cascade, and would convert the current empirical uncertainty about D5 into operator-level accountability.</w:t>
      </w:r>
    </w:p>
    <w:p w14:paraId="509F8FF7" w14:textId="710D7C83" w:rsidR="005C00BD" w:rsidRDefault="00A01C26">
      <w:r w:rsidRPr="00A01C26">
        <w:t>The cascade's upstream filters (D1–D3) restrict the destination population to facilities with available inference-capable capacity; within that filtered set, the relevant base rate for pre-staging is likely higher than the all-serverless Azure figure, further supporting the 0.50 floor as conservative.</w:t>
      </w:r>
      <w:r w:rsidR="00000000">
        <w:pict w14:anchorId="509F91AD">
          <v:rect id="_x0000_i1032" style="width:0;height:1.5pt" o:hralign="center" o:hrstd="t" o:hr="t"/>
        </w:pict>
      </w:r>
    </w:p>
    <w:p w14:paraId="509F8FF8" w14:textId="77777777" w:rsidR="005C00BD" w:rsidRDefault="00000000">
      <w:pPr>
        <w:pStyle w:val="Heading2"/>
      </w:pPr>
      <w:bookmarkStart w:id="51" w:name="execution-parameters"/>
      <w:bookmarkEnd w:id="24"/>
      <w:bookmarkEnd w:id="45"/>
      <w:bookmarkEnd w:id="50"/>
      <w:r>
        <w:t>4. Execution Parameters</w:t>
      </w:r>
    </w:p>
    <w:p w14:paraId="509F8FF9" w14:textId="77777777" w:rsidR="005C00BD" w:rsidRDefault="00000000">
      <w:pPr>
        <w:pStyle w:val="Heading3"/>
      </w:pPr>
      <w:bookmarkStart w:id="52" w:name="e1-routing-completion"/>
      <w:r>
        <w:t>E1: Routing Completion</w:t>
      </w:r>
    </w:p>
    <w:tbl>
      <w:tblPr>
        <w:tblStyle w:val="Table"/>
        <w:tblW w:w="0" w:type="auto"/>
        <w:tblLook w:val="0020" w:firstRow="1" w:lastRow="0" w:firstColumn="0" w:lastColumn="0" w:noHBand="0" w:noVBand="0"/>
      </w:tblPr>
      <w:tblGrid>
        <w:gridCol w:w="2459"/>
        <w:gridCol w:w="1478"/>
      </w:tblGrid>
      <w:tr w:rsidR="005C00BD" w14:paraId="509F8FFC"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8FFA" w14:textId="77777777" w:rsidR="005C00BD" w:rsidRDefault="00000000">
            <w:pPr>
              <w:pStyle w:val="Compact"/>
            </w:pPr>
            <w:r>
              <w:t>Attribute</w:t>
            </w:r>
          </w:p>
        </w:tc>
        <w:tc>
          <w:tcPr>
            <w:tcW w:w="0" w:type="auto"/>
          </w:tcPr>
          <w:p w14:paraId="509F8FFB" w14:textId="77777777" w:rsidR="005C00BD" w:rsidRDefault="00000000">
            <w:pPr>
              <w:pStyle w:val="Compact"/>
            </w:pPr>
            <w:r>
              <w:t>Value</w:t>
            </w:r>
          </w:p>
        </w:tc>
      </w:tr>
      <w:tr w:rsidR="005C00BD" w14:paraId="509F8FFF" w14:textId="77777777">
        <w:tc>
          <w:tcPr>
            <w:tcW w:w="0" w:type="auto"/>
          </w:tcPr>
          <w:p w14:paraId="509F8FFD" w14:textId="77777777" w:rsidR="005C00BD" w:rsidRDefault="00000000">
            <w:pPr>
              <w:pStyle w:val="Compact"/>
            </w:pPr>
            <w:r>
              <w:t>Central value</w:t>
            </w:r>
          </w:p>
        </w:tc>
        <w:tc>
          <w:tcPr>
            <w:tcW w:w="0" w:type="auto"/>
          </w:tcPr>
          <w:p w14:paraId="509F8FFE" w14:textId="77777777" w:rsidR="005C00BD" w:rsidRDefault="00000000">
            <w:pPr>
              <w:pStyle w:val="Compact"/>
            </w:pPr>
            <w:r>
              <w:t>0.95</w:t>
            </w:r>
          </w:p>
        </w:tc>
      </w:tr>
      <w:tr w:rsidR="005C00BD" w14:paraId="509F9002" w14:textId="77777777">
        <w:tc>
          <w:tcPr>
            <w:tcW w:w="0" w:type="auto"/>
          </w:tcPr>
          <w:p w14:paraId="509F9000" w14:textId="77777777" w:rsidR="005C00BD" w:rsidRDefault="00000000">
            <w:pPr>
              <w:pStyle w:val="Compact"/>
            </w:pPr>
            <w:r>
              <w:t>Range</w:t>
            </w:r>
          </w:p>
        </w:tc>
        <w:tc>
          <w:tcPr>
            <w:tcW w:w="0" w:type="auto"/>
          </w:tcPr>
          <w:p w14:paraId="509F9001" w14:textId="77777777" w:rsidR="005C00BD" w:rsidRDefault="00000000">
            <w:pPr>
              <w:pStyle w:val="Compact"/>
            </w:pPr>
            <w:r>
              <w:t>[0.90, 0.99]</w:t>
            </w:r>
          </w:p>
        </w:tc>
      </w:tr>
      <w:tr w:rsidR="005C00BD" w14:paraId="509F9005" w14:textId="77777777">
        <w:tc>
          <w:tcPr>
            <w:tcW w:w="0" w:type="auto"/>
          </w:tcPr>
          <w:p w14:paraId="509F9003" w14:textId="77777777" w:rsidR="005C00BD" w:rsidRDefault="00000000">
            <w:pPr>
              <w:pStyle w:val="Compact"/>
            </w:pPr>
            <w:r>
              <w:t>Grounding quality</w:t>
            </w:r>
          </w:p>
        </w:tc>
        <w:tc>
          <w:tcPr>
            <w:tcW w:w="0" w:type="auto"/>
          </w:tcPr>
          <w:p w14:paraId="509F9004" w14:textId="77777777" w:rsidR="005C00BD" w:rsidRDefault="00000000">
            <w:pPr>
              <w:pStyle w:val="Compact"/>
            </w:pPr>
            <w:r>
              <w:t>ESTIMATED</w:t>
            </w:r>
          </w:p>
        </w:tc>
      </w:tr>
      <w:tr w:rsidR="005C00BD" w14:paraId="509F9008" w14:textId="77777777">
        <w:tc>
          <w:tcPr>
            <w:tcW w:w="0" w:type="auto"/>
          </w:tcPr>
          <w:p w14:paraId="509F9006" w14:textId="77777777" w:rsidR="005C00BD" w:rsidRDefault="00000000">
            <w:pPr>
              <w:pStyle w:val="Compact"/>
            </w:pPr>
            <w:r>
              <w:t>Variance contribution</w:t>
            </w:r>
          </w:p>
        </w:tc>
        <w:tc>
          <w:tcPr>
            <w:tcW w:w="0" w:type="auto"/>
          </w:tcPr>
          <w:p w14:paraId="509F9007" w14:textId="77777777" w:rsidR="005C00BD" w:rsidRDefault="00000000">
            <w:pPr>
              <w:pStyle w:val="Compact"/>
            </w:pPr>
            <w:r>
              <w:t>0.5%</w:t>
            </w:r>
          </w:p>
        </w:tc>
      </w:tr>
    </w:tbl>
    <w:p w14:paraId="509F9009" w14:textId="77777777" w:rsidR="005C00BD" w:rsidRDefault="00000000">
      <w:pPr>
        <w:pStyle w:val="Heading4"/>
      </w:pPr>
      <w:bookmarkStart w:id="53" w:name="what-e1-measures"/>
      <w:r>
        <w:lastRenderedPageBreak/>
        <w:t>What E1 Measures</w:t>
      </w:r>
    </w:p>
    <w:p w14:paraId="509F900A" w14:textId="77777777" w:rsidR="005C00BD" w:rsidRDefault="00000000">
      <w:pPr>
        <w:pStyle w:val="FirstParagraph"/>
      </w:pPr>
      <w:r>
        <w:t xml:space="preserve">E1 answers: </w:t>
      </w:r>
      <w:r>
        <w:rPr>
          <w:i/>
          <w:iCs/>
        </w:rPr>
        <w:t>given that all source and destination conditions are met, does the routing operation succeed at the infrastructure level?</w:t>
      </w:r>
    </w:p>
    <w:p w14:paraId="509F900B" w14:textId="77777777" w:rsidR="005C00BD" w:rsidRDefault="00000000">
      <w:pPr>
        <w:pStyle w:val="Heading4"/>
      </w:pPr>
      <w:bookmarkStart w:id="54" w:name="sub-failure-mode-analysis"/>
      <w:bookmarkEnd w:id="53"/>
      <w:r>
        <w:t>Sub-Failure Mode Analysis</w:t>
      </w:r>
    </w:p>
    <w:p w14:paraId="509F900C" w14:textId="77777777" w:rsidR="005C00BD" w:rsidRDefault="00000000">
      <w:pPr>
        <w:pStyle w:val="FirstParagraph"/>
      </w:pPr>
      <w:r>
        <w:t>For inference, “routing” means the load balancer sends the next request to a different endpoint. Four candidate failure modes were analyzed:</w:t>
      </w:r>
    </w:p>
    <w:p w14:paraId="509F900D" w14:textId="77777777" w:rsidR="005C00BD" w:rsidRDefault="00000000">
      <w:pPr>
        <w:pStyle w:val="BodyText"/>
      </w:pPr>
      <w:r>
        <w:rPr>
          <w:b/>
          <w:bCs/>
        </w:rPr>
        <w:t>F1: Network failure during migration.</w:t>
      </w:r>
    </w:p>
    <w:tbl>
      <w:tblPr>
        <w:tblStyle w:val="Table"/>
        <w:tblW w:w="5000" w:type="pct"/>
        <w:tblLook w:val="0020" w:firstRow="1" w:lastRow="0" w:firstColumn="0" w:lastColumn="0" w:noHBand="0" w:noVBand="0"/>
      </w:tblPr>
      <w:tblGrid>
        <w:gridCol w:w="1533"/>
        <w:gridCol w:w="1863"/>
        <w:gridCol w:w="6180"/>
      </w:tblGrid>
      <w:tr w:rsidR="00C45327" w14:paraId="509F9011"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900E" w14:textId="77777777" w:rsidR="005C00BD" w:rsidRDefault="00000000">
            <w:pPr>
              <w:pStyle w:val="Compact"/>
            </w:pPr>
            <w:r>
              <w:t>Platform</w:t>
            </w:r>
          </w:p>
        </w:tc>
        <w:tc>
          <w:tcPr>
            <w:tcW w:w="0" w:type="auto"/>
          </w:tcPr>
          <w:p w14:paraId="509F900F" w14:textId="77777777" w:rsidR="005C00BD" w:rsidRDefault="00000000">
            <w:pPr>
              <w:pStyle w:val="Compact"/>
            </w:pPr>
            <w:r>
              <w:t>Availability SLA</w:t>
            </w:r>
          </w:p>
        </w:tc>
        <w:tc>
          <w:tcPr>
            <w:tcW w:w="0" w:type="auto"/>
          </w:tcPr>
          <w:p w14:paraId="509F9010" w14:textId="77777777" w:rsidR="005C00BD" w:rsidRDefault="00000000">
            <w:pPr>
              <w:pStyle w:val="Compact"/>
            </w:pPr>
            <w:r>
              <w:t>Source</w:t>
            </w:r>
          </w:p>
        </w:tc>
      </w:tr>
      <w:tr w:rsidR="00C45327" w14:paraId="509F9015" w14:textId="77777777">
        <w:tc>
          <w:tcPr>
            <w:tcW w:w="0" w:type="auto"/>
          </w:tcPr>
          <w:p w14:paraId="509F9012" w14:textId="77777777" w:rsidR="005C00BD" w:rsidRDefault="00000000">
            <w:pPr>
              <w:pStyle w:val="Compact"/>
            </w:pPr>
            <w:r>
              <w:t>AWS Elastic Load Balancing (multi-AZ)</w:t>
            </w:r>
          </w:p>
        </w:tc>
        <w:tc>
          <w:tcPr>
            <w:tcW w:w="0" w:type="auto"/>
          </w:tcPr>
          <w:p w14:paraId="509F9013" w14:textId="77777777" w:rsidR="005C00BD" w:rsidRDefault="00000000">
            <w:pPr>
              <w:pStyle w:val="Compact"/>
            </w:pPr>
            <w:r>
              <w:t>≥99.99% monthly</w:t>
            </w:r>
          </w:p>
        </w:tc>
        <w:tc>
          <w:tcPr>
            <w:tcW w:w="0" w:type="auto"/>
          </w:tcPr>
          <w:p w14:paraId="509F9014" w14:textId="77777777" w:rsidR="005C00BD" w:rsidRDefault="00000000">
            <w:pPr>
              <w:pStyle w:val="Compact"/>
            </w:pPr>
            <w:r>
              <w:t>AWS ELB SLA (https://aws.amazon.com/elasticloadbalancing/sla/)</w:t>
            </w:r>
          </w:p>
        </w:tc>
      </w:tr>
      <w:tr w:rsidR="00C45327" w14:paraId="509F9019" w14:textId="77777777">
        <w:tc>
          <w:tcPr>
            <w:tcW w:w="0" w:type="auto"/>
          </w:tcPr>
          <w:p w14:paraId="509F9016" w14:textId="77777777" w:rsidR="005C00BD" w:rsidRDefault="00000000">
            <w:pPr>
              <w:pStyle w:val="Compact"/>
            </w:pPr>
            <w:r>
              <w:t>Azure Standard Load Balancer</w:t>
            </w:r>
          </w:p>
        </w:tc>
        <w:tc>
          <w:tcPr>
            <w:tcW w:w="0" w:type="auto"/>
          </w:tcPr>
          <w:p w14:paraId="509F9017" w14:textId="77777777" w:rsidR="005C00BD" w:rsidRDefault="00000000">
            <w:pPr>
              <w:pStyle w:val="Compact"/>
            </w:pPr>
            <w:r>
              <w:t>≥99.99% monthly</w:t>
            </w:r>
          </w:p>
        </w:tc>
        <w:tc>
          <w:tcPr>
            <w:tcW w:w="0" w:type="auto"/>
          </w:tcPr>
          <w:p w14:paraId="509F9018" w14:textId="77777777" w:rsidR="005C00BD" w:rsidRDefault="00000000">
            <w:pPr>
              <w:pStyle w:val="Compact"/>
            </w:pPr>
            <w:r>
              <w:t>Azure SLA documentation (https://azure.microsoft.com/en-us/support/legal/sla/load-balancer/)</w:t>
            </w:r>
          </w:p>
        </w:tc>
      </w:tr>
      <w:tr w:rsidR="00C45327" w14:paraId="509F901D" w14:textId="77777777">
        <w:tc>
          <w:tcPr>
            <w:tcW w:w="0" w:type="auto"/>
          </w:tcPr>
          <w:p w14:paraId="509F901A" w14:textId="77777777" w:rsidR="005C00BD" w:rsidRDefault="00000000">
            <w:pPr>
              <w:pStyle w:val="Compact"/>
            </w:pPr>
            <w:r>
              <w:t>Azure Cross-Region Load Balancer</w:t>
            </w:r>
          </w:p>
        </w:tc>
        <w:tc>
          <w:tcPr>
            <w:tcW w:w="0" w:type="auto"/>
          </w:tcPr>
          <w:p w14:paraId="509F901B" w14:textId="77777777" w:rsidR="005C00BD" w:rsidRDefault="00000000">
            <w:pPr>
              <w:pStyle w:val="Compact"/>
            </w:pPr>
            <w:r>
              <w:t>≥99.99% monthly</w:t>
            </w:r>
          </w:p>
        </w:tc>
        <w:tc>
          <w:tcPr>
            <w:tcW w:w="0" w:type="auto"/>
          </w:tcPr>
          <w:p w14:paraId="509F901C" w14:textId="77777777" w:rsidR="005C00BD" w:rsidRDefault="00000000">
            <w:pPr>
              <w:pStyle w:val="Compact"/>
            </w:pPr>
            <w:r>
              <w:t>Microsoft GA announcement (July 2023)</w:t>
            </w:r>
          </w:p>
        </w:tc>
      </w:tr>
      <w:tr w:rsidR="00C45327" w14:paraId="509F9021" w14:textId="77777777">
        <w:tc>
          <w:tcPr>
            <w:tcW w:w="0" w:type="auto"/>
          </w:tcPr>
          <w:p w14:paraId="509F901E" w14:textId="77777777" w:rsidR="005C00BD" w:rsidRDefault="00000000">
            <w:pPr>
              <w:pStyle w:val="Compact"/>
            </w:pPr>
            <w:r>
              <w:t>Google internal network</w:t>
            </w:r>
          </w:p>
        </w:tc>
        <w:tc>
          <w:tcPr>
            <w:tcW w:w="0" w:type="auto"/>
          </w:tcPr>
          <w:p w14:paraId="509F901F" w14:textId="06118A62" w:rsidR="005C00BD" w:rsidRDefault="00C45327">
            <w:pPr>
              <w:pStyle w:val="Compact"/>
            </w:pPr>
            <w:r>
              <w:t>&gt;100 high-impact events across multi-year study period</w:t>
            </w:r>
          </w:p>
        </w:tc>
        <w:tc>
          <w:tcPr>
            <w:tcW w:w="0" w:type="auto"/>
          </w:tcPr>
          <w:p w14:paraId="509F9020" w14:textId="77777777" w:rsidR="005C00BD" w:rsidRDefault="00000000">
            <w:pPr>
              <w:pStyle w:val="Compact"/>
            </w:pPr>
            <w:r>
              <w:t>Govindan et al., ACM SIGCOMM 2016</w:t>
            </w:r>
          </w:p>
        </w:tc>
      </w:tr>
    </w:tbl>
    <w:p w14:paraId="509F9022" w14:textId="77777777" w:rsidR="005C00BD" w:rsidRDefault="00000000">
      <w:pPr>
        <w:pStyle w:val="BodyText"/>
      </w:pPr>
      <w:r>
        <w:rPr>
          <w:b/>
          <w:bCs/>
        </w:rPr>
        <w:t>F2: Scheduling/resource race condition.</w:t>
      </w:r>
      <w:r>
        <w:t xml:space="preserve"> Addressed by design specification. The orchestration layer is the single authority for both DR dispatch and workload scheduling. No race condition window exists under this architecture. Structural assumption ≈ 1.0.</w:t>
      </w:r>
    </w:p>
    <w:p w14:paraId="509F9023" w14:textId="77777777" w:rsidR="005C00BD" w:rsidRDefault="00000000">
      <w:pPr>
        <w:pStyle w:val="BodyText"/>
      </w:pPr>
      <w:r>
        <w:rPr>
          <w:b/>
          <w:bCs/>
        </w:rPr>
        <w:t>F3: Timeout / SLO violation.</w:t>
      </w:r>
      <w:r>
        <w:t xml:space="preserve"> For stateless inference, network-level timeout risk is negligible. Drain times are 4.5–12.1 seconds at P99; dispatch window is 10–30 minutes. The operation completes approximately 100× faster than the available window. Structural assumption ≈ 1.0.</w:t>
      </w:r>
    </w:p>
    <w:p w14:paraId="509F9024" w14:textId="77777777" w:rsidR="005C00BD" w:rsidRDefault="00000000">
      <w:pPr>
        <w:pStyle w:val="BodyText"/>
      </w:pPr>
      <w:r>
        <w:rPr>
          <w:b/>
          <w:bCs/>
        </w:rPr>
        <w:t>F4: Checkpoint corruption / partial transfer.</w:t>
      </w:r>
      <w:r>
        <w:t xml:space="preserve"> Does not apply to inference — no checkpoint exists. New requests are routed; in-flight requests complete normally. Structural assumption = 1.0.</w:t>
      </w:r>
    </w:p>
    <w:p w14:paraId="509F9025" w14:textId="77777777" w:rsidR="005C00BD" w:rsidRDefault="00000000">
      <w:pPr>
        <w:pStyle w:val="Heading4"/>
      </w:pPr>
      <w:bookmarkStart w:id="55" w:name="e1-0.95"/>
      <w:bookmarkEnd w:id="54"/>
      <w:r>
        <w:t>E1 = 0.95</w:t>
      </w:r>
    </w:p>
    <w:p w14:paraId="509F9026" w14:textId="77777777" w:rsidR="005C00BD" w:rsidRDefault="00000000">
      <w:pPr>
        <w:pStyle w:val="FirstParagraph"/>
      </w:pPr>
      <w:r>
        <w:t>E1 reduces to approximately (1 − P(F1) − residual_orchestration_risk). The 0.95 central value is deliberately conservative relative to the SLA-implied floor (~0.9999) because:</w:t>
      </w:r>
    </w:p>
    <w:p w14:paraId="509F9027" w14:textId="77777777" w:rsidR="005C00BD" w:rsidRDefault="00000000">
      <w:pPr>
        <w:pStyle w:val="Compact"/>
        <w:numPr>
          <w:ilvl w:val="0"/>
          <w:numId w:val="20"/>
        </w:numPr>
      </w:pPr>
      <w:r>
        <w:lastRenderedPageBreak/>
        <w:t>SLAs cover the load balancer component specifically, not the full end-to-end routing path including DNS propagation, health check lag, and configuration errors</w:t>
      </w:r>
    </w:p>
    <w:p w14:paraId="509F9028" w14:textId="77777777" w:rsidR="005C00BD" w:rsidRDefault="00000000">
      <w:pPr>
        <w:pStyle w:val="Compact"/>
        <w:numPr>
          <w:ilvl w:val="0"/>
          <w:numId w:val="20"/>
        </w:numPr>
      </w:pPr>
      <w:r>
        <w:t xml:space="preserve">The orchestration layer translating grid dispatch signals to compute routing </w:t>
      </w:r>
      <w:r>
        <w:rPr>
          <w:b/>
          <w:bCs/>
        </w:rPr>
        <w:t>does not yet exist as a production system</w:t>
      </w:r>
      <w:r>
        <w:t xml:space="preserve"> — E1 must account for software that has not been built or tested</w:t>
      </w:r>
    </w:p>
    <w:p w14:paraId="509F9029" w14:textId="77777777" w:rsidR="005C00BD" w:rsidRDefault="00000000">
      <w:pPr>
        <w:pStyle w:val="Compact"/>
        <w:numPr>
          <w:ilvl w:val="0"/>
          <w:numId w:val="20"/>
        </w:numPr>
      </w:pPr>
      <w:r>
        <w:t>Edge cases in multi-cluster routing (stale DNS cache, misconfigured health check, orchestrator logic errors) are not captured by component-level SLAs</w:t>
      </w:r>
    </w:p>
    <w:p w14:paraId="509F902A" w14:textId="77777777" w:rsidR="005C00BD" w:rsidRDefault="00000000">
      <w:pPr>
        <w:pStyle w:val="FirstParagraph"/>
      </w:pPr>
      <w:r>
        <w:t>The [0.90, 0.99] range reflects uncertainty about the end-to-end system reliability of an orchestration stack that does not yet exist. As production systems are built and tested, E1 would be expected to converge toward the SLA-implied values (&gt;0.999).</w:t>
      </w:r>
    </w:p>
    <w:p w14:paraId="509F902B" w14:textId="77777777" w:rsidR="005C00BD" w:rsidRDefault="00000000">
      <w:r>
        <w:pict w14:anchorId="509F91AE">
          <v:rect id="_x0000_i1033" style="width:0;height:1.5pt" o:hralign="center" o:hrstd="t" o:hr="t"/>
        </w:pict>
      </w:r>
    </w:p>
    <w:p w14:paraId="509F902C" w14:textId="77777777" w:rsidR="005C00BD" w:rsidRDefault="00000000">
      <w:pPr>
        <w:pStyle w:val="Heading3"/>
      </w:pPr>
      <w:bookmarkStart w:id="56" w:name="e2-bandwidth-adequacy"/>
      <w:bookmarkEnd w:id="52"/>
      <w:bookmarkEnd w:id="55"/>
      <w:r>
        <w:t>E2: Bandwidth Adequacy</w:t>
      </w:r>
    </w:p>
    <w:tbl>
      <w:tblPr>
        <w:tblStyle w:val="Table"/>
        <w:tblW w:w="0" w:type="auto"/>
        <w:tblLook w:val="0020" w:firstRow="1" w:lastRow="0" w:firstColumn="0" w:lastColumn="0" w:noHBand="0" w:noVBand="0"/>
      </w:tblPr>
      <w:tblGrid>
        <w:gridCol w:w="2459"/>
        <w:gridCol w:w="1382"/>
      </w:tblGrid>
      <w:tr w:rsidR="005C00BD" w14:paraId="509F902F"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902D" w14:textId="77777777" w:rsidR="005C00BD" w:rsidRDefault="00000000">
            <w:pPr>
              <w:pStyle w:val="Compact"/>
            </w:pPr>
            <w:r>
              <w:t>Attribute</w:t>
            </w:r>
          </w:p>
        </w:tc>
        <w:tc>
          <w:tcPr>
            <w:tcW w:w="0" w:type="auto"/>
          </w:tcPr>
          <w:p w14:paraId="509F902E" w14:textId="77777777" w:rsidR="005C00BD" w:rsidRDefault="00000000">
            <w:pPr>
              <w:pStyle w:val="Compact"/>
            </w:pPr>
            <w:r>
              <w:t>Value</w:t>
            </w:r>
          </w:p>
        </w:tc>
      </w:tr>
      <w:tr w:rsidR="005C00BD" w14:paraId="509F9032" w14:textId="77777777">
        <w:tc>
          <w:tcPr>
            <w:tcW w:w="0" w:type="auto"/>
          </w:tcPr>
          <w:p w14:paraId="509F9030" w14:textId="77777777" w:rsidR="005C00BD" w:rsidRDefault="00000000">
            <w:pPr>
              <w:pStyle w:val="Compact"/>
            </w:pPr>
            <w:r>
              <w:t>Central value</w:t>
            </w:r>
          </w:p>
        </w:tc>
        <w:tc>
          <w:tcPr>
            <w:tcW w:w="0" w:type="auto"/>
          </w:tcPr>
          <w:p w14:paraId="509F9031" w14:textId="77777777" w:rsidR="005C00BD" w:rsidRDefault="00000000">
            <w:pPr>
              <w:pStyle w:val="Compact"/>
            </w:pPr>
            <w:r>
              <w:t>0.98</w:t>
            </w:r>
          </w:p>
        </w:tc>
      </w:tr>
      <w:tr w:rsidR="005C00BD" w14:paraId="509F9035" w14:textId="77777777">
        <w:tc>
          <w:tcPr>
            <w:tcW w:w="0" w:type="auto"/>
          </w:tcPr>
          <w:p w14:paraId="509F9033" w14:textId="77777777" w:rsidR="005C00BD" w:rsidRDefault="00000000">
            <w:pPr>
              <w:pStyle w:val="Compact"/>
            </w:pPr>
            <w:r>
              <w:t>Range</w:t>
            </w:r>
          </w:p>
        </w:tc>
        <w:tc>
          <w:tcPr>
            <w:tcW w:w="0" w:type="auto"/>
          </w:tcPr>
          <w:p w14:paraId="509F9034" w14:textId="77777777" w:rsidR="005C00BD" w:rsidRDefault="00000000">
            <w:pPr>
              <w:pStyle w:val="Compact"/>
            </w:pPr>
            <w:r>
              <w:t>[0.95, 1.00]</w:t>
            </w:r>
          </w:p>
        </w:tc>
      </w:tr>
      <w:tr w:rsidR="005C00BD" w14:paraId="509F9038" w14:textId="77777777">
        <w:tc>
          <w:tcPr>
            <w:tcW w:w="0" w:type="auto"/>
          </w:tcPr>
          <w:p w14:paraId="509F9036" w14:textId="77777777" w:rsidR="005C00BD" w:rsidRDefault="00000000">
            <w:pPr>
              <w:pStyle w:val="Compact"/>
            </w:pPr>
            <w:r>
              <w:t>Grounding quality</w:t>
            </w:r>
          </w:p>
        </w:tc>
        <w:tc>
          <w:tcPr>
            <w:tcW w:w="0" w:type="auto"/>
          </w:tcPr>
          <w:p w14:paraId="509F9037" w14:textId="77777777" w:rsidR="005C00BD" w:rsidRDefault="00000000">
            <w:pPr>
              <w:pStyle w:val="Compact"/>
            </w:pPr>
            <w:r>
              <w:t>DATA</w:t>
            </w:r>
          </w:p>
        </w:tc>
      </w:tr>
      <w:tr w:rsidR="005C00BD" w14:paraId="509F903B" w14:textId="77777777">
        <w:tc>
          <w:tcPr>
            <w:tcW w:w="0" w:type="auto"/>
          </w:tcPr>
          <w:p w14:paraId="509F9039" w14:textId="77777777" w:rsidR="005C00BD" w:rsidRDefault="00000000">
            <w:pPr>
              <w:pStyle w:val="Compact"/>
            </w:pPr>
            <w:r>
              <w:t>Variance contribution</w:t>
            </w:r>
          </w:p>
        </w:tc>
        <w:tc>
          <w:tcPr>
            <w:tcW w:w="0" w:type="auto"/>
          </w:tcPr>
          <w:p w14:paraId="509F903A" w14:textId="77777777" w:rsidR="005C00BD" w:rsidRDefault="00000000">
            <w:pPr>
              <w:pStyle w:val="Compact"/>
            </w:pPr>
            <w:r>
              <w:t>0.2%</w:t>
            </w:r>
          </w:p>
        </w:tc>
      </w:tr>
    </w:tbl>
    <w:p w14:paraId="509F903C" w14:textId="77777777" w:rsidR="005C00BD" w:rsidRDefault="00000000">
      <w:pPr>
        <w:pStyle w:val="Heading4"/>
      </w:pPr>
      <w:bookmarkStart w:id="57" w:name="what-e2-measures"/>
      <w:r>
        <w:t>What E2 Measures</w:t>
      </w:r>
    </w:p>
    <w:p w14:paraId="509F903D" w14:textId="77777777" w:rsidR="005C00BD" w:rsidRDefault="00000000">
      <w:pPr>
        <w:pStyle w:val="FirstParagraph"/>
      </w:pPr>
      <w:r>
        <w:t xml:space="preserve">E2 answers: </w:t>
      </w:r>
      <w:r>
        <w:rPr>
          <w:i/>
          <w:iCs/>
        </w:rPr>
        <w:t>is there sufficient network bandwidth to execute the migration operation?</w:t>
      </w:r>
    </w:p>
    <w:p w14:paraId="509F903E" w14:textId="77777777" w:rsidR="005C00BD" w:rsidRDefault="00000000">
      <w:pPr>
        <w:pStyle w:val="Heading4"/>
      </w:pPr>
      <w:bookmarkStart w:id="58" w:name="the-bandwidth-math"/>
      <w:bookmarkEnd w:id="57"/>
      <w:r>
        <w:t>The Bandwidth Math</w:t>
      </w:r>
    </w:p>
    <w:p w14:paraId="509F903F" w14:textId="77777777" w:rsidR="005C00BD" w:rsidRDefault="00000000">
      <w:pPr>
        <w:pStyle w:val="FirstParagraph"/>
      </w:pPr>
      <w:r>
        <w:t>For inference, the data transferred per request is trivially small:</w:t>
      </w:r>
    </w:p>
    <w:p w14:paraId="509F9040" w14:textId="77777777" w:rsidR="005C00BD" w:rsidRDefault="00000000">
      <w:pPr>
        <w:pStyle w:val="Compact"/>
        <w:numPr>
          <w:ilvl w:val="0"/>
          <w:numId w:val="21"/>
        </w:numPr>
      </w:pPr>
      <w:r>
        <w:t>Typical inference request: 500–2,000 input tokens, 500–2,000 output tokens</w:t>
      </w:r>
    </w:p>
    <w:p w14:paraId="509F9041" w14:textId="77777777" w:rsidR="005C00BD" w:rsidRDefault="00000000">
      <w:pPr>
        <w:pStyle w:val="Compact"/>
        <w:numPr>
          <w:ilvl w:val="0"/>
          <w:numId w:val="21"/>
        </w:numPr>
      </w:pPr>
      <w:r>
        <w:t>At approximately 4 bytes per token: single request-response pair ≈ 16 KB</w:t>
      </w:r>
    </w:p>
    <w:p w14:paraId="509F9042" w14:textId="77777777" w:rsidR="005C00BD" w:rsidRDefault="00000000">
      <w:pPr>
        <w:pStyle w:val="Compact"/>
        <w:numPr>
          <w:ilvl w:val="0"/>
          <w:numId w:val="21"/>
        </w:numPr>
      </w:pPr>
      <w:r>
        <w:t>Large request (128K context window): approximately 512 KB</w:t>
      </w:r>
    </w:p>
    <w:p w14:paraId="509F9043" w14:textId="77777777" w:rsidR="005C00BD" w:rsidRDefault="00000000">
      <w:pPr>
        <w:pStyle w:val="Compact"/>
        <w:numPr>
          <w:ilvl w:val="0"/>
          <w:numId w:val="21"/>
        </w:numPr>
      </w:pPr>
      <w:r>
        <w:t>A single 100 Gbps link can carry approximately 780,000 inference requests per second</w:t>
      </w:r>
    </w:p>
    <w:p w14:paraId="509F9044" w14:textId="77777777" w:rsidR="005C00BD" w:rsidRDefault="00000000">
      <w:pPr>
        <w:pStyle w:val="FirstParagraph"/>
      </w:pPr>
      <w:r>
        <w:t>Modern hyperscale WAN capacity is enormous:</w:t>
      </w:r>
    </w:p>
    <w:p w14:paraId="509F9045" w14:textId="77777777" w:rsidR="005C00BD" w:rsidRDefault="00000000">
      <w:pPr>
        <w:pStyle w:val="Compact"/>
        <w:numPr>
          <w:ilvl w:val="0"/>
          <w:numId w:val="22"/>
        </w:numPr>
      </w:pPr>
      <w:r>
        <w:t>Links operate at 100–800 Gbps per link</w:t>
      </w:r>
    </w:p>
    <w:p w14:paraId="34AB7AD8" w14:textId="3ECEBAA8" w:rsidR="00DE2175" w:rsidRDefault="00DE2175" w:rsidP="00DE2175">
      <w:pPr>
        <w:pStyle w:val="Compact"/>
        <w:numPr>
          <w:ilvl w:val="0"/>
          <w:numId w:val="22"/>
        </w:numPr>
      </w:pPr>
      <w:r>
        <w:t>Hyperscaler bandwidth purchases on Zayo’s network reached 42.4 Tb cumulatively from 2020–2024, a 133% increase over the period (Zayo Bandwidth Report 2025, via Data Center Knowledge, November 2025), reflecting the network-side buildout supporting interconnect between AI training clusters</w:t>
      </w:r>
    </w:p>
    <w:p w14:paraId="509F9047" w14:textId="77777777" w:rsidR="005C00BD" w:rsidRDefault="00000000">
      <w:pPr>
        <w:pStyle w:val="Compact"/>
        <w:numPr>
          <w:ilvl w:val="0"/>
          <w:numId w:val="22"/>
        </w:numPr>
      </w:pPr>
      <w:r>
        <w:t>Metro dark fiber purchases rose 268% year-over-year in 2024</w:t>
      </w:r>
    </w:p>
    <w:p w14:paraId="509F9048" w14:textId="77777777" w:rsidR="005C00BD" w:rsidRDefault="00000000">
      <w:pPr>
        <w:pStyle w:val="Compact"/>
        <w:numPr>
          <w:ilvl w:val="0"/>
          <w:numId w:val="22"/>
        </w:numPr>
      </w:pPr>
      <w:r>
        <w:t>Google’s B4 WAN (Jain et al., ACM SIGCOMM 2013) demonstrated a globally-deployed software-defined WAN operating at near-100% utilization through centralized traffic engineering over a decade ago</w:t>
      </w:r>
    </w:p>
    <w:p w14:paraId="509F9049" w14:textId="77777777" w:rsidR="005C00BD" w:rsidRDefault="00000000">
      <w:pPr>
        <w:pStyle w:val="Heading4"/>
      </w:pPr>
      <w:bookmarkStart w:id="59" w:name="X983202301dc488169b50552b0f452bd102ce514"/>
      <w:bookmarkEnd w:id="58"/>
      <w:r>
        <w:lastRenderedPageBreak/>
        <w:t>Pre-Staged Weights Eliminate the Bottleneck</w:t>
      </w:r>
    </w:p>
    <w:p w14:paraId="509F904A" w14:textId="77777777" w:rsidR="005C00BD" w:rsidRDefault="00000000">
      <w:pPr>
        <w:pStyle w:val="FirstParagraph"/>
      </w:pPr>
      <w:r>
        <w:t>The bandwidth-intensive operation in a naive migration would be transferring model weights. For frontier models (405B parameters, ~810 GB in FP16), on-demand transfer over a 100 Gbps link takes ~65 seconds. But as established in D5, weights are pre-staged at destinations. Inference spatial migration transfers only request/response payloads, which are negligible relative to available WAN capacity.</w:t>
      </w:r>
    </w:p>
    <w:p w14:paraId="509F904B" w14:textId="77777777" w:rsidR="005C00BD" w:rsidRDefault="00000000">
      <w:pPr>
        <w:pStyle w:val="Heading4"/>
      </w:pPr>
      <w:bookmarkStart w:id="60" w:name="e2-0.98"/>
      <w:bookmarkEnd w:id="59"/>
      <w:r>
        <w:t>E2 = 0.98</w:t>
      </w:r>
    </w:p>
    <w:p w14:paraId="509F904C" w14:textId="77777777" w:rsidR="005C00BD" w:rsidRDefault="00000000">
      <w:pPr>
        <w:pStyle w:val="FirstParagraph"/>
      </w:pPr>
      <w:r>
        <w:t>The reduction from 1.0 accounts for: - Transient WAN congestion during extreme events (when multiple operators may simultaneously attempt migration) - Smaller facilities with less redundant WAN connectivity than hyperscale campuses - The possibility of correlated network stress during grid emergencies (ice storms that damage both power lines and fiber)</w:t>
      </w:r>
    </w:p>
    <w:p w14:paraId="509F904D" w14:textId="77777777" w:rsidR="005C00BD" w:rsidRDefault="00000000">
      <w:r>
        <w:pict w14:anchorId="509F91AF">
          <v:rect id="_x0000_i1034" style="width:0;height:1.5pt" o:hralign="center" o:hrstd="t" o:hr="t"/>
        </w:pict>
      </w:r>
    </w:p>
    <w:p w14:paraId="509F904E" w14:textId="77777777" w:rsidR="005C00BD" w:rsidRDefault="00000000">
      <w:pPr>
        <w:pStyle w:val="Heading2"/>
      </w:pPr>
      <w:bookmarkStart w:id="61" w:name="cascade-product-and-commitment-depth"/>
      <w:bookmarkEnd w:id="51"/>
      <w:bookmarkEnd w:id="56"/>
      <w:bookmarkEnd w:id="60"/>
      <w:r>
        <w:t>5. Cascade Product and Commitment Depth</w:t>
      </w:r>
    </w:p>
    <w:p w14:paraId="509F904F" w14:textId="77777777" w:rsidR="005C00BD" w:rsidRDefault="00000000">
      <w:pPr>
        <w:pStyle w:val="Heading3"/>
      </w:pPr>
      <w:bookmarkStart w:id="62" w:name="full-parameter-table"/>
      <w:r>
        <w:t>Full Parameter Table</w:t>
      </w:r>
    </w:p>
    <w:tbl>
      <w:tblPr>
        <w:tblStyle w:val="Table"/>
        <w:tblW w:w="5000" w:type="pct"/>
        <w:tblLook w:val="0020" w:firstRow="1" w:lastRow="0" w:firstColumn="0" w:lastColumn="0" w:noHBand="0" w:noVBand="0"/>
      </w:tblPr>
      <w:tblGrid>
        <w:gridCol w:w="1737"/>
        <w:gridCol w:w="2000"/>
        <w:gridCol w:w="1556"/>
        <w:gridCol w:w="983"/>
        <w:gridCol w:w="1278"/>
        <w:gridCol w:w="2022"/>
      </w:tblGrid>
      <w:tr w:rsidR="005C00BD" w14:paraId="509F9056"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9050" w14:textId="77777777" w:rsidR="005C00BD" w:rsidRDefault="00000000">
            <w:pPr>
              <w:pStyle w:val="Compact"/>
            </w:pPr>
            <w:r>
              <w:t>Parameter</w:t>
            </w:r>
          </w:p>
        </w:tc>
        <w:tc>
          <w:tcPr>
            <w:tcW w:w="0" w:type="auto"/>
          </w:tcPr>
          <w:p w14:paraId="509F9051" w14:textId="77777777" w:rsidR="005C00BD" w:rsidRDefault="00000000">
            <w:pPr>
              <w:pStyle w:val="Compact"/>
            </w:pPr>
            <w:r>
              <w:t>Measures</w:t>
            </w:r>
          </w:p>
        </w:tc>
        <w:tc>
          <w:tcPr>
            <w:tcW w:w="0" w:type="auto"/>
          </w:tcPr>
          <w:p w14:paraId="509F9052" w14:textId="77777777" w:rsidR="005C00BD" w:rsidRDefault="00000000">
            <w:pPr>
              <w:pStyle w:val="Compact"/>
            </w:pPr>
            <w:r>
              <w:t>Conservative</w:t>
            </w:r>
          </w:p>
        </w:tc>
        <w:tc>
          <w:tcPr>
            <w:tcW w:w="0" w:type="auto"/>
          </w:tcPr>
          <w:p w14:paraId="509F9053" w14:textId="77777777" w:rsidR="005C00BD" w:rsidRDefault="00000000">
            <w:pPr>
              <w:pStyle w:val="Compact"/>
            </w:pPr>
            <w:r>
              <w:t>Central</w:t>
            </w:r>
          </w:p>
        </w:tc>
        <w:tc>
          <w:tcPr>
            <w:tcW w:w="0" w:type="auto"/>
          </w:tcPr>
          <w:p w14:paraId="509F9054" w14:textId="77777777" w:rsidR="005C00BD" w:rsidRDefault="00000000">
            <w:pPr>
              <w:pStyle w:val="Compact"/>
            </w:pPr>
            <w:r>
              <w:t>Optimistic</w:t>
            </w:r>
          </w:p>
        </w:tc>
        <w:tc>
          <w:tcPr>
            <w:tcW w:w="0" w:type="auto"/>
          </w:tcPr>
          <w:p w14:paraId="509F9055" w14:textId="77777777" w:rsidR="005C00BD" w:rsidRDefault="00000000">
            <w:pPr>
              <w:pStyle w:val="Compact"/>
            </w:pPr>
            <w:r>
              <w:t>Grounding</w:t>
            </w:r>
          </w:p>
        </w:tc>
      </w:tr>
      <w:tr w:rsidR="005C00BD" w14:paraId="509F905D" w14:textId="77777777">
        <w:tc>
          <w:tcPr>
            <w:tcW w:w="0" w:type="auto"/>
          </w:tcPr>
          <w:p w14:paraId="509F9057" w14:textId="77777777" w:rsidR="005C00BD" w:rsidRDefault="00000000">
            <w:pPr>
              <w:pStyle w:val="Compact"/>
            </w:pPr>
            <w:r>
              <w:rPr>
                <w:b/>
                <w:bCs/>
              </w:rPr>
              <w:t>Source-side</w:t>
            </w:r>
          </w:p>
        </w:tc>
        <w:tc>
          <w:tcPr>
            <w:tcW w:w="0" w:type="auto"/>
          </w:tcPr>
          <w:p w14:paraId="509F9058" w14:textId="77777777" w:rsidR="005C00BD" w:rsidRDefault="005C00BD">
            <w:pPr>
              <w:pStyle w:val="Compact"/>
            </w:pPr>
          </w:p>
        </w:tc>
        <w:tc>
          <w:tcPr>
            <w:tcW w:w="0" w:type="auto"/>
          </w:tcPr>
          <w:p w14:paraId="509F9059" w14:textId="77777777" w:rsidR="005C00BD" w:rsidRDefault="005C00BD">
            <w:pPr>
              <w:pStyle w:val="Compact"/>
            </w:pPr>
          </w:p>
        </w:tc>
        <w:tc>
          <w:tcPr>
            <w:tcW w:w="0" w:type="auto"/>
          </w:tcPr>
          <w:p w14:paraId="509F905A" w14:textId="77777777" w:rsidR="005C00BD" w:rsidRDefault="005C00BD">
            <w:pPr>
              <w:pStyle w:val="Compact"/>
            </w:pPr>
          </w:p>
        </w:tc>
        <w:tc>
          <w:tcPr>
            <w:tcW w:w="0" w:type="auto"/>
          </w:tcPr>
          <w:p w14:paraId="509F905B" w14:textId="77777777" w:rsidR="005C00BD" w:rsidRDefault="005C00BD">
            <w:pPr>
              <w:pStyle w:val="Compact"/>
            </w:pPr>
          </w:p>
        </w:tc>
        <w:tc>
          <w:tcPr>
            <w:tcW w:w="0" w:type="auto"/>
          </w:tcPr>
          <w:p w14:paraId="509F905C" w14:textId="77777777" w:rsidR="005C00BD" w:rsidRDefault="005C00BD">
            <w:pPr>
              <w:pStyle w:val="Compact"/>
            </w:pPr>
          </w:p>
        </w:tc>
      </w:tr>
      <w:tr w:rsidR="005C00BD" w14:paraId="509F9064" w14:textId="77777777">
        <w:tc>
          <w:tcPr>
            <w:tcW w:w="0" w:type="auto"/>
          </w:tcPr>
          <w:p w14:paraId="509F905E" w14:textId="77777777" w:rsidR="005C00BD" w:rsidRDefault="00000000">
            <w:pPr>
              <w:pStyle w:val="Compact"/>
            </w:pPr>
            <w:r>
              <w:t>S1</w:t>
            </w:r>
          </w:p>
        </w:tc>
        <w:tc>
          <w:tcPr>
            <w:tcW w:w="0" w:type="auto"/>
          </w:tcPr>
          <w:p w14:paraId="509F905F" w14:textId="77777777" w:rsidR="005C00BD" w:rsidRDefault="00000000">
            <w:pPr>
              <w:pStyle w:val="Compact"/>
            </w:pPr>
            <w:r>
              <w:t>Workload candidacy</w:t>
            </w:r>
          </w:p>
        </w:tc>
        <w:tc>
          <w:tcPr>
            <w:tcW w:w="0" w:type="auto"/>
          </w:tcPr>
          <w:p w14:paraId="509F9060" w14:textId="77777777" w:rsidR="005C00BD" w:rsidRDefault="00000000">
            <w:pPr>
              <w:pStyle w:val="Compact"/>
            </w:pPr>
            <w:r>
              <w:t>0.70</w:t>
            </w:r>
          </w:p>
        </w:tc>
        <w:tc>
          <w:tcPr>
            <w:tcW w:w="0" w:type="auto"/>
          </w:tcPr>
          <w:p w14:paraId="509F9061" w14:textId="77777777" w:rsidR="005C00BD" w:rsidRDefault="00000000">
            <w:pPr>
              <w:pStyle w:val="Compact"/>
            </w:pPr>
            <w:r>
              <w:t>0.70</w:t>
            </w:r>
          </w:p>
        </w:tc>
        <w:tc>
          <w:tcPr>
            <w:tcW w:w="0" w:type="auto"/>
          </w:tcPr>
          <w:p w14:paraId="509F9062" w14:textId="77777777" w:rsidR="005C00BD" w:rsidRDefault="00000000">
            <w:pPr>
              <w:pStyle w:val="Compact"/>
            </w:pPr>
            <w:r>
              <w:t>0.70</w:t>
            </w:r>
          </w:p>
        </w:tc>
        <w:tc>
          <w:tcPr>
            <w:tcW w:w="0" w:type="auto"/>
          </w:tcPr>
          <w:p w14:paraId="509F9063" w14:textId="77777777" w:rsidR="005C00BD" w:rsidRDefault="00000000">
            <w:pPr>
              <w:pStyle w:val="Compact"/>
            </w:pPr>
            <w:r>
              <w:t>STRUCTURAL</w:t>
            </w:r>
          </w:p>
        </w:tc>
      </w:tr>
      <w:tr w:rsidR="005C00BD" w14:paraId="509F906B" w14:textId="77777777">
        <w:tc>
          <w:tcPr>
            <w:tcW w:w="0" w:type="auto"/>
          </w:tcPr>
          <w:p w14:paraId="509F9065" w14:textId="77777777" w:rsidR="005C00BD" w:rsidRDefault="00000000">
            <w:pPr>
              <w:pStyle w:val="Compact"/>
            </w:pPr>
            <w:r>
              <w:t>S2</w:t>
            </w:r>
          </w:p>
        </w:tc>
        <w:tc>
          <w:tcPr>
            <w:tcW w:w="0" w:type="auto"/>
          </w:tcPr>
          <w:p w14:paraId="509F9066" w14:textId="77777777" w:rsidR="005C00BD" w:rsidRDefault="00000000">
            <w:pPr>
              <w:pStyle w:val="Compact"/>
            </w:pPr>
            <w:r>
              <w:t>Data locality</w:t>
            </w:r>
          </w:p>
        </w:tc>
        <w:tc>
          <w:tcPr>
            <w:tcW w:w="0" w:type="auto"/>
          </w:tcPr>
          <w:p w14:paraId="509F9067" w14:textId="77777777" w:rsidR="005C00BD" w:rsidRDefault="00000000">
            <w:pPr>
              <w:pStyle w:val="Compact"/>
            </w:pPr>
            <w:r>
              <w:t>0.60</w:t>
            </w:r>
          </w:p>
        </w:tc>
        <w:tc>
          <w:tcPr>
            <w:tcW w:w="0" w:type="auto"/>
          </w:tcPr>
          <w:p w14:paraId="509F9068" w14:textId="77777777" w:rsidR="005C00BD" w:rsidRDefault="00000000">
            <w:pPr>
              <w:pStyle w:val="Compact"/>
            </w:pPr>
            <w:r>
              <w:t>0.70</w:t>
            </w:r>
          </w:p>
        </w:tc>
        <w:tc>
          <w:tcPr>
            <w:tcW w:w="0" w:type="auto"/>
          </w:tcPr>
          <w:p w14:paraId="509F9069" w14:textId="77777777" w:rsidR="005C00BD" w:rsidRDefault="00000000">
            <w:pPr>
              <w:pStyle w:val="Compact"/>
            </w:pPr>
            <w:r>
              <w:t>0.95</w:t>
            </w:r>
          </w:p>
        </w:tc>
        <w:tc>
          <w:tcPr>
            <w:tcW w:w="0" w:type="auto"/>
          </w:tcPr>
          <w:p w14:paraId="509F906A" w14:textId="77777777" w:rsidR="005C00BD" w:rsidRDefault="00000000">
            <w:pPr>
              <w:pStyle w:val="Compact"/>
            </w:pPr>
            <w:r>
              <w:t>ESTIMATED-WEAK</w:t>
            </w:r>
          </w:p>
        </w:tc>
      </w:tr>
      <w:tr w:rsidR="005C00BD" w14:paraId="509F9072" w14:textId="77777777">
        <w:tc>
          <w:tcPr>
            <w:tcW w:w="0" w:type="auto"/>
          </w:tcPr>
          <w:p w14:paraId="509F906C" w14:textId="77777777" w:rsidR="005C00BD" w:rsidRDefault="00000000">
            <w:pPr>
              <w:pStyle w:val="Compact"/>
            </w:pPr>
            <w:r>
              <w:t>S3</w:t>
            </w:r>
          </w:p>
        </w:tc>
        <w:tc>
          <w:tcPr>
            <w:tcW w:w="0" w:type="auto"/>
          </w:tcPr>
          <w:p w14:paraId="509F906D" w14:textId="77777777" w:rsidR="005C00BD" w:rsidRDefault="00000000">
            <w:pPr>
              <w:pStyle w:val="Compact"/>
            </w:pPr>
            <w:r>
              <w:t>Operational timing</w:t>
            </w:r>
          </w:p>
        </w:tc>
        <w:tc>
          <w:tcPr>
            <w:tcW w:w="0" w:type="auto"/>
          </w:tcPr>
          <w:p w14:paraId="509F906E" w14:textId="77777777" w:rsidR="005C00BD" w:rsidRDefault="00000000">
            <w:pPr>
              <w:pStyle w:val="Compact"/>
            </w:pPr>
            <w:r>
              <w:t>0.85</w:t>
            </w:r>
          </w:p>
        </w:tc>
        <w:tc>
          <w:tcPr>
            <w:tcW w:w="0" w:type="auto"/>
          </w:tcPr>
          <w:p w14:paraId="509F906F" w14:textId="77777777" w:rsidR="005C00BD" w:rsidRDefault="00000000">
            <w:pPr>
              <w:pStyle w:val="Compact"/>
            </w:pPr>
            <w:r>
              <w:t>0.90</w:t>
            </w:r>
          </w:p>
        </w:tc>
        <w:tc>
          <w:tcPr>
            <w:tcW w:w="0" w:type="auto"/>
          </w:tcPr>
          <w:p w14:paraId="509F9070" w14:textId="77777777" w:rsidR="005C00BD" w:rsidRDefault="00000000">
            <w:pPr>
              <w:pStyle w:val="Compact"/>
            </w:pPr>
            <w:r>
              <w:t>0.95</w:t>
            </w:r>
          </w:p>
        </w:tc>
        <w:tc>
          <w:tcPr>
            <w:tcW w:w="0" w:type="auto"/>
          </w:tcPr>
          <w:p w14:paraId="509F9071" w14:textId="77777777" w:rsidR="005C00BD" w:rsidRDefault="00000000">
            <w:pPr>
              <w:pStyle w:val="Compact"/>
            </w:pPr>
            <w:r>
              <w:t>DATA</w:t>
            </w:r>
          </w:p>
        </w:tc>
      </w:tr>
      <w:tr w:rsidR="005C00BD" w14:paraId="509F9079" w14:textId="77777777">
        <w:tc>
          <w:tcPr>
            <w:tcW w:w="0" w:type="auto"/>
          </w:tcPr>
          <w:p w14:paraId="509F9073" w14:textId="77777777" w:rsidR="005C00BD" w:rsidRDefault="00000000">
            <w:pPr>
              <w:pStyle w:val="Compact"/>
            </w:pPr>
            <w:r>
              <w:rPr>
                <w:b/>
                <w:bCs/>
              </w:rPr>
              <w:t>Destination-side</w:t>
            </w:r>
          </w:p>
        </w:tc>
        <w:tc>
          <w:tcPr>
            <w:tcW w:w="0" w:type="auto"/>
          </w:tcPr>
          <w:p w14:paraId="509F9074" w14:textId="77777777" w:rsidR="005C00BD" w:rsidRDefault="005C00BD">
            <w:pPr>
              <w:pStyle w:val="Compact"/>
            </w:pPr>
          </w:p>
        </w:tc>
        <w:tc>
          <w:tcPr>
            <w:tcW w:w="0" w:type="auto"/>
          </w:tcPr>
          <w:p w14:paraId="509F9075" w14:textId="77777777" w:rsidR="005C00BD" w:rsidRDefault="005C00BD">
            <w:pPr>
              <w:pStyle w:val="Compact"/>
            </w:pPr>
          </w:p>
        </w:tc>
        <w:tc>
          <w:tcPr>
            <w:tcW w:w="0" w:type="auto"/>
          </w:tcPr>
          <w:p w14:paraId="509F9076" w14:textId="77777777" w:rsidR="005C00BD" w:rsidRDefault="005C00BD">
            <w:pPr>
              <w:pStyle w:val="Compact"/>
            </w:pPr>
          </w:p>
        </w:tc>
        <w:tc>
          <w:tcPr>
            <w:tcW w:w="0" w:type="auto"/>
          </w:tcPr>
          <w:p w14:paraId="509F9077" w14:textId="77777777" w:rsidR="005C00BD" w:rsidRDefault="005C00BD">
            <w:pPr>
              <w:pStyle w:val="Compact"/>
            </w:pPr>
          </w:p>
        </w:tc>
        <w:tc>
          <w:tcPr>
            <w:tcW w:w="0" w:type="auto"/>
          </w:tcPr>
          <w:p w14:paraId="509F9078" w14:textId="77777777" w:rsidR="005C00BD" w:rsidRDefault="005C00BD">
            <w:pPr>
              <w:pStyle w:val="Compact"/>
            </w:pPr>
          </w:p>
        </w:tc>
      </w:tr>
      <w:tr w:rsidR="005C00BD" w14:paraId="509F9080" w14:textId="77777777">
        <w:tc>
          <w:tcPr>
            <w:tcW w:w="0" w:type="auto"/>
          </w:tcPr>
          <w:p w14:paraId="509F907A" w14:textId="77777777" w:rsidR="005C00BD" w:rsidRDefault="00000000">
            <w:pPr>
              <w:pStyle w:val="Compact"/>
            </w:pPr>
            <w:r>
              <w:t>D1</w:t>
            </w:r>
          </w:p>
        </w:tc>
        <w:tc>
          <w:tcPr>
            <w:tcW w:w="0" w:type="auto"/>
          </w:tcPr>
          <w:p w14:paraId="509F907B" w14:textId="77777777" w:rsidR="005C00BD" w:rsidRDefault="00000000">
            <w:pPr>
              <w:pStyle w:val="Compact"/>
            </w:pPr>
            <w:r>
              <w:t>Cross-region availability</w:t>
            </w:r>
          </w:p>
        </w:tc>
        <w:tc>
          <w:tcPr>
            <w:tcW w:w="0" w:type="auto"/>
          </w:tcPr>
          <w:p w14:paraId="509F907C" w14:textId="77777777" w:rsidR="005C00BD" w:rsidRDefault="00000000">
            <w:pPr>
              <w:pStyle w:val="Compact"/>
            </w:pPr>
            <w:r>
              <w:t>0.945</w:t>
            </w:r>
          </w:p>
        </w:tc>
        <w:tc>
          <w:tcPr>
            <w:tcW w:w="0" w:type="auto"/>
          </w:tcPr>
          <w:p w14:paraId="509F907D" w14:textId="77777777" w:rsidR="005C00BD" w:rsidRDefault="00000000">
            <w:pPr>
              <w:pStyle w:val="Compact"/>
            </w:pPr>
            <w:r>
              <w:t>0.99</w:t>
            </w:r>
          </w:p>
        </w:tc>
        <w:tc>
          <w:tcPr>
            <w:tcW w:w="0" w:type="auto"/>
          </w:tcPr>
          <w:p w14:paraId="509F907E" w14:textId="77777777" w:rsidR="005C00BD" w:rsidRDefault="00000000">
            <w:pPr>
              <w:pStyle w:val="Compact"/>
            </w:pPr>
            <w:r>
              <w:t>0.995</w:t>
            </w:r>
          </w:p>
        </w:tc>
        <w:tc>
          <w:tcPr>
            <w:tcW w:w="0" w:type="auto"/>
          </w:tcPr>
          <w:p w14:paraId="509F907F" w14:textId="77777777" w:rsidR="005C00BD" w:rsidRDefault="00000000">
            <w:pPr>
              <w:pStyle w:val="Compact"/>
            </w:pPr>
            <w:r>
              <w:t>DATA</w:t>
            </w:r>
          </w:p>
        </w:tc>
      </w:tr>
      <w:tr w:rsidR="005C00BD" w14:paraId="509F9087" w14:textId="77777777">
        <w:tc>
          <w:tcPr>
            <w:tcW w:w="0" w:type="auto"/>
          </w:tcPr>
          <w:p w14:paraId="509F9081" w14:textId="77777777" w:rsidR="005C00BD" w:rsidRDefault="00000000">
            <w:pPr>
              <w:pStyle w:val="Compact"/>
            </w:pPr>
            <w:r>
              <w:t>D2</w:t>
            </w:r>
          </w:p>
        </w:tc>
        <w:tc>
          <w:tcPr>
            <w:tcW w:w="0" w:type="auto"/>
          </w:tcPr>
          <w:p w14:paraId="509F9082" w14:textId="77777777" w:rsidR="005C00BD" w:rsidRDefault="00000000">
            <w:pPr>
              <w:pStyle w:val="Compact"/>
            </w:pPr>
            <w:r>
              <w:t>Utilization headroom</w:t>
            </w:r>
          </w:p>
        </w:tc>
        <w:tc>
          <w:tcPr>
            <w:tcW w:w="0" w:type="auto"/>
          </w:tcPr>
          <w:p w14:paraId="509F9083" w14:textId="77777777" w:rsidR="005C00BD" w:rsidRDefault="00000000">
            <w:pPr>
              <w:pStyle w:val="Compact"/>
            </w:pPr>
            <w:r>
              <w:t>0.20</w:t>
            </w:r>
          </w:p>
        </w:tc>
        <w:tc>
          <w:tcPr>
            <w:tcW w:w="0" w:type="auto"/>
          </w:tcPr>
          <w:p w14:paraId="509F9084" w14:textId="77777777" w:rsidR="005C00BD" w:rsidRDefault="00000000">
            <w:pPr>
              <w:pStyle w:val="Compact"/>
            </w:pPr>
            <w:r>
              <w:t>0.33</w:t>
            </w:r>
          </w:p>
        </w:tc>
        <w:tc>
          <w:tcPr>
            <w:tcW w:w="0" w:type="auto"/>
          </w:tcPr>
          <w:p w14:paraId="509F9085" w14:textId="77777777" w:rsidR="005C00BD" w:rsidRDefault="00000000">
            <w:pPr>
              <w:pStyle w:val="Compact"/>
            </w:pPr>
            <w:r>
              <w:t>0.50</w:t>
            </w:r>
          </w:p>
        </w:tc>
        <w:tc>
          <w:tcPr>
            <w:tcW w:w="0" w:type="auto"/>
          </w:tcPr>
          <w:p w14:paraId="509F9086" w14:textId="77777777" w:rsidR="005C00BD" w:rsidRDefault="00000000">
            <w:pPr>
              <w:pStyle w:val="Compact"/>
            </w:pPr>
            <w:r>
              <w:t>ESTIMATED-WEAK</w:t>
            </w:r>
          </w:p>
        </w:tc>
      </w:tr>
      <w:tr w:rsidR="005C00BD" w14:paraId="509F908E" w14:textId="77777777">
        <w:tc>
          <w:tcPr>
            <w:tcW w:w="0" w:type="auto"/>
          </w:tcPr>
          <w:p w14:paraId="509F9088" w14:textId="77777777" w:rsidR="005C00BD" w:rsidRDefault="00000000">
            <w:pPr>
              <w:pStyle w:val="Compact"/>
            </w:pPr>
            <w:r>
              <w:t>D3</w:t>
            </w:r>
          </w:p>
        </w:tc>
        <w:tc>
          <w:tcPr>
            <w:tcW w:w="0" w:type="auto"/>
          </w:tcPr>
          <w:p w14:paraId="509F9089" w14:textId="77777777" w:rsidR="005C00BD" w:rsidRDefault="00000000">
            <w:pPr>
              <w:pStyle w:val="Compact"/>
            </w:pPr>
            <w:r>
              <w:t>Hardware compatibility</w:t>
            </w:r>
          </w:p>
        </w:tc>
        <w:tc>
          <w:tcPr>
            <w:tcW w:w="0" w:type="auto"/>
          </w:tcPr>
          <w:p w14:paraId="509F908A" w14:textId="77777777" w:rsidR="005C00BD" w:rsidRDefault="00000000">
            <w:pPr>
              <w:pStyle w:val="Compact"/>
            </w:pPr>
            <w:r>
              <w:t>0.80</w:t>
            </w:r>
          </w:p>
        </w:tc>
        <w:tc>
          <w:tcPr>
            <w:tcW w:w="0" w:type="auto"/>
          </w:tcPr>
          <w:p w14:paraId="509F908B" w14:textId="77777777" w:rsidR="005C00BD" w:rsidRDefault="00000000">
            <w:pPr>
              <w:pStyle w:val="Compact"/>
            </w:pPr>
            <w:r>
              <w:t>0.88</w:t>
            </w:r>
          </w:p>
        </w:tc>
        <w:tc>
          <w:tcPr>
            <w:tcW w:w="0" w:type="auto"/>
          </w:tcPr>
          <w:p w14:paraId="509F908C" w14:textId="77777777" w:rsidR="005C00BD" w:rsidRDefault="00000000">
            <w:pPr>
              <w:pStyle w:val="Compact"/>
            </w:pPr>
            <w:r>
              <w:t>0.92</w:t>
            </w:r>
          </w:p>
        </w:tc>
        <w:tc>
          <w:tcPr>
            <w:tcW w:w="0" w:type="auto"/>
          </w:tcPr>
          <w:p w14:paraId="509F908D" w14:textId="77777777" w:rsidR="005C00BD" w:rsidRDefault="00000000">
            <w:pPr>
              <w:pStyle w:val="Compact"/>
            </w:pPr>
            <w:r>
              <w:t>ESTIMATED-MODERATE</w:t>
            </w:r>
          </w:p>
        </w:tc>
      </w:tr>
      <w:tr w:rsidR="005C00BD" w14:paraId="509F9095" w14:textId="77777777">
        <w:tc>
          <w:tcPr>
            <w:tcW w:w="0" w:type="auto"/>
          </w:tcPr>
          <w:p w14:paraId="509F908F" w14:textId="77777777" w:rsidR="005C00BD" w:rsidRDefault="00000000">
            <w:pPr>
              <w:pStyle w:val="Compact"/>
            </w:pPr>
            <w:r>
              <w:t>D4</w:t>
            </w:r>
          </w:p>
        </w:tc>
        <w:tc>
          <w:tcPr>
            <w:tcW w:w="0" w:type="auto"/>
          </w:tcPr>
          <w:p w14:paraId="509F9090" w14:textId="77777777" w:rsidR="005C00BD" w:rsidRDefault="00000000">
            <w:pPr>
              <w:pStyle w:val="Compact"/>
            </w:pPr>
            <w:r>
              <w:t>Inference workload share</w:t>
            </w:r>
          </w:p>
        </w:tc>
        <w:tc>
          <w:tcPr>
            <w:tcW w:w="0" w:type="auto"/>
          </w:tcPr>
          <w:p w14:paraId="509F9091" w14:textId="77777777" w:rsidR="005C00BD" w:rsidRDefault="00000000">
            <w:pPr>
              <w:pStyle w:val="Compact"/>
            </w:pPr>
            <w:r>
              <w:t>0.33</w:t>
            </w:r>
          </w:p>
        </w:tc>
        <w:tc>
          <w:tcPr>
            <w:tcW w:w="0" w:type="auto"/>
          </w:tcPr>
          <w:p w14:paraId="509F9092" w14:textId="77777777" w:rsidR="005C00BD" w:rsidRDefault="00000000">
            <w:pPr>
              <w:pStyle w:val="Compact"/>
            </w:pPr>
            <w:r>
              <w:t>0.50</w:t>
            </w:r>
          </w:p>
        </w:tc>
        <w:tc>
          <w:tcPr>
            <w:tcW w:w="0" w:type="auto"/>
          </w:tcPr>
          <w:p w14:paraId="509F9093" w14:textId="77777777" w:rsidR="005C00BD" w:rsidRDefault="00000000">
            <w:pPr>
              <w:pStyle w:val="Compact"/>
            </w:pPr>
            <w:r>
              <w:t>0.67</w:t>
            </w:r>
          </w:p>
        </w:tc>
        <w:tc>
          <w:tcPr>
            <w:tcW w:w="0" w:type="auto"/>
          </w:tcPr>
          <w:p w14:paraId="509F9094" w14:textId="77777777" w:rsidR="005C00BD" w:rsidRDefault="00000000">
            <w:pPr>
              <w:pStyle w:val="Compact"/>
            </w:pPr>
            <w:r>
              <w:t>ESTIMATED-MODERATE</w:t>
            </w:r>
          </w:p>
        </w:tc>
      </w:tr>
      <w:tr w:rsidR="005C00BD" w14:paraId="509F909C" w14:textId="77777777">
        <w:tc>
          <w:tcPr>
            <w:tcW w:w="0" w:type="auto"/>
          </w:tcPr>
          <w:p w14:paraId="509F9096" w14:textId="77777777" w:rsidR="005C00BD" w:rsidRDefault="00000000">
            <w:pPr>
              <w:pStyle w:val="Compact"/>
            </w:pPr>
            <w:r>
              <w:t>D5</w:t>
            </w:r>
          </w:p>
        </w:tc>
        <w:tc>
          <w:tcPr>
            <w:tcW w:w="0" w:type="auto"/>
          </w:tcPr>
          <w:p w14:paraId="509F9097" w14:textId="77777777" w:rsidR="005C00BD" w:rsidRDefault="00000000">
            <w:pPr>
              <w:pStyle w:val="Compact"/>
            </w:pPr>
            <w:r>
              <w:t>Pre-staging readiness</w:t>
            </w:r>
          </w:p>
        </w:tc>
        <w:tc>
          <w:tcPr>
            <w:tcW w:w="0" w:type="auto"/>
          </w:tcPr>
          <w:p w14:paraId="509F9098" w14:textId="77777777" w:rsidR="005C00BD" w:rsidRDefault="00000000">
            <w:pPr>
              <w:pStyle w:val="Compact"/>
            </w:pPr>
            <w:r>
              <w:t>0.50</w:t>
            </w:r>
          </w:p>
        </w:tc>
        <w:tc>
          <w:tcPr>
            <w:tcW w:w="0" w:type="auto"/>
          </w:tcPr>
          <w:p w14:paraId="509F9099" w14:textId="77777777" w:rsidR="005C00BD" w:rsidRDefault="00000000">
            <w:pPr>
              <w:pStyle w:val="Compact"/>
            </w:pPr>
            <w:r>
              <w:t>0.65</w:t>
            </w:r>
          </w:p>
        </w:tc>
        <w:tc>
          <w:tcPr>
            <w:tcW w:w="0" w:type="auto"/>
          </w:tcPr>
          <w:p w14:paraId="509F909A" w14:textId="77777777" w:rsidR="005C00BD" w:rsidRDefault="00000000">
            <w:pPr>
              <w:pStyle w:val="Compact"/>
            </w:pPr>
            <w:r>
              <w:t>0.80</w:t>
            </w:r>
          </w:p>
        </w:tc>
        <w:tc>
          <w:tcPr>
            <w:tcW w:w="0" w:type="auto"/>
          </w:tcPr>
          <w:p w14:paraId="509F909B" w14:textId="77777777" w:rsidR="005C00BD" w:rsidRDefault="00000000">
            <w:pPr>
              <w:pStyle w:val="Compact"/>
            </w:pPr>
            <w:r>
              <w:t>ESTIMATED-WEAK</w:t>
            </w:r>
          </w:p>
        </w:tc>
      </w:tr>
      <w:tr w:rsidR="005C00BD" w14:paraId="509F90A3" w14:textId="77777777">
        <w:tc>
          <w:tcPr>
            <w:tcW w:w="0" w:type="auto"/>
          </w:tcPr>
          <w:p w14:paraId="509F909D" w14:textId="77777777" w:rsidR="005C00BD" w:rsidRDefault="00000000">
            <w:pPr>
              <w:pStyle w:val="Compact"/>
            </w:pPr>
            <w:r>
              <w:rPr>
                <w:b/>
                <w:bCs/>
              </w:rPr>
              <w:t>Execution</w:t>
            </w:r>
          </w:p>
        </w:tc>
        <w:tc>
          <w:tcPr>
            <w:tcW w:w="0" w:type="auto"/>
          </w:tcPr>
          <w:p w14:paraId="509F909E" w14:textId="77777777" w:rsidR="005C00BD" w:rsidRDefault="005C00BD">
            <w:pPr>
              <w:pStyle w:val="Compact"/>
            </w:pPr>
          </w:p>
        </w:tc>
        <w:tc>
          <w:tcPr>
            <w:tcW w:w="0" w:type="auto"/>
          </w:tcPr>
          <w:p w14:paraId="509F909F" w14:textId="77777777" w:rsidR="005C00BD" w:rsidRDefault="005C00BD">
            <w:pPr>
              <w:pStyle w:val="Compact"/>
            </w:pPr>
          </w:p>
        </w:tc>
        <w:tc>
          <w:tcPr>
            <w:tcW w:w="0" w:type="auto"/>
          </w:tcPr>
          <w:p w14:paraId="509F90A0" w14:textId="77777777" w:rsidR="005C00BD" w:rsidRDefault="005C00BD">
            <w:pPr>
              <w:pStyle w:val="Compact"/>
            </w:pPr>
          </w:p>
        </w:tc>
        <w:tc>
          <w:tcPr>
            <w:tcW w:w="0" w:type="auto"/>
          </w:tcPr>
          <w:p w14:paraId="509F90A1" w14:textId="77777777" w:rsidR="005C00BD" w:rsidRDefault="005C00BD">
            <w:pPr>
              <w:pStyle w:val="Compact"/>
            </w:pPr>
          </w:p>
        </w:tc>
        <w:tc>
          <w:tcPr>
            <w:tcW w:w="0" w:type="auto"/>
          </w:tcPr>
          <w:p w14:paraId="509F90A2" w14:textId="77777777" w:rsidR="005C00BD" w:rsidRDefault="005C00BD">
            <w:pPr>
              <w:pStyle w:val="Compact"/>
            </w:pPr>
          </w:p>
        </w:tc>
      </w:tr>
      <w:tr w:rsidR="005C00BD" w14:paraId="509F90AA" w14:textId="77777777">
        <w:tc>
          <w:tcPr>
            <w:tcW w:w="0" w:type="auto"/>
          </w:tcPr>
          <w:p w14:paraId="509F90A4" w14:textId="77777777" w:rsidR="005C00BD" w:rsidRDefault="00000000">
            <w:pPr>
              <w:pStyle w:val="Compact"/>
            </w:pPr>
            <w:r>
              <w:t>E1</w:t>
            </w:r>
          </w:p>
        </w:tc>
        <w:tc>
          <w:tcPr>
            <w:tcW w:w="0" w:type="auto"/>
          </w:tcPr>
          <w:p w14:paraId="509F90A5" w14:textId="77777777" w:rsidR="005C00BD" w:rsidRDefault="00000000">
            <w:pPr>
              <w:pStyle w:val="Compact"/>
            </w:pPr>
            <w:r>
              <w:t>Routing completion</w:t>
            </w:r>
          </w:p>
        </w:tc>
        <w:tc>
          <w:tcPr>
            <w:tcW w:w="0" w:type="auto"/>
          </w:tcPr>
          <w:p w14:paraId="509F90A6" w14:textId="77777777" w:rsidR="005C00BD" w:rsidRDefault="00000000">
            <w:pPr>
              <w:pStyle w:val="Compact"/>
            </w:pPr>
            <w:r>
              <w:t>0.90</w:t>
            </w:r>
          </w:p>
        </w:tc>
        <w:tc>
          <w:tcPr>
            <w:tcW w:w="0" w:type="auto"/>
          </w:tcPr>
          <w:p w14:paraId="509F90A7" w14:textId="77777777" w:rsidR="005C00BD" w:rsidRDefault="00000000">
            <w:pPr>
              <w:pStyle w:val="Compact"/>
            </w:pPr>
            <w:r>
              <w:t>0.95</w:t>
            </w:r>
          </w:p>
        </w:tc>
        <w:tc>
          <w:tcPr>
            <w:tcW w:w="0" w:type="auto"/>
          </w:tcPr>
          <w:p w14:paraId="509F90A8" w14:textId="77777777" w:rsidR="005C00BD" w:rsidRDefault="00000000">
            <w:pPr>
              <w:pStyle w:val="Compact"/>
            </w:pPr>
            <w:r>
              <w:t>0.99</w:t>
            </w:r>
          </w:p>
        </w:tc>
        <w:tc>
          <w:tcPr>
            <w:tcW w:w="0" w:type="auto"/>
          </w:tcPr>
          <w:p w14:paraId="509F90A9" w14:textId="77777777" w:rsidR="005C00BD" w:rsidRDefault="00000000">
            <w:pPr>
              <w:pStyle w:val="Compact"/>
            </w:pPr>
            <w:r>
              <w:t>ESTIMATED</w:t>
            </w:r>
          </w:p>
        </w:tc>
      </w:tr>
      <w:tr w:rsidR="005C00BD" w14:paraId="509F90B1" w14:textId="77777777">
        <w:tc>
          <w:tcPr>
            <w:tcW w:w="0" w:type="auto"/>
          </w:tcPr>
          <w:p w14:paraId="509F90AB" w14:textId="77777777" w:rsidR="005C00BD" w:rsidRDefault="00000000">
            <w:pPr>
              <w:pStyle w:val="Compact"/>
            </w:pPr>
            <w:r>
              <w:lastRenderedPageBreak/>
              <w:t>E2</w:t>
            </w:r>
          </w:p>
        </w:tc>
        <w:tc>
          <w:tcPr>
            <w:tcW w:w="0" w:type="auto"/>
          </w:tcPr>
          <w:p w14:paraId="509F90AC" w14:textId="77777777" w:rsidR="005C00BD" w:rsidRDefault="00000000">
            <w:pPr>
              <w:pStyle w:val="Compact"/>
            </w:pPr>
            <w:r>
              <w:t>Bandwidth adequacy</w:t>
            </w:r>
          </w:p>
        </w:tc>
        <w:tc>
          <w:tcPr>
            <w:tcW w:w="0" w:type="auto"/>
          </w:tcPr>
          <w:p w14:paraId="509F90AD" w14:textId="77777777" w:rsidR="005C00BD" w:rsidRDefault="00000000">
            <w:pPr>
              <w:pStyle w:val="Compact"/>
            </w:pPr>
            <w:r>
              <w:t>0.95</w:t>
            </w:r>
          </w:p>
        </w:tc>
        <w:tc>
          <w:tcPr>
            <w:tcW w:w="0" w:type="auto"/>
          </w:tcPr>
          <w:p w14:paraId="509F90AE" w14:textId="77777777" w:rsidR="005C00BD" w:rsidRDefault="00000000">
            <w:pPr>
              <w:pStyle w:val="Compact"/>
            </w:pPr>
            <w:r>
              <w:t>0.98</w:t>
            </w:r>
          </w:p>
        </w:tc>
        <w:tc>
          <w:tcPr>
            <w:tcW w:w="0" w:type="auto"/>
          </w:tcPr>
          <w:p w14:paraId="509F90AF" w14:textId="77777777" w:rsidR="005C00BD" w:rsidRDefault="00000000">
            <w:pPr>
              <w:pStyle w:val="Compact"/>
            </w:pPr>
            <w:r>
              <w:t>1.00</w:t>
            </w:r>
          </w:p>
        </w:tc>
        <w:tc>
          <w:tcPr>
            <w:tcW w:w="0" w:type="auto"/>
          </w:tcPr>
          <w:p w14:paraId="509F90B0" w14:textId="77777777" w:rsidR="005C00BD" w:rsidRDefault="00000000">
            <w:pPr>
              <w:pStyle w:val="Compact"/>
            </w:pPr>
            <w:r>
              <w:t>DATA</w:t>
            </w:r>
          </w:p>
        </w:tc>
      </w:tr>
      <w:tr w:rsidR="005C00BD" w14:paraId="509F90B8" w14:textId="77777777">
        <w:tc>
          <w:tcPr>
            <w:tcW w:w="0" w:type="auto"/>
          </w:tcPr>
          <w:p w14:paraId="509F90B2" w14:textId="77777777" w:rsidR="005C00BD" w:rsidRDefault="00000000">
            <w:pPr>
              <w:pStyle w:val="Compact"/>
            </w:pPr>
            <w:r>
              <w:rPr>
                <w:b/>
                <w:bCs/>
              </w:rPr>
              <w:t>PRODUCT</w:t>
            </w:r>
          </w:p>
        </w:tc>
        <w:tc>
          <w:tcPr>
            <w:tcW w:w="0" w:type="auto"/>
          </w:tcPr>
          <w:p w14:paraId="509F90B3" w14:textId="77777777" w:rsidR="005C00BD" w:rsidRDefault="00000000">
            <w:pPr>
              <w:pStyle w:val="Compact"/>
            </w:pPr>
            <w:r>
              <w:t>Eff. spatial fraction</w:t>
            </w:r>
          </w:p>
        </w:tc>
        <w:tc>
          <w:tcPr>
            <w:tcW w:w="0" w:type="auto"/>
          </w:tcPr>
          <w:p w14:paraId="509F90B4" w14:textId="77777777" w:rsidR="005C00BD" w:rsidRDefault="00000000">
            <w:pPr>
              <w:pStyle w:val="Compact"/>
            </w:pPr>
            <w:r>
              <w:rPr>
                <w:b/>
                <w:bCs/>
              </w:rPr>
              <w:t>0.0076</w:t>
            </w:r>
          </w:p>
        </w:tc>
        <w:tc>
          <w:tcPr>
            <w:tcW w:w="0" w:type="auto"/>
          </w:tcPr>
          <w:p w14:paraId="509F90B5" w14:textId="77777777" w:rsidR="005C00BD" w:rsidRDefault="00000000">
            <w:pPr>
              <w:pStyle w:val="Compact"/>
            </w:pPr>
            <w:r>
              <w:rPr>
                <w:b/>
                <w:bCs/>
              </w:rPr>
              <w:t>0.0384</w:t>
            </w:r>
          </w:p>
        </w:tc>
        <w:tc>
          <w:tcPr>
            <w:tcW w:w="0" w:type="auto"/>
          </w:tcPr>
          <w:p w14:paraId="509F90B6" w14:textId="77777777" w:rsidR="005C00BD" w:rsidRDefault="00000000">
            <w:pPr>
              <w:pStyle w:val="Compact"/>
            </w:pPr>
            <w:r>
              <w:rPr>
                <w:b/>
                <w:bCs/>
              </w:rPr>
              <w:t>0.1527</w:t>
            </w:r>
          </w:p>
        </w:tc>
        <w:tc>
          <w:tcPr>
            <w:tcW w:w="0" w:type="auto"/>
          </w:tcPr>
          <w:p w14:paraId="509F90B7" w14:textId="77777777" w:rsidR="005C00BD" w:rsidRDefault="005C00BD">
            <w:pPr>
              <w:pStyle w:val="Compact"/>
            </w:pPr>
          </w:p>
        </w:tc>
      </w:tr>
    </w:tbl>
    <w:p w14:paraId="509F90B9" w14:textId="77777777" w:rsidR="005C00BD" w:rsidRDefault="00000000">
      <w:pPr>
        <w:pStyle w:val="Heading3"/>
      </w:pPr>
      <w:bookmarkStart w:id="63" w:name="commitment-depth"/>
      <w:bookmarkEnd w:id="62"/>
      <w:r>
        <w:t>Commitment Depth</w:t>
      </w:r>
    </w:p>
    <w:tbl>
      <w:tblPr>
        <w:tblStyle w:val="Table"/>
        <w:tblW w:w="0" w:type="auto"/>
        <w:tblLook w:val="0020" w:firstRow="1" w:lastRow="0" w:firstColumn="0" w:lastColumn="0" w:noHBand="0" w:noVBand="0"/>
      </w:tblPr>
      <w:tblGrid>
        <w:gridCol w:w="3074"/>
        <w:gridCol w:w="1830"/>
        <w:gridCol w:w="2234"/>
      </w:tblGrid>
      <w:tr w:rsidR="005C00BD" w14:paraId="509F90BD"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90BA" w14:textId="77777777" w:rsidR="005C00BD" w:rsidRDefault="00000000">
            <w:pPr>
              <w:pStyle w:val="Compact"/>
            </w:pPr>
            <w:r>
              <w:t>Scenario</w:t>
            </w:r>
          </w:p>
        </w:tc>
        <w:tc>
          <w:tcPr>
            <w:tcW w:w="0" w:type="auto"/>
          </w:tcPr>
          <w:p w14:paraId="509F90BB" w14:textId="77777777" w:rsidR="005C00BD" w:rsidRDefault="00000000">
            <w:pPr>
              <w:pStyle w:val="Compact"/>
            </w:pPr>
            <w:r>
              <w:t>Spatial Fraction</w:t>
            </w:r>
          </w:p>
        </w:tc>
        <w:tc>
          <w:tcPr>
            <w:tcW w:w="0" w:type="auto"/>
          </w:tcPr>
          <w:p w14:paraId="509F90BC" w14:textId="77777777" w:rsidR="005C00BD" w:rsidRDefault="00000000">
            <w:pPr>
              <w:pStyle w:val="Compact"/>
            </w:pPr>
            <w:r>
              <w:t>Commitment Depth</w:t>
            </w:r>
          </w:p>
        </w:tc>
      </w:tr>
      <w:tr w:rsidR="005C00BD" w14:paraId="509F90C1" w14:textId="77777777">
        <w:tc>
          <w:tcPr>
            <w:tcW w:w="0" w:type="auto"/>
          </w:tcPr>
          <w:p w14:paraId="509F90BE" w14:textId="77777777" w:rsidR="005C00BD" w:rsidRDefault="00000000">
            <w:pPr>
              <w:pStyle w:val="Compact"/>
            </w:pPr>
            <w:r>
              <w:t>DVFS-only floor (no spatial)</w:t>
            </w:r>
          </w:p>
        </w:tc>
        <w:tc>
          <w:tcPr>
            <w:tcW w:w="0" w:type="auto"/>
          </w:tcPr>
          <w:p w14:paraId="509F90BF" w14:textId="77777777" w:rsidR="005C00BD" w:rsidRDefault="00000000">
            <w:pPr>
              <w:pStyle w:val="Compact"/>
            </w:pPr>
            <w:r>
              <w:t>0.000</w:t>
            </w:r>
          </w:p>
        </w:tc>
        <w:tc>
          <w:tcPr>
            <w:tcW w:w="0" w:type="auto"/>
          </w:tcPr>
          <w:p w14:paraId="509F90C0" w14:textId="77777777" w:rsidR="005C00BD" w:rsidRDefault="00000000">
            <w:pPr>
              <w:pStyle w:val="Compact"/>
            </w:pPr>
            <w:r>
              <w:t>17.5%</w:t>
            </w:r>
          </w:p>
        </w:tc>
      </w:tr>
      <w:tr w:rsidR="005C00BD" w14:paraId="509F90C5" w14:textId="77777777">
        <w:tc>
          <w:tcPr>
            <w:tcW w:w="0" w:type="auto"/>
          </w:tcPr>
          <w:p w14:paraId="509F90C2" w14:textId="77777777" w:rsidR="005C00BD" w:rsidRDefault="00000000">
            <w:pPr>
              <w:pStyle w:val="Compact"/>
            </w:pPr>
            <w:r>
              <w:t>Conservative</w:t>
            </w:r>
          </w:p>
        </w:tc>
        <w:tc>
          <w:tcPr>
            <w:tcW w:w="0" w:type="auto"/>
          </w:tcPr>
          <w:p w14:paraId="509F90C3" w14:textId="77777777" w:rsidR="005C00BD" w:rsidRDefault="00000000">
            <w:pPr>
              <w:pStyle w:val="Compact"/>
            </w:pPr>
            <w:r>
              <w:t>0.0076</w:t>
            </w:r>
          </w:p>
        </w:tc>
        <w:tc>
          <w:tcPr>
            <w:tcW w:w="0" w:type="auto"/>
          </w:tcPr>
          <w:p w14:paraId="509F90C4" w14:textId="77777777" w:rsidR="005C00BD" w:rsidRDefault="00000000">
            <w:pPr>
              <w:pStyle w:val="Compact"/>
            </w:pPr>
            <w:r>
              <w:t>18.1%</w:t>
            </w:r>
          </w:p>
        </w:tc>
      </w:tr>
      <w:tr w:rsidR="005C00BD" w14:paraId="509F90C9" w14:textId="77777777">
        <w:tc>
          <w:tcPr>
            <w:tcW w:w="0" w:type="auto"/>
          </w:tcPr>
          <w:p w14:paraId="509F90C6" w14:textId="77777777" w:rsidR="005C00BD" w:rsidRDefault="00000000">
            <w:pPr>
              <w:pStyle w:val="Compact"/>
            </w:pPr>
            <w:r>
              <w:t>Central</w:t>
            </w:r>
          </w:p>
        </w:tc>
        <w:tc>
          <w:tcPr>
            <w:tcW w:w="0" w:type="auto"/>
          </w:tcPr>
          <w:p w14:paraId="509F90C7" w14:textId="77777777" w:rsidR="005C00BD" w:rsidRDefault="00000000">
            <w:pPr>
              <w:pStyle w:val="Compact"/>
            </w:pPr>
            <w:r>
              <w:t>0.0384</w:t>
            </w:r>
          </w:p>
        </w:tc>
        <w:tc>
          <w:tcPr>
            <w:tcW w:w="0" w:type="auto"/>
          </w:tcPr>
          <w:p w14:paraId="509F90C8" w14:textId="77777777" w:rsidR="005C00BD" w:rsidRDefault="00000000">
            <w:pPr>
              <w:pStyle w:val="Compact"/>
            </w:pPr>
            <w:r>
              <w:t>20.4%</w:t>
            </w:r>
          </w:p>
        </w:tc>
      </w:tr>
      <w:tr w:rsidR="005C00BD" w14:paraId="509F90CD" w14:textId="77777777">
        <w:tc>
          <w:tcPr>
            <w:tcW w:w="0" w:type="auto"/>
          </w:tcPr>
          <w:p w14:paraId="509F90CA" w14:textId="77777777" w:rsidR="005C00BD" w:rsidRDefault="00000000">
            <w:pPr>
              <w:pStyle w:val="Compact"/>
            </w:pPr>
            <w:r>
              <w:t>Optimistic</w:t>
            </w:r>
          </w:p>
        </w:tc>
        <w:tc>
          <w:tcPr>
            <w:tcW w:w="0" w:type="auto"/>
          </w:tcPr>
          <w:p w14:paraId="509F90CB" w14:textId="77777777" w:rsidR="005C00BD" w:rsidRDefault="00000000">
            <w:pPr>
              <w:pStyle w:val="Compact"/>
            </w:pPr>
            <w:r>
              <w:t>0.1527</w:t>
            </w:r>
          </w:p>
        </w:tc>
        <w:tc>
          <w:tcPr>
            <w:tcW w:w="0" w:type="auto"/>
          </w:tcPr>
          <w:p w14:paraId="509F90CC" w14:textId="77777777" w:rsidR="005C00BD" w:rsidRDefault="00000000">
            <w:pPr>
              <w:pStyle w:val="Compact"/>
            </w:pPr>
            <w:r>
              <w:t>29.0%</w:t>
            </w:r>
          </w:p>
        </w:tc>
      </w:tr>
    </w:tbl>
    <w:p w14:paraId="509F90CE" w14:textId="77777777" w:rsidR="005C00BD" w:rsidRDefault="00000000">
      <w:pPr>
        <w:pStyle w:val="Heading3"/>
      </w:pPr>
      <w:bookmarkStart w:id="64" w:name="relationship-to-conditional-monte-carlo"/>
      <w:bookmarkEnd w:id="63"/>
      <w:r>
        <w:t>Relationship to Conditional Monte Carlo</w:t>
      </w:r>
    </w:p>
    <w:p w14:paraId="509F90CF" w14:textId="77777777" w:rsidR="005C00BD" w:rsidRDefault="00000000">
      <w:pPr>
        <w:pStyle w:val="FirstParagraph"/>
      </w:pPr>
      <w:r>
        <w:t>The unconditional cascade product (0.0384) and commitment depth (20.4%) represent the expected spatial fraction if all ten parameters are independent and at central values. The conditional Monte Carlo (NE paper §5) replaces parametric D1 with observed per-hour grid states, revealing that the cascade is conservative at small scale and converges at fleet scale:</w:t>
      </w:r>
    </w:p>
    <w:tbl>
      <w:tblPr>
        <w:tblStyle w:val="Table"/>
        <w:tblW w:w="0" w:type="auto"/>
        <w:tblLook w:val="0020" w:firstRow="1" w:lastRow="0" w:firstColumn="0" w:lastColumn="0" w:noHBand="0" w:noVBand="0"/>
      </w:tblPr>
      <w:tblGrid>
        <w:gridCol w:w="2675"/>
        <w:gridCol w:w="2405"/>
        <w:gridCol w:w="1965"/>
        <w:gridCol w:w="1064"/>
      </w:tblGrid>
      <w:tr w:rsidR="005C00BD" w14:paraId="509F90D4"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90D0" w14:textId="77777777" w:rsidR="005C00BD" w:rsidRDefault="00000000">
            <w:pPr>
              <w:pStyle w:val="Compact"/>
            </w:pPr>
            <w:r>
              <w:t>Scale</w:t>
            </w:r>
          </w:p>
        </w:tc>
        <w:tc>
          <w:tcPr>
            <w:tcW w:w="0" w:type="auto"/>
          </w:tcPr>
          <w:p w14:paraId="509F90D1" w14:textId="77777777" w:rsidR="005C00BD" w:rsidRDefault="00000000">
            <w:pPr>
              <w:pStyle w:val="Compact"/>
            </w:pPr>
            <w:r>
              <w:t>Conditional MC Mean</w:t>
            </w:r>
          </w:p>
        </w:tc>
        <w:tc>
          <w:tcPr>
            <w:tcW w:w="0" w:type="auto"/>
          </w:tcPr>
          <w:p w14:paraId="509F90D2" w14:textId="77777777" w:rsidR="005C00BD" w:rsidRDefault="00000000">
            <w:pPr>
              <w:pStyle w:val="Compact"/>
            </w:pPr>
            <w:r>
              <w:t>Cascade Baseline</w:t>
            </w:r>
          </w:p>
        </w:tc>
        <w:tc>
          <w:tcPr>
            <w:tcW w:w="0" w:type="auto"/>
          </w:tcPr>
          <w:p w14:paraId="509F90D3" w14:textId="77777777" w:rsidR="005C00BD" w:rsidRDefault="00000000">
            <w:pPr>
              <w:pStyle w:val="Compact"/>
            </w:pPr>
            <w:r>
              <w:t>Gap</w:t>
            </w:r>
          </w:p>
        </w:tc>
      </w:tr>
      <w:tr w:rsidR="005C00BD" w14:paraId="509F90D9" w14:textId="77777777">
        <w:tc>
          <w:tcPr>
            <w:tcW w:w="0" w:type="auto"/>
          </w:tcPr>
          <w:p w14:paraId="509F90D5" w14:textId="77777777" w:rsidR="005C00BD" w:rsidRDefault="00000000">
            <w:pPr>
              <w:pStyle w:val="Compact"/>
            </w:pPr>
            <w:r>
              <w:t>500 MW single facility</w:t>
            </w:r>
          </w:p>
        </w:tc>
        <w:tc>
          <w:tcPr>
            <w:tcW w:w="0" w:type="auto"/>
          </w:tcPr>
          <w:p w14:paraId="509F90D6" w14:textId="77777777" w:rsidR="005C00BD" w:rsidRDefault="00000000">
            <w:pPr>
              <w:pStyle w:val="Compact"/>
            </w:pPr>
            <w:r>
              <w:t>46.9%</w:t>
            </w:r>
          </w:p>
        </w:tc>
        <w:tc>
          <w:tcPr>
            <w:tcW w:w="0" w:type="auto"/>
          </w:tcPr>
          <w:p w14:paraId="509F90D7" w14:textId="77777777" w:rsidR="005C00BD" w:rsidRDefault="00000000">
            <w:pPr>
              <w:pStyle w:val="Compact"/>
            </w:pPr>
            <w:r>
              <w:t>20.4%</w:t>
            </w:r>
          </w:p>
        </w:tc>
        <w:tc>
          <w:tcPr>
            <w:tcW w:w="0" w:type="auto"/>
          </w:tcPr>
          <w:p w14:paraId="509F90D8" w14:textId="77777777" w:rsidR="005C00BD" w:rsidRDefault="00000000">
            <w:pPr>
              <w:pStyle w:val="Compact"/>
            </w:pPr>
            <w:r>
              <w:t>+26.5pp</w:t>
            </w:r>
          </w:p>
        </w:tc>
      </w:tr>
      <w:tr w:rsidR="005C00BD" w14:paraId="509F90DE" w14:textId="77777777">
        <w:tc>
          <w:tcPr>
            <w:tcW w:w="0" w:type="auto"/>
          </w:tcPr>
          <w:p w14:paraId="509F90DA" w14:textId="77777777" w:rsidR="005C00BD" w:rsidRDefault="00000000">
            <w:pPr>
              <w:pStyle w:val="Compact"/>
            </w:pPr>
            <w:r>
              <w:t>Empirical fleet (~3 GW)</w:t>
            </w:r>
          </w:p>
        </w:tc>
        <w:tc>
          <w:tcPr>
            <w:tcW w:w="0" w:type="auto"/>
          </w:tcPr>
          <w:p w14:paraId="509F90DB" w14:textId="77777777" w:rsidR="005C00BD" w:rsidRDefault="00000000">
            <w:pPr>
              <w:pStyle w:val="Compact"/>
            </w:pPr>
            <w:r>
              <w:t>28.9%</w:t>
            </w:r>
          </w:p>
        </w:tc>
        <w:tc>
          <w:tcPr>
            <w:tcW w:w="0" w:type="auto"/>
          </w:tcPr>
          <w:p w14:paraId="509F90DC" w14:textId="77777777" w:rsidR="005C00BD" w:rsidRDefault="00000000">
            <w:pPr>
              <w:pStyle w:val="Compact"/>
            </w:pPr>
            <w:r>
              <w:t>20.4%</w:t>
            </w:r>
          </w:p>
        </w:tc>
        <w:tc>
          <w:tcPr>
            <w:tcW w:w="0" w:type="auto"/>
          </w:tcPr>
          <w:p w14:paraId="509F90DD" w14:textId="77777777" w:rsidR="005C00BD" w:rsidRDefault="00000000">
            <w:pPr>
              <w:pStyle w:val="Compact"/>
            </w:pPr>
            <w:r>
              <w:t>+8.5pp</w:t>
            </w:r>
          </w:p>
        </w:tc>
      </w:tr>
      <w:tr w:rsidR="005C00BD" w14:paraId="509F90E3" w14:textId="77777777">
        <w:tc>
          <w:tcPr>
            <w:tcW w:w="0" w:type="auto"/>
          </w:tcPr>
          <w:p w14:paraId="509F90DF" w14:textId="77777777" w:rsidR="005C00BD" w:rsidRDefault="00000000">
            <w:pPr>
              <w:pStyle w:val="Compact"/>
            </w:pPr>
            <w:r>
              <w:t>10 GW fleet</w:t>
            </w:r>
          </w:p>
        </w:tc>
        <w:tc>
          <w:tcPr>
            <w:tcW w:w="0" w:type="auto"/>
          </w:tcPr>
          <w:p w14:paraId="509F90E0" w14:textId="77777777" w:rsidR="005C00BD" w:rsidRDefault="00000000">
            <w:pPr>
              <w:pStyle w:val="Compact"/>
            </w:pPr>
            <w:r>
              <w:t>26.9%</w:t>
            </w:r>
          </w:p>
        </w:tc>
        <w:tc>
          <w:tcPr>
            <w:tcW w:w="0" w:type="auto"/>
          </w:tcPr>
          <w:p w14:paraId="509F90E1" w14:textId="77777777" w:rsidR="005C00BD" w:rsidRDefault="00000000">
            <w:pPr>
              <w:pStyle w:val="Compact"/>
            </w:pPr>
            <w:r>
              <w:t>20.4%</w:t>
            </w:r>
          </w:p>
        </w:tc>
        <w:tc>
          <w:tcPr>
            <w:tcW w:w="0" w:type="auto"/>
          </w:tcPr>
          <w:p w14:paraId="509F90E2" w14:textId="77777777" w:rsidR="005C00BD" w:rsidRDefault="00000000">
            <w:pPr>
              <w:pStyle w:val="Compact"/>
            </w:pPr>
            <w:r>
              <w:t>+6.5pp</w:t>
            </w:r>
          </w:p>
        </w:tc>
      </w:tr>
    </w:tbl>
    <w:p w14:paraId="509F90E4" w14:textId="77777777" w:rsidR="005C00BD" w:rsidRDefault="00000000">
      <w:pPr>
        <w:pStyle w:val="BodyText"/>
      </w:pPr>
      <w:r>
        <w:t>At single-facility scale, the cascade is highly conservative because aggregate destination headroom substantially exceeds single-facility demand in the large majority of stress hours. At fleet scale, the estimates converge as destination contention absorbs the additional headroom. At the 5th percentile for a 10 GW fleet, commitment depth equals the DVFS floor (17.5%), meaning spatial migration contributes zero incremental flexibility in the worst tail outcomes.</w:t>
      </w:r>
    </w:p>
    <w:p w14:paraId="509F90E5" w14:textId="77777777" w:rsidR="005C00BD" w:rsidRDefault="00000000">
      <w:pPr>
        <w:pStyle w:val="BodyText"/>
      </w:pPr>
      <w:r>
        <w:t xml:space="preserve">The cascade’s primary value is as a </w:t>
      </w:r>
      <w:r>
        <w:rPr>
          <w:b/>
          <w:bCs/>
        </w:rPr>
        <w:t>decomposition tool</w:t>
      </w:r>
      <w:r>
        <w:t>, not a point estimator. It identifies which parameters matter and where empirical investment would most reduce uncertainty.</w:t>
      </w:r>
    </w:p>
    <w:p w14:paraId="509F90E6" w14:textId="77777777" w:rsidR="005C00BD" w:rsidRDefault="00000000">
      <w:r>
        <w:pict w14:anchorId="509F91B0">
          <v:rect id="_x0000_i1035" style="width:0;height:1.5pt" o:hralign="center" o:hrstd="t" o:hr="t"/>
        </w:pict>
      </w:r>
    </w:p>
    <w:p w14:paraId="509F90E7" w14:textId="77777777" w:rsidR="005C00BD" w:rsidRDefault="00000000">
      <w:pPr>
        <w:pStyle w:val="Heading2"/>
      </w:pPr>
      <w:bookmarkStart w:id="65" w:name="variance-decomposition"/>
      <w:bookmarkEnd w:id="61"/>
      <w:bookmarkEnd w:id="64"/>
      <w:r>
        <w:t>6. Variance Decomposition</w:t>
      </w:r>
    </w:p>
    <w:p w14:paraId="509F90E8" w14:textId="77777777" w:rsidR="005C00BD" w:rsidRDefault="00000000">
      <w:pPr>
        <w:pStyle w:val="FirstParagraph"/>
      </w:pPr>
      <w:r>
        <w:t>Monte Carlo variance decomposition (N = 50,000, first-order Sobol-style η²) with S1 fixed at 0.70:</w:t>
      </w:r>
    </w:p>
    <w:tbl>
      <w:tblPr>
        <w:tblStyle w:val="Table"/>
        <w:tblW w:w="0" w:type="auto"/>
        <w:tblLook w:val="0020" w:firstRow="1" w:lastRow="0" w:firstColumn="0" w:lastColumn="0" w:noHBand="0" w:noVBand="0"/>
      </w:tblPr>
      <w:tblGrid>
        <w:gridCol w:w="2898"/>
        <w:gridCol w:w="841"/>
        <w:gridCol w:w="1148"/>
        <w:gridCol w:w="2786"/>
      </w:tblGrid>
      <w:tr w:rsidR="005C00BD" w14:paraId="509F90ED"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90E9" w14:textId="77777777" w:rsidR="005C00BD" w:rsidRDefault="00000000">
            <w:pPr>
              <w:pStyle w:val="Compact"/>
            </w:pPr>
            <w:r>
              <w:t>Parameter</w:t>
            </w:r>
          </w:p>
        </w:tc>
        <w:tc>
          <w:tcPr>
            <w:tcW w:w="0" w:type="auto"/>
          </w:tcPr>
          <w:p w14:paraId="509F90EA" w14:textId="77777777" w:rsidR="005C00BD" w:rsidRDefault="00000000">
            <w:pPr>
              <w:pStyle w:val="Compact"/>
            </w:pPr>
            <w:r>
              <w:t>η²</w:t>
            </w:r>
          </w:p>
        </w:tc>
        <w:tc>
          <w:tcPr>
            <w:tcW w:w="0" w:type="auto"/>
          </w:tcPr>
          <w:p w14:paraId="509F90EB" w14:textId="77777777" w:rsidR="005C00BD" w:rsidRDefault="00000000">
            <w:pPr>
              <w:pStyle w:val="Compact"/>
            </w:pPr>
            <w:r>
              <w:t>% of Σ η²</w:t>
            </w:r>
          </w:p>
        </w:tc>
        <w:tc>
          <w:tcPr>
            <w:tcW w:w="0" w:type="auto"/>
          </w:tcPr>
          <w:p w14:paraId="509F90EC" w14:textId="77777777" w:rsidR="005C00BD" w:rsidRDefault="00000000">
            <w:pPr>
              <w:pStyle w:val="Compact"/>
            </w:pPr>
            <w:r>
              <w:t>Grounding</w:t>
            </w:r>
          </w:p>
        </w:tc>
      </w:tr>
      <w:tr w:rsidR="005C00BD" w14:paraId="509F90F2" w14:textId="77777777">
        <w:tc>
          <w:tcPr>
            <w:tcW w:w="0" w:type="auto"/>
          </w:tcPr>
          <w:p w14:paraId="509F90EE" w14:textId="77777777" w:rsidR="005C00BD" w:rsidRDefault="00000000">
            <w:pPr>
              <w:pStyle w:val="Compact"/>
            </w:pPr>
            <w:r>
              <w:t>D2 (utilization headroom)</w:t>
            </w:r>
          </w:p>
        </w:tc>
        <w:tc>
          <w:tcPr>
            <w:tcW w:w="0" w:type="auto"/>
          </w:tcPr>
          <w:p w14:paraId="509F90EF" w14:textId="77777777" w:rsidR="005C00BD" w:rsidRDefault="00000000">
            <w:pPr>
              <w:pStyle w:val="Compact"/>
            </w:pPr>
            <w:r>
              <w:t>0.421</w:t>
            </w:r>
          </w:p>
        </w:tc>
        <w:tc>
          <w:tcPr>
            <w:tcW w:w="0" w:type="auto"/>
          </w:tcPr>
          <w:p w14:paraId="509F90F0" w14:textId="77777777" w:rsidR="005C00BD" w:rsidRDefault="00000000">
            <w:pPr>
              <w:pStyle w:val="Compact"/>
            </w:pPr>
            <w:r>
              <w:t>43.9%</w:t>
            </w:r>
          </w:p>
        </w:tc>
        <w:tc>
          <w:tcPr>
            <w:tcW w:w="0" w:type="auto"/>
          </w:tcPr>
          <w:p w14:paraId="509F90F1" w14:textId="77777777" w:rsidR="005C00BD" w:rsidRDefault="00000000">
            <w:pPr>
              <w:pStyle w:val="Compact"/>
            </w:pPr>
            <w:r>
              <w:t>ESTIMATED-WEAK</w:t>
            </w:r>
          </w:p>
        </w:tc>
      </w:tr>
      <w:tr w:rsidR="005C00BD" w14:paraId="509F90F7" w14:textId="77777777">
        <w:tc>
          <w:tcPr>
            <w:tcW w:w="0" w:type="auto"/>
          </w:tcPr>
          <w:p w14:paraId="509F90F3" w14:textId="77777777" w:rsidR="005C00BD" w:rsidRDefault="00000000">
            <w:pPr>
              <w:pStyle w:val="Compact"/>
            </w:pPr>
            <w:r>
              <w:lastRenderedPageBreak/>
              <w:t>D4 (inference share)</w:t>
            </w:r>
          </w:p>
        </w:tc>
        <w:tc>
          <w:tcPr>
            <w:tcW w:w="0" w:type="auto"/>
          </w:tcPr>
          <w:p w14:paraId="509F90F4" w14:textId="77777777" w:rsidR="005C00BD" w:rsidRDefault="00000000">
            <w:pPr>
              <w:pStyle w:val="Compact"/>
            </w:pPr>
            <w:r>
              <w:t>0.267</w:t>
            </w:r>
          </w:p>
        </w:tc>
        <w:tc>
          <w:tcPr>
            <w:tcW w:w="0" w:type="auto"/>
          </w:tcPr>
          <w:p w14:paraId="509F90F5" w14:textId="77777777" w:rsidR="005C00BD" w:rsidRDefault="00000000">
            <w:pPr>
              <w:pStyle w:val="Compact"/>
            </w:pPr>
            <w:r>
              <w:t>27.9%</w:t>
            </w:r>
          </w:p>
        </w:tc>
        <w:tc>
          <w:tcPr>
            <w:tcW w:w="0" w:type="auto"/>
          </w:tcPr>
          <w:p w14:paraId="509F90F6" w14:textId="77777777" w:rsidR="005C00BD" w:rsidRDefault="00000000">
            <w:pPr>
              <w:pStyle w:val="Compact"/>
            </w:pPr>
            <w:r>
              <w:t>ESTIMATED-MODERATE</w:t>
            </w:r>
          </w:p>
        </w:tc>
      </w:tr>
      <w:tr w:rsidR="005C00BD" w14:paraId="509F90FC" w14:textId="77777777">
        <w:tc>
          <w:tcPr>
            <w:tcW w:w="0" w:type="auto"/>
          </w:tcPr>
          <w:p w14:paraId="509F90F8" w14:textId="77777777" w:rsidR="005C00BD" w:rsidRDefault="00000000">
            <w:pPr>
              <w:pStyle w:val="Compact"/>
            </w:pPr>
            <w:r>
              <w:t>D5 (pre-staging)</w:t>
            </w:r>
          </w:p>
        </w:tc>
        <w:tc>
          <w:tcPr>
            <w:tcW w:w="0" w:type="auto"/>
          </w:tcPr>
          <w:p w14:paraId="509F90F9" w14:textId="77777777" w:rsidR="005C00BD" w:rsidRDefault="00000000">
            <w:pPr>
              <w:pStyle w:val="Compact"/>
            </w:pPr>
            <w:r>
              <w:t>0.124</w:t>
            </w:r>
          </w:p>
        </w:tc>
        <w:tc>
          <w:tcPr>
            <w:tcW w:w="0" w:type="auto"/>
          </w:tcPr>
          <w:p w14:paraId="509F90FA" w14:textId="77777777" w:rsidR="005C00BD" w:rsidRDefault="00000000">
            <w:pPr>
              <w:pStyle w:val="Compact"/>
            </w:pPr>
            <w:r>
              <w:t>12.9%</w:t>
            </w:r>
          </w:p>
        </w:tc>
        <w:tc>
          <w:tcPr>
            <w:tcW w:w="0" w:type="auto"/>
          </w:tcPr>
          <w:p w14:paraId="509F90FB" w14:textId="77777777" w:rsidR="005C00BD" w:rsidRDefault="00000000">
            <w:pPr>
              <w:pStyle w:val="Compact"/>
            </w:pPr>
            <w:r>
              <w:t>ESTIMATED-WEAK</w:t>
            </w:r>
          </w:p>
        </w:tc>
      </w:tr>
      <w:tr w:rsidR="005C00BD" w14:paraId="509F9101" w14:textId="77777777">
        <w:tc>
          <w:tcPr>
            <w:tcW w:w="0" w:type="auto"/>
          </w:tcPr>
          <w:p w14:paraId="509F90FD" w14:textId="77777777" w:rsidR="005C00BD" w:rsidRDefault="00000000">
            <w:pPr>
              <w:pStyle w:val="Compact"/>
            </w:pPr>
            <w:r>
              <w:t>S2 (data locality)</w:t>
            </w:r>
          </w:p>
        </w:tc>
        <w:tc>
          <w:tcPr>
            <w:tcW w:w="0" w:type="auto"/>
          </w:tcPr>
          <w:p w14:paraId="509F90FE" w14:textId="77777777" w:rsidR="005C00BD" w:rsidRDefault="00000000">
            <w:pPr>
              <w:pStyle w:val="Compact"/>
            </w:pPr>
            <w:r>
              <w:t>0.120</w:t>
            </w:r>
          </w:p>
        </w:tc>
        <w:tc>
          <w:tcPr>
            <w:tcW w:w="0" w:type="auto"/>
          </w:tcPr>
          <w:p w14:paraId="509F90FF" w14:textId="77777777" w:rsidR="005C00BD" w:rsidRDefault="00000000">
            <w:pPr>
              <w:pStyle w:val="Compact"/>
            </w:pPr>
            <w:r>
              <w:t>12.5%</w:t>
            </w:r>
          </w:p>
        </w:tc>
        <w:tc>
          <w:tcPr>
            <w:tcW w:w="0" w:type="auto"/>
          </w:tcPr>
          <w:p w14:paraId="509F9100" w14:textId="77777777" w:rsidR="005C00BD" w:rsidRDefault="00000000">
            <w:pPr>
              <w:pStyle w:val="Compact"/>
            </w:pPr>
            <w:r>
              <w:t>ESTIMATED-WEAK</w:t>
            </w:r>
          </w:p>
        </w:tc>
      </w:tr>
      <w:tr w:rsidR="005C00BD" w14:paraId="509F9106" w14:textId="77777777">
        <w:tc>
          <w:tcPr>
            <w:tcW w:w="0" w:type="auto"/>
          </w:tcPr>
          <w:p w14:paraId="509F9102" w14:textId="77777777" w:rsidR="005C00BD" w:rsidRDefault="00000000">
            <w:pPr>
              <w:pStyle w:val="Compact"/>
            </w:pPr>
            <w:r>
              <w:t>D3 (HW compatibility)</w:t>
            </w:r>
          </w:p>
        </w:tc>
        <w:tc>
          <w:tcPr>
            <w:tcW w:w="0" w:type="auto"/>
          </w:tcPr>
          <w:p w14:paraId="509F9103" w14:textId="77777777" w:rsidR="005C00BD" w:rsidRDefault="00000000">
            <w:pPr>
              <w:pStyle w:val="Compact"/>
            </w:pPr>
            <w:r>
              <w:t>0.010</w:t>
            </w:r>
          </w:p>
        </w:tc>
        <w:tc>
          <w:tcPr>
            <w:tcW w:w="0" w:type="auto"/>
          </w:tcPr>
          <w:p w14:paraId="509F9104" w14:textId="77777777" w:rsidR="005C00BD" w:rsidRDefault="00000000">
            <w:pPr>
              <w:pStyle w:val="Compact"/>
            </w:pPr>
            <w:r>
              <w:t>1.0%</w:t>
            </w:r>
          </w:p>
        </w:tc>
        <w:tc>
          <w:tcPr>
            <w:tcW w:w="0" w:type="auto"/>
          </w:tcPr>
          <w:p w14:paraId="509F9105" w14:textId="77777777" w:rsidR="005C00BD" w:rsidRDefault="00000000">
            <w:pPr>
              <w:pStyle w:val="Compact"/>
            </w:pPr>
            <w:r>
              <w:t>ESTIMATED-MODERATE</w:t>
            </w:r>
          </w:p>
        </w:tc>
      </w:tr>
      <w:tr w:rsidR="005C00BD" w14:paraId="509F910B" w14:textId="77777777">
        <w:tc>
          <w:tcPr>
            <w:tcW w:w="0" w:type="auto"/>
          </w:tcPr>
          <w:p w14:paraId="509F9107" w14:textId="77777777" w:rsidR="005C00BD" w:rsidRDefault="00000000">
            <w:pPr>
              <w:pStyle w:val="Compact"/>
            </w:pPr>
            <w:r>
              <w:t>S3 (operational timing)</w:t>
            </w:r>
          </w:p>
        </w:tc>
        <w:tc>
          <w:tcPr>
            <w:tcW w:w="0" w:type="auto"/>
          </w:tcPr>
          <w:p w14:paraId="509F9108" w14:textId="77777777" w:rsidR="005C00BD" w:rsidRDefault="00000000">
            <w:pPr>
              <w:pStyle w:val="Compact"/>
            </w:pPr>
            <w:r>
              <w:t>0.008</w:t>
            </w:r>
          </w:p>
        </w:tc>
        <w:tc>
          <w:tcPr>
            <w:tcW w:w="0" w:type="auto"/>
          </w:tcPr>
          <w:p w14:paraId="509F9109" w14:textId="77777777" w:rsidR="005C00BD" w:rsidRDefault="00000000">
            <w:pPr>
              <w:pStyle w:val="Compact"/>
            </w:pPr>
            <w:r>
              <w:t>0.9%</w:t>
            </w:r>
          </w:p>
        </w:tc>
        <w:tc>
          <w:tcPr>
            <w:tcW w:w="0" w:type="auto"/>
          </w:tcPr>
          <w:p w14:paraId="509F910A" w14:textId="77777777" w:rsidR="005C00BD" w:rsidRDefault="00000000">
            <w:pPr>
              <w:pStyle w:val="Compact"/>
            </w:pPr>
            <w:r>
              <w:t>DATA</w:t>
            </w:r>
          </w:p>
        </w:tc>
      </w:tr>
      <w:tr w:rsidR="005C00BD" w14:paraId="509F9110" w14:textId="77777777">
        <w:tc>
          <w:tcPr>
            <w:tcW w:w="0" w:type="auto"/>
          </w:tcPr>
          <w:p w14:paraId="509F910C" w14:textId="77777777" w:rsidR="005C00BD" w:rsidRDefault="00000000">
            <w:pPr>
              <w:pStyle w:val="Compact"/>
            </w:pPr>
            <w:r>
              <w:t>E1 (routing completion)</w:t>
            </w:r>
          </w:p>
        </w:tc>
        <w:tc>
          <w:tcPr>
            <w:tcW w:w="0" w:type="auto"/>
          </w:tcPr>
          <w:p w14:paraId="509F910D" w14:textId="77777777" w:rsidR="005C00BD" w:rsidRDefault="00000000">
            <w:pPr>
              <w:pStyle w:val="Compact"/>
            </w:pPr>
            <w:r>
              <w:t>0.005</w:t>
            </w:r>
          </w:p>
        </w:tc>
        <w:tc>
          <w:tcPr>
            <w:tcW w:w="0" w:type="auto"/>
          </w:tcPr>
          <w:p w14:paraId="509F910E" w14:textId="77777777" w:rsidR="005C00BD" w:rsidRDefault="00000000">
            <w:pPr>
              <w:pStyle w:val="Compact"/>
            </w:pPr>
            <w:r>
              <w:t>0.5%</w:t>
            </w:r>
          </w:p>
        </w:tc>
        <w:tc>
          <w:tcPr>
            <w:tcW w:w="0" w:type="auto"/>
          </w:tcPr>
          <w:p w14:paraId="509F910F" w14:textId="77777777" w:rsidR="005C00BD" w:rsidRDefault="00000000">
            <w:pPr>
              <w:pStyle w:val="Compact"/>
            </w:pPr>
            <w:r>
              <w:t>ESTIMATED</w:t>
            </w:r>
          </w:p>
        </w:tc>
      </w:tr>
      <w:tr w:rsidR="005C00BD" w14:paraId="509F9115" w14:textId="77777777">
        <w:tc>
          <w:tcPr>
            <w:tcW w:w="0" w:type="auto"/>
          </w:tcPr>
          <w:p w14:paraId="509F9111" w14:textId="77777777" w:rsidR="005C00BD" w:rsidRDefault="00000000">
            <w:pPr>
              <w:pStyle w:val="Compact"/>
            </w:pPr>
            <w:r>
              <w:t>E2 (bandwidth)</w:t>
            </w:r>
          </w:p>
        </w:tc>
        <w:tc>
          <w:tcPr>
            <w:tcW w:w="0" w:type="auto"/>
          </w:tcPr>
          <w:p w14:paraId="509F9112" w14:textId="77777777" w:rsidR="005C00BD" w:rsidRDefault="00000000">
            <w:pPr>
              <w:pStyle w:val="Compact"/>
            </w:pPr>
            <w:r>
              <w:t>0.002</w:t>
            </w:r>
          </w:p>
        </w:tc>
        <w:tc>
          <w:tcPr>
            <w:tcW w:w="0" w:type="auto"/>
          </w:tcPr>
          <w:p w14:paraId="509F9113" w14:textId="77777777" w:rsidR="005C00BD" w:rsidRDefault="00000000">
            <w:pPr>
              <w:pStyle w:val="Compact"/>
            </w:pPr>
            <w:r>
              <w:t>0.2%</w:t>
            </w:r>
          </w:p>
        </w:tc>
        <w:tc>
          <w:tcPr>
            <w:tcW w:w="0" w:type="auto"/>
          </w:tcPr>
          <w:p w14:paraId="509F9114" w14:textId="77777777" w:rsidR="005C00BD" w:rsidRDefault="00000000">
            <w:pPr>
              <w:pStyle w:val="Compact"/>
            </w:pPr>
            <w:r>
              <w:t>DATA</w:t>
            </w:r>
          </w:p>
        </w:tc>
      </w:tr>
      <w:tr w:rsidR="005C00BD" w14:paraId="509F911A" w14:textId="77777777">
        <w:tc>
          <w:tcPr>
            <w:tcW w:w="0" w:type="auto"/>
          </w:tcPr>
          <w:p w14:paraId="509F9116" w14:textId="77777777" w:rsidR="005C00BD" w:rsidRDefault="00000000">
            <w:pPr>
              <w:pStyle w:val="Compact"/>
            </w:pPr>
            <w:r>
              <w:t>D1 (availability)</w:t>
            </w:r>
          </w:p>
        </w:tc>
        <w:tc>
          <w:tcPr>
            <w:tcW w:w="0" w:type="auto"/>
          </w:tcPr>
          <w:p w14:paraId="509F9117" w14:textId="77777777" w:rsidR="005C00BD" w:rsidRDefault="00000000">
            <w:pPr>
              <w:pStyle w:val="Compact"/>
            </w:pPr>
            <w:r>
              <w:t>0.001</w:t>
            </w:r>
          </w:p>
        </w:tc>
        <w:tc>
          <w:tcPr>
            <w:tcW w:w="0" w:type="auto"/>
          </w:tcPr>
          <w:p w14:paraId="509F9118" w14:textId="77777777" w:rsidR="005C00BD" w:rsidRDefault="00000000">
            <w:pPr>
              <w:pStyle w:val="Compact"/>
            </w:pPr>
            <w:r>
              <w:t>0.1%</w:t>
            </w:r>
          </w:p>
        </w:tc>
        <w:tc>
          <w:tcPr>
            <w:tcW w:w="0" w:type="auto"/>
          </w:tcPr>
          <w:p w14:paraId="509F9119" w14:textId="77777777" w:rsidR="005C00BD" w:rsidRDefault="00000000">
            <w:pPr>
              <w:pStyle w:val="Compact"/>
            </w:pPr>
            <w:r>
              <w:t>DATA</w:t>
            </w:r>
          </w:p>
        </w:tc>
      </w:tr>
      <w:tr w:rsidR="005C00BD" w14:paraId="509F911F" w14:textId="77777777">
        <w:tc>
          <w:tcPr>
            <w:tcW w:w="0" w:type="auto"/>
          </w:tcPr>
          <w:p w14:paraId="509F911B" w14:textId="77777777" w:rsidR="005C00BD" w:rsidRDefault="00000000">
            <w:pPr>
              <w:pStyle w:val="Compact"/>
            </w:pPr>
            <w:r>
              <w:rPr>
                <w:b/>
                <w:bCs/>
              </w:rPr>
              <w:t>Σ η²</w:t>
            </w:r>
          </w:p>
        </w:tc>
        <w:tc>
          <w:tcPr>
            <w:tcW w:w="0" w:type="auto"/>
          </w:tcPr>
          <w:p w14:paraId="509F911C" w14:textId="77777777" w:rsidR="005C00BD" w:rsidRDefault="00000000">
            <w:pPr>
              <w:pStyle w:val="Compact"/>
            </w:pPr>
            <w:r>
              <w:rPr>
                <w:b/>
                <w:bCs/>
              </w:rPr>
              <w:t>0.957</w:t>
            </w:r>
          </w:p>
        </w:tc>
        <w:tc>
          <w:tcPr>
            <w:tcW w:w="0" w:type="auto"/>
          </w:tcPr>
          <w:p w14:paraId="509F911D" w14:textId="77777777" w:rsidR="005C00BD" w:rsidRDefault="005C00BD">
            <w:pPr>
              <w:pStyle w:val="Compact"/>
            </w:pPr>
          </w:p>
        </w:tc>
        <w:tc>
          <w:tcPr>
            <w:tcW w:w="0" w:type="auto"/>
          </w:tcPr>
          <w:p w14:paraId="509F911E" w14:textId="77777777" w:rsidR="005C00BD" w:rsidRDefault="005C00BD">
            <w:pPr>
              <w:pStyle w:val="Compact"/>
            </w:pPr>
          </w:p>
        </w:tc>
      </w:tr>
    </w:tbl>
    <w:p w14:paraId="509F9120" w14:textId="77777777" w:rsidR="005C00BD" w:rsidRDefault="00000000">
      <w:pPr>
        <w:pStyle w:val="BodyText"/>
      </w:pPr>
      <w:r>
        <w:t>The Σ η² ≈ 1.0 confirms negligible parameter interactions, validating the multiplicative independence assumption.</w:t>
      </w:r>
    </w:p>
    <w:p w14:paraId="509F9121" w14:textId="77777777" w:rsidR="005C00BD" w:rsidRDefault="00000000">
      <w:pPr>
        <w:pStyle w:val="Heading3"/>
      </w:pPr>
      <w:bookmarkStart w:id="66" w:name="key-findings"/>
      <w:r>
        <w:t>Key Findings</w:t>
      </w:r>
    </w:p>
    <w:p w14:paraId="509F9122" w14:textId="77777777" w:rsidR="005C00BD" w:rsidRDefault="00000000">
      <w:pPr>
        <w:numPr>
          <w:ilvl w:val="0"/>
          <w:numId w:val="23"/>
        </w:numPr>
      </w:pPr>
      <w:r>
        <w:rPr>
          <w:b/>
          <w:bCs/>
        </w:rPr>
        <w:t>Three destination-side parameters dominate:</w:t>
      </w:r>
      <w:r>
        <w:t xml:space="preserve"> D2, D4, and D5 together account for 85% of cascade variance. All three are operationally actionable choices, not physical constraints.</w:t>
      </w:r>
    </w:p>
    <w:p w14:paraId="509F9123" w14:textId="77777777" w:rsidR="005C00BD" w:rsidRDefault="00000000">
      <w:pPr>
        <w:numPr>
          <w:ilvl w:val="0"/>
          <w:numId w:val="23"/>
        </w:numPr>
      </w:pPr>
      <w:r>
        <w:rPr>
          <w:b/>
          <w:bCs/>
        </w:rPr>
        <w:t>Source-side parameters contribute minimally after S2:</w:t>
      </w:r>
      <w:r>
        <w:t xml:space="preserve"> S3 contributes less than 1% because the drain time evidence is tight. S2 contributes 13% because the data locality range is wide.</w:t>
      </w:r>
    </w:p>
    <w:p w14:paraId="509F9124" w14:textId="77777777" w:rsidR="005C00BD" w:rsidRDefault="00000000">
      <w:pPr>
        <w:numPr>
          <w:ilvl w:val="0"/>
          <w:numId w:val="23"/>
        </w:numPr>
      </w:pPr>
      <w:r>
        <w:rPr>
          <w:b/>
          <w:bCs/>
        </w:rPr>
        <w:t>Empirically grounded parameters contribute least:</w:t>
      </w:r>
      <w:r>
        <w:t xml:space="preserve"> D1 (0.1%), S3 (0.9%), and E2 (0.2%) have tight ranges derived from real data, confirming that the things we can measure are not the things that drive uncertainty.</w:t>
      </w:r>
    </w:p>
    <w:p w14:paraId="509F9125" w14:textId="77777777" w:rsidR="005C00BD" w:rsidRDefault="00000000">
      <w:pPr>
        <w:numPr>
          <w:ilvl w:val="0"/>
          <w:numId w:val="23"/>
        </w:numPr>
      </w:pPr>
      <w:r>
        <w:rPr>
          <w:b/>
          <w:bCs/>
        </w:rPr>
        <w:t>At fleet scale, source-side parameters have zero sensitivity.</w:t>
      </w:r>
      <w:r>
        <w:t xml:space="preserve"> The tornado analysis (NE paper Fig. 3b) shows that sweeping S2 and S3 across their full ranges produces zero change in 10 GW fleet commitment depth. At fleet scale, the fleet is entirely destination-constrained — how much </w:t>
      </w:r>
      <w:r>
        <w:rPr>
          <w:i/>
          <w:iCs/>
        </w:rPr>
        <w:t>wants to migrate</w:t>
      </w:r>
      <w:r>
        <w:t xml:space="preserve"> is irrelevant; what matters is how much the destination pool </w:t>
      </w:r>
      <w:r>
        <w:rPr>
          <w:i/>
          <w:iCs/>
        </w:rPr>
        <w:t>can absorb</w:t>
      </w:r>
      <w:r>
        <w:t>.</w:t>
      </w:r>
    </w:p>
    <w:p w14:paraId="509F9126" w14:textId="77777777" w:rsidR="005C00BD" w:rsidRDefault="00000000">
      <w:pPr>
        <w:pStyle w:val="Heading3"/>
      </w:pPr>
      <w:bookmarkStart w:id="67" w:name="X29c5d547a5ada85ac2865cc6059e409480a9578"/>
      <w:bookmarkEnd w:id="66"/>
      <w:r>
        <w:t>Policy Implication of the Variance Structure</w:t>
      </w:r>
    </w:p>
    <w:p w14:paraId="509F9127" w14:textId="77777777" w:rsidR="005C00BD" w:rsidRDefault="00000000">
      <w:pPr>
        <w:pStyle w:val="FirstParagraph"/>
      </w:pPr>
      <w:r>
        <w:t>The variance concentration identifies precisely where different interventions would have impact:</w:t>
      </w:r>
    </w:p>
    <w:tbl>
      <w:tblPr>
        <w:tblStyle w:val="Table"/>
        <w:tblW w:w="5000" w:type="pct"/>
        <w:tblLook w:val="0020" w:firstRow="1" w:lastRow="0" w:firstColumn="0" w:lastColumn="0" w:noHBand="0" w:noVBand="0"/>
      </w:tblPr>
      <w:tblGrid>
        <w:gridCol w:w="1302"/>
        <w:gridCol w:w="4399"/>
        <w:gridCol w:w="2273"/>
        <w:gridCol w:w="1602"/>
      </w:tblGrid>
      <w:tr w:rsidR="005C00BD" w14:paraId="509F912C"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9128" w14:textId="77777777" w:rsidR="005C00BD" w:rsidRDefault="00000000">
            <w:pPr>
              <w:pStyle w:val="Compact"/>
            </w:pPr>
            <w:r>
              <w:t>Parameter</w:t>
            </w:r>
          </w:p>
        </w:tc>
        <w:tc>
          <w:tcPr>
            <w:tcW w:w="0" w:type="auto"/>
          </w:tcPr>
          <w:p w14:paraId="509F9129" w14:textId="77777777" w:rsidR="005C00BD" w:rsidRDefault="00000000">
            <w:pPr>
              <w:pStyle w:val="Compact"/>
            </w:pPr>
            <w:r>
              <w:t>Intervention</w:t>
            </w:r>
          </w:p>
        </w:tc>
        <w:tc>
          <w:tcPr>
            <w:tcW w:w="0" w:type="auto"/>
          </w:tcPr>
          <w:p w14:paraId="509F912A" w14:textId="77777777" w:rsidR="005C00BD" w:rsidRDefault="00000000">
            <w:pPr>
              <w:pStyle w:val="Compact"/>
            </w:pPr>
            <w:r>
              <w:t>Individual-facility effect</w:t>
            </w:r>
          </w:p>
        </w:tc>
        <w:tc>
          <w:tcPr>
            <w:tcW w:w="0" w:type="auto"/>
          </w:tcPr>
          <w:p w14:paraId="509F912B" w14:textId="77777777" w:rsidR="005C00BD" w:rsidRDefault="00000000">
            <w:pPr>
              <w:pStyle w:val="Compact"/>
            </w:pPr>
            <w:r>
              <w:t>Fleet-scale effect</w:t>
            </w:r>
          </w:p>
        </w:tc>
      </w:tr>
      <w:tr w:rsidR="005C00BD" w14:paraId="509F9131" w14:textId="77777777">
        <w:tc>
          <w:tcPr>
            <w:tcW w:w="0" w:type="auto"/>
          </w:tcPr>
          <w:p w14:paraId="509F912D" w14:textId="77777777" w:rsidR="005C00BD" w:rsidRDefault="00000000">
            <w:pPr>
              <w:pStyle w:val="Compact"/>
            </w:pPr>
            <w:r>
              <w:t>D2</w:t>
            </w:r>
          </w:p>
        </w:tc>
        <w:tc>
          <w:tcPr>
            <w:tcW w:w="0" w:type="auto"/>
          </w:tcPr>
          <w:p w14:paraId="509F912E" w14:textId="77777777" w:rsidR="005C00BD" w:rsidRDefault="00000000">
            <w:pPr>
              <w:pStyle w:val="Compact"/>
            </w:pPr>
            <w:r>
              <w:t>Encourage destination headroom maintenance</w:t>
            </w:r>
          </w:p>
        </w:tc>
        <w:tc>
          <w:tcPr>
            <w:tcW w:w="0" w:type="auto"/>
          </w:tcPr>
          <w:p w14:paraId="509F912F" w14:textId="77777777" w:rsidR="005C00BD" w:rsidRDefault="00000000">
            <w:pPr>
              <w:pStyle w:val="Compact"/>
            </w:pPr>
            <w:r>
              <w:t>Moderate</w:t>
            </w:r>
          </w:p>
        </w:tc>
        <w:tc>
          <w:tcPr>
            <w:tcW w:w="0" w:type="auto"/>
          </w:tcPr>
          <w:p w14:paraId="509F9130" w14:textId="77777777" w:rsidR="005C00BD" w:rsidRDefault="00000000">
            <w:pPr>
              <w:pStyle w:val="Compact"/>
            </w:pPr>
            <w:r>
              <w:t>High</w:t>
            </w:r>
          </w:p>
        </w:tc>
      </w:tr>
      <w:tr w:rsidR="005C00BD" w14:paraId="509F9136" w14:textId="77777777">
        <w:tc>
          <w:tcPr>
            <w:tcW w:w="0" w:type="auto"/>
          </w:tcPr>
          <w:p w14:paraId="509F9132" w14:textId="77777777" w:rsidR="005C00BD" w:rsidRDefault="00000000">
            <w:pPr>
              <w:pStyle w:val="Compact"/>
            </w:pPr>
            <w:r>
              <w:t>D4</w:t>
            </w:r>
          </w:p>
        </w:tc>
        <w:tc>
          <w:tcPr>
            <w:tcW w:w="0" w:type="auto"/>
          </w:tcPr>
          <w:p w14:paraId="509F9133" w14:textId="77777777" w:rsidR="005C00BD" w:rsidRDefault="00000000">
            <w:pPr>
              <w:pStyle w:val="Compact"/>
            </w:pPr>
            <w:r>
              <w:t>Market trends (inference growth) handle this</w:t>
            </w:r>
          </w:p>
        </w:tc>
        <w:tc>
          <w:tcPr>
            <w:tcW w:w="0" w:type="auto"/>
          </w:tcPr>
          <w:p w14:paraId="509F9134" w14:textId="77777777" w:rsidR="005C00BD" w:rsidRDefault="00000000">
            <w:pPr>
              <w:pStyle w:val="Compact"/>
            </w:pPr>
            <w:r>
              <w:t>Moderate</w:t>
            </w:r>
          </w:p>
        </w:tc>
        <w:tc>
          <w:tcPr>
            <w:tcW w:w="0" w:type="auto"/>
          </w:tcPr>
          <w:p w14:paraId="509F9135" w14:textId="77777777" w:rsidR="005C00BD" w:rsidRDefault="00000000">
            <w:pPr>
              <w:pStyle w:val="Compact"/>
            </w:pPr>
            <w:r>
              <w:t>High</w:t>
            </w:r>
          </w:p>
        </w:tc>
      </w:tr>
      <w:tr w:rsidR="005C00BD" w14:paraId="509F913B" w14:textId="77777777">
        <w:tc>
          <w:tcPr>
            <w:tcW w:w="0" w:type="auto"/>
          </w:tcPr>
          <w:p w14:paraId="509F9137" w14:textId="77777777" w:rsidR="005C00BD" w:rsidRDefault="00000000">
            <w:pPr>
              <w:pStyle w:val="Compact"/>
            </w:pPr>
            <w:r>
              <w:lastRenderedPageBreak/>
              <w:t>D5</w:t>
            </w:r>
          </w:p>
        </w:tc>
        <w:tc>
          <w:tcPr>
            <w:tcW w:w="0" w:type="auto"/>
          </w:tcPr>
          <w:p w14:paraId="509F9138" w14:textId="77777777" w:rsidR="005C00BD" w:rsidRDefault="00000000">
            <w:pPr>
              <w:pStyle w:val="Compact"/>
            </w:pPr>
            <w:r>
              <w:t>Require pre-staging as condition of DR accreditation</w:t>
            </w:r>
          </w:p>
        </w:tc>
        <w:tc>
          <w:tcPr>
            <w:tcW w:w="0" w:type="auto"/>
          </w:tcPr>
          <w:p w14:paraId="509F9139" w14:textId="77777777" w:rsidR="005C00BD" w:rsidRDefault="00000000">
            <w:pPr>
              <w:pStyle w:val="Compact"/>
            </w:pPr>
            <w:r>
              <w:t>Moderate</w:t>
            </w:r>
          </w:p>
        </w:tc>
        <w:tc>
          <w:tcPr>
            <w:tcW w:w="0" w:type="auto"/>
          </w:tcPr>
          <w:p w14:paraId="509F913A" w14:textId="77777777" w:rsidR="005C00BD" w:rsidRDefault="00000000">
            <w:pPr>
              <w:pStyle w:val="Compact"/>
            </w:pPr>
            <w:r>
              <w:t>High</w:t>
            </w:r>
          </w:p>
        </w:tc>
      </w:tr>
      <w:tr w:rsidR="005C00BD" w14:paraId="509F9140" w14:textId="77777777">
        <w:tc>
          <w:tcPr>
            <w:tcW w:w="0" w:type="auto"/>
          </w:tcPr>
          <w:p w14:paraId="509F913C" w14:textId="77777777" w:rsidR="005C00BD" w:rsidRDefault="00000000">
            <w:pPr>
              <w:pStyle w:val="Compact"/>
            </w:pPr>
            <w:r>
              <w:t>S2</w:t>
            </w:r>
          </w:p>
        </w:tc>
        <w:tc>
          <w:tcPr>
            <w:tcW w:w="0" w:type="auto"/>
          </w:tcPr>
          <w:p w14:paraId="509F913D" w14:textId="77777777" w:rsidR="005C00BD" w:rsidRDefault="00000000">
            <w:pPr>
              <w:pStyle w:val="Compact"/>
            </w:pPr>
            <w:r>
              <w:t>Data locality waivers, regulatory flexibility</w:t>
            </w:r>
          </w:p>
        </w:tc>
        <w:tc>
          <w:tcPr>
            <w:tcW w:w="0" w:type="auto"/>
          </w:tcPr>
          <w:p w14:paraId="509F913E" w14:textId="77777777" w:rsidR="005C00BD" w:rsidRDefault="00000000">
            <w:pPr>
              <w:pStyle w:val="Compact"/>
            </w:pPr>
            <w:r>
              <w:t>High</w:t>
            </w:r>
          </w:p>
        </w:tc>
        <w:tc>
          <w:tcPr>
            <w:tcW w:w="0" w:type="auto"/>
          </w:tcPr>
          <w:p w14:paraId="509F913F" w14:textId="77777777" w:rsidR="005C00BD" w:rsidRDefault="00000000">
            <w:pPr>
              <w:pStyle w:val="Compact"/>
            </w:pPr>
            <w:r>
              <w:t>Zero</w:t>
            </w:r>
          </w:p>
        </w:tc>
      </w:tr>
      <w:tr w:rsidR="005C00BD" w14:paraId="509F9145" w14:textId="77777777">
        <w:tc>
          <w:tcPr>
            <w:tcW w:w="0" w:type="auto"/>
          </w:tcPr>
          <w:p w14:paraId="509F9141" w14:textId="77777777" w:rsidR="005C00BD" w:rsidRDefault="00000000">
            <w:pPr>
              <w:pStyle w:val="Compact"/>
            </w:pPr>
            <w:r>
              <w:t>S3</w:t>
            </w:r>
          </w:p>
        </w:tc>
        <w:tc>
          <w:tcPr>
            <w:tcW w:w="0" w:type="auto"/>
          </w:tcPr>
          <w:p w14:paraId="509F9142" w14:textId="77777777" w:rsidR="005C00BD" w:rsidRDefault="00000000">
            <w:pPr>
              <w:pStyle w:val="Compact"/>
            </w:pPr>
            <w:r>
              <w:t>Already solved by physics</w:t>
            </w:r>
          </w:p>
        </w:tc>
        <w:tc>
          <w:tcPr>
            <w:tcW w:w="0" w:type="auto"/>
          </w:tcPr>
          <w:p w14:paraId="509F9143" w14:textId="77777777" w:rsidR="005C00BD" w:rsidRDefault="00000000">
            <w:pPr>
              <w:pStyle w:val="Compact"/>
            </w:pPr>
            <w:r>
              <w:t>Zero</w:t>
            </w:r>
          </w:p>
        </w:tc>
        <w:tc>
          <w:tcPr>
            <w:tcW w:w="0" w:type="auto"/>
          </w:tcPr>
          <w:p w14:paraId="509F9144" w14:textId="77777777" w:rsidR="005C00BD" w:rsidRDefault="00000000">
            <w:pPr>
              <w:pStyle w:val="Compact"/>
            </w:pPr>
            <w:r>
              <w:t>Zero</w:t>
            </w:r>
          </w:p>
        </w:tc>
      </w:tr>
    </w:tbl>
    <w:p w14:paraId="509F9146" w14:textId="77777777" w:rsidR="005C00BD" w:rsidRDefault="00000000">
      <w:r>
        <w:pict w14:anchorId="509F91B1">
          <v:rect id="_x0000_i1036" style="width:0;height:1.5pt" o:hralign="center" o:hrstd="t" o:hr="t"/>
        </w:pict>
      </w:r>
    </w:p>
    <w:p w14:paraId="509F9147" w14:textId="77777777" w:rsidR="005C00BD" w:rsidRDefault="00000000">
      <w:pPr>
        <w:pStyle w:val="Heading2"/>
      </w:pPr>
      <w:bookmarkStart w:id="68" w:name="duration-robustness"/>
      <w:bookmarkEnd w:id="65"/>
      <w:bookmarkEnd w:id="67"/>
      <w:r>
        <w:t>7. Duration Robustness</w:t>
      </w:r>
    </w:p>
    <w:p w14:paraId="509F9148" w14:textId="77777777" w:rsidR="005C00BD" w:rsidRDefault="00000000">
      <w:pPr>
        <w:pStyle w:val="FirstParagraph"/>
      </w:pPr>
      <w:r>
        <w:t xml:space="preserve">A critical distinction from battery-based DR: inference spatial migration is inherently </w:t>
      </w:r>
      <w:r>
        <w:rPr>
          <w:b/>
          <w:bCs/>
        </w:rPr>
        <w:t>indefinite-duration</w:t>
      </w:r>
      <w:r>
        <w:t>. The mechanism routes new requests to a different endpoint — it does not drain a finite energy reservoir. As long as any destination remains unstressed and the orchestrator is operational, migration continues at the same effective depth.</w:t>
      </w:r>
    </w:p>
    <w:p w14:paraId="509F9149" w14:textId="77777777" w:rsidR="005C00BD" w:rsidRDefault="00000000">
      <w:pPr>
        <w:pStyle w:val="BodyText"/>
      </w:pPr>
      <w:r>
        <w:t>This means the DVFS + Spatial portfolio faces no duration-based Non-Performance Charge exposure. A BTM battery portfolio fails during extended events — Winter Storm Elliott lasted 4+ days, with 17+ hours of continuous emergency dispatch. The spatial portfolio continues operating through hour 17 at the same effective depth, provided any destination remains unstressed. Per the Cross-BA analysis, at least one destination was available in 99.0% of observed stress hours.</w:t>
      </w:r>
    </w:p>
    <w:p w14:paraId="509F914A" w14:textId="77777777" w:rsidR="005C00BD" w:rsidRDefault="00000000">
      <w:pPr>
        <w:pStyle w:val="BodyText"/>
      </w:pPr>
      <w:r>
        <w:t>PJM’s DR model, which dispatches DR without an energy constraint and assumes indefinite availability, is a better fit for the spatial mechanism than for battery-based resources.</w:t>
      </w:r>
    </w:p>
    <w:p w14:paraId="509F914B" w14:textId="77777777" w:rsidR="005C00BD" w:rsidRDefault="00000000">
      <w:r>
        <w:pict w14:anchorId="509F91B2">
          <v:rect id="_x0000_i1037" style="width:0;height:1.5pt" o:hralign="center" o:hrstd="t" o:hr="t"/>
        </w:pict>
      </w:r>
    </w:p>
    <w:p w14:paraId="509F914C" w14:textId="77777777" w:rsidR="005C00BD" w:rsidRDefault="00000000">
      <w:pPr>
        <w:pStyle w:val="Heading2"/>
      </w:pPr>
      <w:bookmarkStart w:id="69" w:name="limitations"/>
      <w:bookmarkEnd w:id="68"/>
      <w:r>
        <w:t>8. Limitations</w:t>
      </w:r>
    </w:p>
    <w:p w14:paraId="509F914D" w14:textId="77777777" w:rsidR="005C00BD" w:rsidRDefault="00000000">
      <w:pPr>
        <w:numPr>
          <w:ilvl w:val="0"/>
          <w:numId w:val="24"/>
        </w:numPr>
      </w:pPr>
      <w:r>
        <w:rPr>
          <w:b/>
          <w:bCs/>
        </w:rPr>
        <w:t>Scope limited to stateless inference.</w:t>
      </w:r>
      <w:r>
        <w:t xml:space="preserve"> The cascade is rigorously bounded only for inference request routing. Training, fine-tuning, and stateful workloads are excluded from the spatial pathway and participate through DVFS only. This is an honest reflection of where empirical grounding exists, not an assertion that non-inference migration is impossible.</w:t>
      </w:r>
    </w:p>
    <w:p w14:paraId="509F914E" w14:textId="77777777" w:rsidR="005C00BD" w:rsidRDefault="00000000">
      <w:pPr>
        <w:numPr>
          <w:ilvl w:val="0"/>
          <w:numId w:val="24"/>
        </w:numPr>
      </w:pPr>
      <w:r>
        <w:rPr>
          <w:b/>
          <w:bCs/>
        </w:rPr>
        <w:t>S2 (data locality) is weakly grounded.</w:t>
      </w:r>
      <w:r>
        <w:t xml:space="preserve"> The fraction of inference workloads without hard geographic pinning is bounded at [0.60, 0.95] based on industry analysis, not production measurement. Cross-region inference is demonstrably production-ready (Amazon Bedrock, Google carbon-aware scheduling, SkyLB), but the precise prevalence of geographic constraints has not been measured.</w:t>
      </w:r>
    </w:p>
    <w:p w14:paraId="509F914F" w14:textId="77777777" w:rsidR="005C00BD" w:rsidRDefault="00000000">
      <w:pPr>
        <w:numPr>
          <w:ilvl w:val="0"/>
          <w:numId w:val="24"/>
        </w:numPr>
      </w:pPr>
      <w:r>
        <w:rPr>
          <w:b/>
          <w:bCs/>
        </w:rPr>
        <w:t>D2 (utilization headroom) is a placeholder.</w:t>
      </w:r>
      <w:r>
        <w:t xml:space="preserve"> No published study directly measures GPU-level utilization distributions at production inference facilities. The 50–80% utilization range is estimated from industry reports. Thermal constraints (“stranded power” from cooling bottlenecks) and regional GPU quota limitations represent additional headroom constraints not captured in this estimate.</w:t>
      </w:r>
    </w:p>
    <w:p w14:paraId="509F9150" w14:textId="77777777" w:rsidR="005C00BD" w:rsidRDefault="00000000">
      <w:pPr>
        <w:numPr>
          <w:ilvl w:val="0"/>
          <w:numId w:val="24"/>
        </w:numPr>
      </w:pPr>
      <w:r>
        <w:rPr>
          <w:b/>
          <w:bCs/>
        </w:rPr>
        <w:lastRenderedPageBreak/>
        <w:t>D1 is based on historical pricing (2022–2025).</w:t>
      </w:r>
      <w:r>
        <w:t xml:space="preserve"> Climate change may shift the frequency and geographic scope of extreme weather events. The January 2024 Arctic Blast — a continental-scale cold event that drove both all-stressed hours — may become more common. The 99.0% central availability figure should be treated as a recent-history observation, not a forward guarantee.</w:t>
      </w:r>
    </w:p>
    <w:p w14:paraId="509F9151" w14:textId="77777777" w:rsidR="005C00BD" w:rsidRDefault="00000000">
      <w:pPr>
        <w:numPr>
          <w:ilvl w:val="0"/>
          <w:numId w:val="24"/>
        </w:numPr>
      </w:pPr>
      <w:r>
        <w:rPr>
          <w:b/>
          <w:bCs/>
        </w:rPr>
        <w:t>Reflexivity.</w:t>
      </w:r>
      <w:r>
        <w:t xml:space="preserve"> If spatial migration becomes widespread, destination grids absorb migrated load during source stress, which may increase destination stress and reduce the historical independence — a reflexivity concern analogous to Goodhart’s Law applied to grid stress correlations.</w:t>
      </w:r>
    </w:p>
    <w:p w14:paraId="509F9152" w14:textId="77777777" w:rsidR="005C00BD" w:rsidRDefault="00000000">
      <w:pPr>
        <w:numPr>
          <w:ilvl w:val="0"/>
          <w:numId w:val="24"/>
        </w:numPr>
      </w:pPr>
      <w:r>
        <w:rPr>
          <w:b/>
          <w:bCs/>
        </w:rPr>
        <w:t>The orchestration layer does not exist.</w:t>
      </w:r>
      <w:r>
        <w:t xml:space="preserve"> The cascade assumes a unified orchestration system that receives grid dispatch signals and executes workload migration across sites. This capability must be built. The thesis quantifies the economic incentive to build it; it does not assume it exists.</w:t>
      </w:r>
    </w:p>
    <w:p w14:paraId="509F9153" w14:textId="77777777" w:rsidR="005C00BD" w:rsidRDefault="00000000">
      <w:pPr>
        <w:numPr>
          <w:ilvl w:val="0"/>
          <w:numId w:val="24"/>
        </w:numPr>
      </w:pPr>
      <w:r>
        <w:rPr>
          <w:b/>
          <w:bCs/>
        </w:rPr>
        <w:t>Multiplicative independence.</w:t>
      </w:r>
      <w:r>
        <w:t xml:space="preserve"> The cascade assumes parameters are independent. This approximation is weakest in the extreme tail: continental-scale weather events that reduce D1 may simultaneously degrade E1 (network reliability) and shift D4 (workload composition under stress). Σ η² ≈ 0.96 confirms small interactions centrally, but tail behavior may differ. The conditional Monte Carlo partially addresses this by conditioning on observed grid states rather than drawing D1 parametrically.</w:t>
      </w:r>
    </w:p>
    <w:p w14:paraId="509F9154" w14:textId="77777777" w:rsidR="005C00BD" w:rsidRDefault="00000000">
      <w:r>
        <w:pict w14:anchorId="509F91B3">
          <v:rect id="_x0000_i1038" style="width:0;height:1.5pt" o:hralign="center" o:hrstd="t" o:hr="t"/>
        </w:pict>
      </w:r>
    </w:p>
    <w:p w14:paraId="509F9155" w14:textId="77777777" w:rsidR="005C00BD" w:rsidRDefault="00000000">
      <w:pPr>
        <w:pStyle w:val="Heading2"/>
      </w:pPr>
      <w:bookmarkStart w:id="70" w:name="evolution-from-earlier-versions"/>
      <w:bookmarkEnd w:id="69"/>
      <w:r>
        <w:t>9. Evolution from Earlier Versions</w:t>
      </w:r>
    </w:p>
    <w:p w14:paraId="509F9156" w14:textId="77777777" w:rsidR="005C00BD" w:rsidRDefault="00000000">
      <w:pPr>
        <w:pStyle w:val="FirstParagraph"/>
      </w:pPr>
      <w:r>
        <w:t xml:space="preserve">This document supersedes the seven-parameter cascade documented in </w:t>
      </w:r>
      <w:r>
        <w:rPr>
          <w:rStyle w:val="VerbatimChar"/>
        </w:rPr>
        <w:t>archive/Pillar1.docx</w:t>
      </w:r>
      <w:r>
        <w:t>. Key changes:</w:t>
      </w:r>
    </w:p>
    <w:tbl>
      <w:tblPr>
        <w:tblStyle w:val="Table"/>
        <w:tblW w:w="5000" w:type="pct"/>
        <w:tblLook w:val="0020" w:firstRow="1" w:lastRow="0" w:firstColumn="0" w:lastColumn="0" w:noHBand="0" w:noVBand="0"/>
      </w:tblPr>
      <w:tblGrid>
        <w:gridCol w:w="2234"/>
        <w:gridCol w:w="3109"/>
        <w:gridCol w:w="4233"/>
      </w:tblGrid>
      <w:tr w:rsidR="005C00BD" w14:paraId="509F915A"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9157" w14:textId="77777777" w:rsidR="005C00BD" w:rsidRDefault="00000000">
            <w:pPr>
              <w:pStyle w:val="Compact"/>
            </w:pPr>
            <w:r>
              <w:t>Change</w:t>
            </w:r>
          </w:p>
        </w:tc>
        <w:tc>
          <w:tcPr>
            <w:tcW w:w="0" w:type="auto"/>
          </w:tcPr>
          <w:p w14:paraId="509F9158" w14:textId="77777777" w:rsidR="005C00BD" w:rsidRDefault="00000000">
            <w:pPr>
              <w:pStyle w:val="Compact"/>
            </w:pPr>
            <w:r>
              <w:t>Old (7-parameter)</w:t>
            </w:r>
          </w:p>
        </w:tc>
        <w:tc>
          <w:tcPr>
            <w:tcW w:w="0" w:type="auto"/>
          </w:tcPr>
          <w:p w14:paraId="509F9159" w14:textId="77777777" w:rsidR="005C00BD" w:rsidRDefault="00000000">
            <w:pPr>
              <w:pStyle w:val="Compact"/>
            </w:pPr>
            <w:r>
              <w:t>New (10-parameter)</w:t>
            </w:r>
          </w:p>
        </w:tc>
      </w:tr>
      <w:tr w:rsidR="005C00BD" w14:paraId="509F915E" w14:textId="77777777">
        <w:tc>
          <w:tcPr>
            <w:tcW w:w="0" w:type="auto"/>
          </w:tcPr>
          <w:p w14:paraId="509F915B" w14:textId="77777777" w:rsidR="005C00BD" w:rsidRDefault="00000000">
            <w:pPr>
              <w:pStyle w:val="Compact"/>
            </w:pPr>
            <w:r>
              <w:t>S2 scope</w:t>
            </w:r>
          </w:p>
        </w:tc>
        <w:tc>
          <w:tcPr>
            <w:tcW w:w="0" w:type="auto"/>
          </w:tcPr>
          <w:p w14:paraId="509F915C" w14:textId="77777777" w:rsidR="005C00BD" w:rsidRDefault="00000000">
            <w:pPr>
              <w:pStyle w:val="Compact"/>
            </w:pPr>
            <w:r>
              <w:t>Combined: data locality × operational timing (central 0.72)</w:t>
            </w:r>
          </w:p>
        </w:tc>
        <w:tc>
          <w:tcPr>
            <w:tcW w:w="0" w:type="auto"/>
          </w:tcPr>
          <w:p w14:paraId="509F915D" w14:textId="77777777" w:rsidR="005C00BD" w:rsidRDefault="00000000">
            <w:pPr>
              <w:pStyle w:val="Compact"/>
            </w:pPr>
            <w:r>
              <w:t>Split: S2 = data locality only (0.70), S3 = operational timing (0.90)</w:t>
            </w:r>
          </w:p>
        </w:tc>
      </w:tr>
      <w:tr w:rsidR="005C00BD" w14:paraId="509F9162" w14:textId="77777777">
        <w:tc>
          <w:tcPr>
            <w:tcW w:w="0" w:type="auto"/>
          </w:tcPr>
          <w:p w14:paraId="509F915F" w14:textId="77777777" w:rsidR="005C00BD" w:rsidRDefault="00000000">
            <w:pPr>
              <w:pStyle w:val="Compact"/>
            </w:pPr>
            <w:r>
              <w:t>Destination decomposition</w:t>
            </w:r>
          </w:p>
        </w:tc>
        <w:tc>
          <w:tcPr>
            <w:tcW w:w="0" w:type="auto"/>
          </w:tcPr>
          <w:p w14:paraId="509F9160" w14:textId="77777777" w:rsidR="005C00BD" w:rsidRDefault="00000000">
            <w:pPr>
              <w:pStyle w:val="Compact"/>
            </w:pPr>
            <w:r>
              <w:t>D2 = broad “headroom” (0.85)</w:t>
            </w:r>
          </w:p>
        </w:tc>
        <w:tc>
          <w:tcPr>
            <w:tcW w:w="0" w:type="auto"/>
          </w:tcPr>
          <w:p w14:paraId="509F9161" w14:textId="77777777" w:rsidR="005C00BD" w:rsidRDefault="00000000">
            <w:pPr>
              <w:pStyle w:val="Compact"/>
            </w:pPr>
            <w:r>
              <w:t>Split: D2 = utilization headroom (0.33), D4 = inference share (0.50), D5 = pre-staging (0.65)</w:t>
            </w:r>
          </w:p>
        </w:tc>
      </w:tr>
      <w:tr w:rsidR="005C00BD" w14:paraId="509F9166" w14:textId="77777777">
        <w:tc>
          <w:tcPr>
            <w:tcW w:w="0" w:type="auto"/>
          </w:tcPr>
          <w:p w14:paraId="509F9163" w14:textId="77777777" w:rsidR="005C00BD" w:rsidRDefault="00000000">
            <w:pPr>
              <w:pStyle w:val="Compact"/>
            </w:pPr>
            <w:r>
              <w:t>D3 value</w:t>
            </w:r>
          </w:p>
        </w:tc>
        <w:tc>
          <w:tcPr>
            <w:tcW w:w="0" w:type="auto"/>
          </w:tcPr>
          <w:p w14:paraId="509F9164" w14:textId="77777777" w:rsidR="005C00BD" w:rsidRDefault="00000000">
            <w:pPr>
              <w:pStyle w:val="Compact"/>
            </w:pPr>
            <w:r>
              <w:t>0.97</w:t>
            </w:r>
          </w:p>
        </w:tc>
        <w:tc>
          <w:tcPr>
            <w:tcW w:w="0" w:type="auto"/>
          </w:tcPr>
          <w:p w14:paraId="509F9165" w14:textId="77777777" w:rsidR="005C00BD" w:rsidRDefault="00000000">
            <w:pPr>
              <w:pStyle w:val="Compact"/>
            </w:pPr>
            <w:r>
              <w:t>0.88</w:t>
            </w:r>
          </w:p>
        </w:tc>
      </w:tr>
      <w:tr w:rsidR="005C00BD" w14:paraId="509F916A" w14:textId="77777777">
        <w:tc>
          <w:tcPr>
            <w:tcW w:w="0" w:type="auto"/>
          </w:tcPr>
          <w:p w14:paraId="509F9167" w14:textId="77777777" w:rsidR="005C00BD" w:rsidRDefault="00000000">
            <w:pPr>
              <w:pStyle w:val="Compact"/>
            </w:pPr>
            <w:r>
              <w:t>E1 value</w:t>
            </w:r>
          </w:p>
        </w:tc>
        <w:tc>
          <w:tcPr>
            <w:tcW w:w="0" w:type="auto"/>
          </w:tcPr>
          <w:p w14:paraId="509F9168" w14:textId="77777777" w:rsidR="005C00BD" w:rsidRDefault="00000000">
            <w:pPr>
              <w:pStyle w:val="Compact"/>
            </w:pPr>
            <w:r>
              <w:t>0.997</w:t>
            </w:r>
          </w:p>
        </w:tc>
        <w:tc>
          <w:tcPr>
            <w:tcW w:w="0" w:type="auto"/>
          </w:tcPr>
          <w:p w14:paraId="509F9169" w14:textId="77777777" w:rsidR="005C00BD" w:rsidRDefault="00000000">
            <w:pPr>
              <w:pStyle w:val="Compact"/>
            </w:pPr>
            <w:r>
              <w:t>0.95</w:t>
            </w:r>
          </w:p>
        </w:tc>
      </w:tr>
      <w:tr w:rsidR="005C00BD" w14:paraId="509F916E" w14:textId="77777777">
        <w:tc>
          <w:tcPr>
            <w:tcW w:w="0" w:type="auto"/>
          </w:tcPr>
          <w:p w14:paraId="509F916B" w14:textId="77777777" w:rsidR="005C00BD" w:rsidRDefault="00000000">
            <w:pPr>
              <w:pStyle w:val="Compact"/>
            </w:pPr>
            <w:r>
              <w:t>E2 value</w:t>
            </w:r>
          </w:p>
        </w:tc>
        <w:tc>
          <w:tcPr>
            <w:tcW w:w="0" w:type="auto"/>
          </w:tcPr>
          <w:p w14:paraId="509F916C" w14:textId="77777777" w:rsidR="005C00BD" w:rsidRDefault="00000000">
            <w:pPr>
              <w:pStyle w:val="Compact"/>
            </w:pPr>
            <w:r>
              <w:t>0.995</w:t>
            </w:r>
          </w:p>
        </w:tc>
        <w:tc>
          <w:tcPr>
            <w:tcW w:w="0" w:type="auto"/>
          </w:tcPr>
          <w:p w14:paraId="509F916D" w14:textId="77777777" w:rsidR="005C00BD" w:rsidRDefault="00000000">
            <w:pPr>
              <w:pStyle w:val="Compact"/>
            </w:pPr>
            <w:r>
              <w:t>0.98</w:t>
            </w:r>
          </w:p>
        </w:tc>
      </w:tr>
      <w:tr w:rsidR="005C00BD" w14:paraId="509F9172" w14:textId="77777777">
        <w:tc>
          <w:tcPr>
            <w:tcW w:w="0" w:type="auto"/>
          </w:tcPr>
          <w:p w14:paraId="509F916F" w14:textId="77777777" w:rsidR="005C00BD" w:rsidRDefault="00000000">
            <w:pPr>
              <w:pStyle w:val="Compact"/>
            </w:pPr>
            <w:r>
              <w:t>Cascade product (central)</w:t>
            </w:r>
          </w:p>
        </w:tc>
        <w:tc>
          <w:tcPr>
            <w:tcW w:w="0" w:type="auto"/>
          </w:tcPr>
          <w:p w14:paraId="509F9170" w14:textId="77777777" w:rsidR="005C00BD" w:rsidRDefault="00000000">
            <w:pPr>
              <w:pStyle w:val="Compact"/>
            </w:pPr>
            <w:r>
              <w:t>0.409</w:t>
            </w:r>
          </w:p>
        </w:tc>
        <w:tc>
          <w:tcPr>
            <w:tcW w:w="0" w:type="auto"/>
          </w:tcPr>
          <w:p w14:paraId="509F9171" w14:textId="77777777" w:rsidR="005C00BD" w:rsidRDefault="00000000">
            <w:pPr>
              <w:pStyle w:val="Compact"/>
            </w:pPr>
            <w:r>
              <w:t>0.0384</w:t>
            </w:r>
          </w:p>
        </w:tc>
      </w:tr>
      <w:tr w:rsidR="005C00BD" w14:paraId="509F9176" w14:textId="77777777">
        <w:tc>
          <w:tcPr>
            <w:tcW w:w="0" w:type="auto"/>
          </w:tcPr>
          <w:p w14:paraId="509F9173" w14:textId="77777777" w:rsidR="005C00BD" w:rsidRDefault="00000000">
            <w:pPr>
              <w:pStyle w:val="Compact"/>
            </w:pPr>
            <w:r>
              <w:t>Commitment depth formula</w:t>
            </w:r>
          </w:p>
        </w:tc>
        <w:tc>
          <w:tcPr>
            <w:tcW w:w="0" w:type="auto"/>
          </w:tcPr>
          <w:p w14:paraId="509F9174" w14:textId="77777777" w:rsidR="005C00BD" w:rsidRDefault="00000000">
            <w:pPr>
              <w:pStyle w:val="Compact"/>
            </w:pPr>
            <w:r>
              <w:t>Spatial + DVFS × (1 − Spatial)</w:t>
            </w:r>
          </w:p>
        </w:tc>
        <w:tc>
          <w:tcPr>
            <w:tcW w:w="0" w:type="auto"/>
          </w:tcPr>
          <w:p w14:paraId="509F9175" w14:textId="77777777" w:rsidR="005C00BD" w:rsidRDefault="00000000">
            <w:pPr>
              <w:pStyle w:val="Compact"/>
            </w:pPr>
            <w:r>
              <w:t>Spatial + DVFS × (S1 − Spatial)</w:t>
            </w:r>
          </w:p>
        </w:tc>
      </w:tr>
      <w:tr w:rsidR="005C00BD" w14:paraId="509F917A" w14:textId="77777777">
        <w:tc>
          <w:tcPr>
            <w:tcW w:w="0" w:type="auto"/>
          </w:tcPr>
          <w:p w14:paraId="509F9177" w14:textId="77777777" w:rsidR="005C00BD" w:rsidRDefault="00000000">
            <w:pPr>
              <w:pStyle w:val="Compact"/>
            </w:pPr>
            <w:r>
              <w:lastRenderedPageBreak/>
              <w:t>Commitment depth (central)</w:t>
            </w:r>
          </w:p>
        </w:tc>
        <w:tc>
          <w:tcPr>
            <w:tcW w:w="0" w:type="auto"/>
          </w:tcPr>
          <w:p w14:paraId="509F9178" w14:textId="77777777" w:rsidR="005C00BD" w:rsidRDefault="00000000">
            <w:pPr>
              <w:pStyle w:val="Compact"/>
            </w:pPr>
            <w:r>
              <w:t>55.7%</w:t>
            </w:r>
          </w:p>
        </w:tc>
        <w:tc>
          <w:tcPr>
            <w:tcW w:w="0" w:type="auto"/>
          </w:tcPr>
          <w:p w14:paraId="509F9179" w14:textId="77777777" w:rsidR="005C00BD" w:rsidRDefault="00000000">
            <w:pPr>
              <w:pStyle w:val="Compact"/>
            </w:pPr>
            <w:r>
              <w:t>20.4%</w:t>
            </w:r>
          </w:p>
        </w:tc>
      </w:tr>
      <w:tr w:rsidR="005C00BD" w14:paraId="509F917E" w14:textId="77777777">
        <w:tc>
          <w:tcPr>
            <w:tcW w:w="0" w:type="auto"/>
          </w:tcPr>
          <w:p w14:paraId="509F917B" w14:textId="77777777" w:rsidR="005C00BD" w:rsidRDefault="00000000">
            <w:pPr>
              <w:pStyle w:val="Compact"/>
            </w:pPr>
            <w:r>
              <w:t>Dominant variance driver</w:t>
            </w:r>
          </w:p>
        </w:tc>
        <w:tc>
          <w:tcPr>
            <w:tcW w:w="0" w:type="auto"/>
          </w:tcPr>
          <w:p w14:paraId="509F917C" w14:textId="77777777" w:rsidR="005C00BD" w:rsidRDefault="00000000">
            <w:pPr>
              <w:pStyle w:val="Compact"/>
            </w:pPr>
            <w:r>
              <w:t>S2 Factor A (67%)</w:t>
            </w:r>
          </w:p>
        </w:tc>
        <w:tc>
          <w:tcPr>
            <w:tcW w:w="0" w:type="auto"/>
          </w:tcPr>
          <w:p w14:paraId="509F917D" w14:textId="77777777" w:rsidR="005C00BD" w:rsidRDefault="00000000">
            <w:pPr>
              <w:pStyle w:val="Compact"/>
            </w:pPr>
            <w:r>
              <w:t>D2 (44%)</w:t>
            </w:r>
          </w:p>
        </w:tc>
      </w:tr>
    </w:tbl>
    <w:p w14:paraId="509F917F" w14:textId="77777777" w:rsidR="005C00BD" w:rsidRDefault="00000000">
      <w:pPr>
        <w:pStyle w:val="BodyText"/>
      </w:pPr>
      <w:r>
        <w:t>The two most consequential changes:</w:t>
      </w:r>
    </w:p>
    <w:p w14:paraId="509F9180" w14:textId="77777777" w:rsidR="005C00BD" w:rsidRDefault="00000000">
      <w:pPr>
        <w:pStyle w:val="BodyText"/>
      </w:pPr>
      <w:r>
        <w:rPr>
          <w:b/>
          <w:bCs/>
        </w:rPr>
        <w:t>1. Commitment depth formula correction.</w:t>
      </w:r>
      <w:r>
        <w:t xml:space="preserve"> The old formula applied DVFS to the entire non-migrating facility load including cooling and infrastructure. The corrected formula (Colangelo et al.) applies DVFS only to the compute-amenable S1 envelope — physically correct since DVFS operates at the GPU level, not at the facility meter.</w:t>
      </w:r>
    </w:p>
    <w:p w14:paraId="509F9181" w14:textId="77777777" w:rsidR="005C00BD" w:rsidRDefault="00000000">
      <w:pPr>
        <w:pStyle w:val="BodyText"/>
      </w:pPr>
      <w:r>
        <w:rPr>
          <w:b/>
          <w:bCs/>
        </w:rPr>
        <w:t>2. Destination decomposition.</w:t>
      </w:r>
      <w:r>
        <w:t xml:space="preserve"> The old D2 (0.85) conflated utilization headroom, inference compatibility, and pre-staging readiness into a single estimate. Decomposing into D2 × D4 × D5 = 0.33 × 0.50 × 0.65 = 0.107 reveals that destination absorption capacity is much lower than previously assumed, and that the uncertainty concentrates in three operationally distinct choices that different policy levers can target independently.</w:t>
      </w:r>
    </w:p>
    <w:p w14:paraId="509F9182" w14:textId="77777777" w:rsidR="005C00BD" w:rsidRDefault="00000000">
      <w:r>
        <w:pict w14:anchorId="509F91B4">
          <v:rect id="_x0000_i1039" style="width:0;height:1.5pt" o:hralign="center" o:hrstd="t" o:hr="t"/>
        </w:pict>
      </w:r>
    </w:p>
    <w:p w14:paraId="509F9183" w14:textId="77777777" w:rsidR="005C00BD" w:rsidRDefault="00000000">
      <w:pPr>
        <w:pStyle w:val="Heading2"/>
      </w:pPr>
      <w:bookmarkStart w:id="71" w:name="references"/>
      <w:bookmarkEnd w:id="70"/>
      <w:r>
        <w:t>References</w:t>
      </w:r>
    </w:p>
    <w:p w14:paraId="509F9184" w14:textId="77777777" w:rsidR="005C00BD" w:rsidRDefault="00000000">
      <w:pPr>
        <w:pStyle w:val="FirstParagraph"/>
      </w:pPr>
      <w:r>
        <w:t>Amazon Web Services. Elastic Load Balancing Service Level Agreement. https://aws.amazon.com/elasticloadbalancing/sla/</w:t>
      </w:r>
    </w:p>
    <w:p w14:paraId="509F9185" w14:textId="77777777" w:rsidR="005C00BD" w:rsidRDefault="00000000">
      <w:pPr>
        <w:pStyle w:val="BodyText"/>
      </w:pPr>
      <w:r>
        <w:t>Bain &amp; Company. Inference is now the center of gravity (2025).</w:t>
      </w:r>
    </w:p>
    <w:p w14:paraId="47EC38D5" w14:textId="3B74DBDB" w:rsidR="007430A6" w:rsidRDefault="007430A6">
      <w:pPr>
        <w:pStyle w:val="BodyText"/>
      </w:pPr>
      <w:r>
        <w:t xml:space="preserve">Colangelo, P., Coskun, A. K., Megrue, J., Roberts, C., Sengupta, S., Sivaram, V., Tiao, E., Vijaykar, A., Williams, C., Wilson, D. C., Records, B., MacFarland, Z., Dreiling, D., Morey, N., Ratnayake, A., &amp; Vairamohan, B. AI data centres as grid-interactive assets. </w:t>
      </w:r>
      <w:r>
        <w:rPr>
          <w:i/>
          <w:iCs/>
        </w:rPr>
        <w:t>Nature Energy</w:t>
      </w:r>
      <w:r>
        <w:t xml:space="preserve"> 11, 254–261 (2026). </w:t>
      </w:r>
      <w:hyperlink r:id="rId12" w:history="1">
        <w:r w:rsidRPr="00490EC5">
          <w:rPr>
            <w:rStyle w:val="Hyperlink"/>
          </w:rPr>
          <w:t>https://doi.org/10.1038/s41560-025-01927-1</w:t>
        </w:r>
      </w:hyperlink>
    </w:p>
    <w:p w14:paraId="509F9187" w14:textId="0E49FFEF" w:rsidR="005C00BD" w:rsidRDefault="00000000">
      <w:pPr>
        <w:pStyle w:val="BodyText"/>
      </w:pPr>
      <w:r>
        <w:t>Cortez, E., et al. Resource Central: Understanding and predicting workloads for improved resource management in large cloud platforms. SOSP (2017).</w:t>
      </w:r>
    </w:p>
    <w:p w14:paraId="509F9188" w14:textId="77777777" w:rsidR="005C00BD" w:rsidRDefault="00000000">
      <w:pPr>
        <w:pStyle w:val="BodyText"/>
      </w:pPr>
      <w:r>
        <w:t>Data Center Knowledge. Hyperscaler bandwidth purchases reach 42.4 terabits (November 2025).</w:t>
      </w:r>
    </w:p>
    <w:p w14:paraId="509F9189" w14:textId="77777777" w:rsidR="005C00BD" w:rsidRDefault="00000000">
      <w:pPr>
        <w:pStyle w:val="BodyText"/>
      </w:pPr>
      <w:r>
        <w:t>Deloitte. Technology, Media and Telecommunications Predictions 2025 (November 2025).</w:t>
      </w:r>
    </w:p>
    <w:p w14:paraId="509F918A" w14:textId="77777777" w:rsidR="005C00BD" w:rsidRDefault="00000000">
      <w:pPr>
        <w:pStyle w:val="BodyText"/>
      </w:pPr>
      <w:r>
        <w:t>Dubey, A., et al. (Meta). The Llama 3 Herd of Models. arXiv (2024).</w:t>
      </w:r>
    </w:p>
    <w:p w14:paraId="509F918B" w14:textId="77777777" w:rsidR="005C00BD" w:rsidRDefault="00000000">
      <w:pPr>
        <w:pStyle w:val="BodyText"/>
      </w:pPr>
      <w:r>
        <w:t>EPRI. Powering Intelligence: Analyzing Artificial Intelligence and Data Center Energy Consumption (2024).</w:t>
      </w:r>
    </w:p>
    <w:p w14:paraId="509F918C" w14:textId="77777777" w:rsidR="005C00BD" w:rsidRDefault="00000000">
      <w:pPr>
        <w:pStyle w:val="BodyText"/>
      </w:pPr>
      <w:r>
        <w:t>Govindan, R., et al. Evolve or die: High-availability design principles drawn from Google’s network infrastructure. ACM SIGCOMM (2016).</w:t>
      </w:r>
    </w:p>
    <w:p w14:paraId="509F918D" w14:textId="77777777" w:rsidR="005C00BD" w:rsidRDefault="00000000">
      <w:pPr>
        <w:pStyle w:val="BodyText"/>
      </w:pPr>
      <w:r>
        <w:lastRenderedPageBreak/>
        <w:t>Jain, S., et al. B4: Experience with a globally-deployed software defined WAN. ACM SIGCOMM (2013).</w:t>
      </w:r>
    </w:p>
    <w:p w14:paraId="509F918E" w14:textId="77777777" w:rsidR="005C00BD" w:rsidRDefault="00000000">
      <w:pPr>
        <w:pStyle w:val="BodyText"/>
      </w:pPr>
      <w:r>
        <w:t>Kakolyris, A., et al. SLO-aware GPU DVFS for energy-efficient LLM inference serving. IEEE Computer Architecture Letters (2024).</w:t>
      </w:r>
    </w:p>
    <w:p w14:paraId="509F918F" w14:textId="77777777" w:rsidR="005C00BD" w:rsidRDefault="00000000">
      <w:pPr>
        <w:pStyle w:val="BodyText"/>
      </w:pPr>
      <w:r>
        <w:t>LBNL. 2024 United States Data Center Energy Usage Report. Lawrence Berkeley National Laboratory (2024).</w:t>
      </w:r>
    </w:p>
    <w:p w14:paraId="509F9191" w14:textId="0232EE2B" w:rsidR="005C00BD" w:rsidRDefault="00000000">
      <w:pPr>
        <w:pStyle w:val="BodyText"/>
      </w:pPr>
      <w:r>
        <w:t>Microsoft Azure. SLA for Load Balancer. https://azure.microsoft.com/en-us/support/legal/sla/load-balancer/</w:t>
      </w:r>
    </w:p>
    <w:p w14:paraId="794C344D" w14:textId="77777777" w:rsidR="001A2575" w:rsidRPr="001A2575" w:rsidRDefault="001A2575" w:rsidP="001A2575">
      <w:pPr>
        <w:pStyle w:val="BodyText"/>
      </w:pPr>
      <w:r w:rsidRPr="001A2575">
        <w:t xml:space="preserve">Norris, T. H. The puzzle of low data center utilization rates. </w:t>
      </w:r>
      <w:r w:rsidRPr="001A2575">
        <w:rPr>
          <w:i/>
          <w:iCs/>
        </w:rPr>
        <w:t>Power &amp; Policy</w:t>
      </w:r>
      <w:r w:rsidRPr="001A2575">
        <w:t xml:space="preserve"> Substack, August 8, 2025.</w:t>
      </w:r>
    </w:p>
    <w:p w14:paraId="6AE77976" w14:textId="77777777" w:rsidR="001A2575" w:rsidRDefault="001A2575">
      <w:pPr>
        <w:pStyle w:val="BodyText"/>
      </w:pPr>
    </w:p>
    <w:p w14:paraId="0DC01CCD" w14:textId="77777777" w:rsidR="001A2575" w:rsidRPr="001A2575" w:rsidRDefault="001A2575" w:rsidP="001A2575">
      <w:pPr>
        <w:pStyle w:val="BodyText"/>
      </w:pPr>
      <w:r w:rsidRPr="001A2575">
        <w:t xml:space="preserve">Norris, T. H., Profeta, T., Patino-Echeverri, D., &amp; Cowie-Haskell, A. </w:t>
      </w:r>
      <w:r w:rsidRPr="001A2575">
        <w:rPr>
          <w:i/>
          <w:iCs/>
        </w:rPr>
        <w:t>Rethinking Load Growth: Assessing the Potential for Integration of Large Flexible Loads in US Power Systems.</w:t>
      </w:r>
      <w:r w:rsidRPr="001A2575">
        <w:t xml:space="preserve"> NI R 25-01. Nicholas Institute for Energy, Environment &amp; Sustainability, Duke University (March 2025).</w:t>
      </w:r>
    </w:p>
    <w:p w14:paraId="509F9193" w14:textId="7D0F8793" w:rsidR="005C00BD" w:rsidRDefault="00000000">
      <w:pPr>
        <w:pStyle w:val="BodyText"/>
      </w:pPr>
      <w:r>
        <w:t>NVIDIA. CUDA Compatibility Documentation. https://docs.nvidia.com/deploy/cuda-compatibility/</w:t>
      </w:r>
    </w:p>
    <w:p w14:paraId="509F9194" w14:textId="77777777" w:rsidR="005C00BD" w:rsidRDefault="00000000">
      <w:pPr>
        <w:pStyle w:val="BodyText"/>
      </w:pPr>
      <w:r>
        <w:t>NVIDIA. CUDA Forward Compatibility Documentation. https://docs.nvidia.com/deploy/cuda-compatibility/forward-compatibility.html</w:t>
      </w:r>
    </w:p>
    <w:p w14:paraId="509F9195" w14:textId="77777777" w:rsidR="005C00BD" w:rsidRDefault="00000000">
      <w:pPr>
        <w:pStyle w:val="BodyText"/>
      </w:pPr>
      <w:r>
        <w:t>NVIDIA. Run:ai Model Streamer: Reducing cold start latency for LLM inference (2025).</w:t>
      </w:r>
    </w:p>
    <w:p w14:paraId="509F9196" w14:textId="77777777" w:rsidR="005C00BD" w:rsidRDefault="00000000">
      <w:pPr>
        <w:pStyle w:val="BodyText"/>
      </w:pPr>
      <w:r>
        <w:t>NVIDIA. TensorRT-LLM Support Matrix. https://nvidia.github.io/TensorRT-LLM/reference/support-matrix.html</w:t>
      </w:r>
    </w:p>
    <w:p w14:paraId="509F9197" w14:textId="77777777" w:rsidR="005C00BD" w:rsidRDefault="00000000">
      <w:pPr>
        <w:pStyle w:val="BodyText"/>
      </w:pPr>
      <w:r>
        <w:t>Patel, P., et al. Splitwise: Efficient generative LLM inference using phase splitting. ISCA (2024).</w:t>
      </w:r>
    </w:p>
    <w:p w14:paraId="509F9198" w14:textId="77777777" w:rsidR="005C00BD" w:rsidRDefault="00000000">
      <w:pPr>
        <w:pStyle w:val="BodyText"/>
      </w:pPr>
      <w:r>
        <w:t>Patel, T., et al. Characterizing power management opportunities for LLMs in the cloud. ASPLOS (2024).</w:t>
      </w:r>
    </w:p>
    <w:p w14:paraId="1C170E87" w14:textId="77777777" w:rsidR="008B1E6F" w:rsidRDefault="008B1E6F" w:rsidP="00C45327">
      <w:pPr>
        <w:pStyle w:val="BodyText"/>
      </w:pPr>
      <w:r>
        <w:t>PJM Interconnection. Manual 13: Emergency Operations. Rev. 97, effective November 20, 2025.</w:t>
      </w:r>
    </w:p>
    <w:p w14:paraId="57658F44" w14:textId="39AF7B39" w:rsidR="00C45327" w:rsidRDefault="00C45327" w:rsidP="00C45327">
      <w:pPr>
        <w:pStyle w:val="BodyText"/>
      </w:pPr>
      <w:r>
        <w:t xml:space="preserve">Radovanović, A., Koningstein, R., Schneider, I., Chen, B., Duarte, A., Roy, B., Xiao, D., Haridasan, M., Hung, P., Care, N., Talukdar, S., Mullen, E., Smith, K., Cottman, M., &amp; Cirne, W. Carbon-aware computing for datacenters. </w:t>
      </w:r>
      <w:r>
        <w:rPr>
          <w:i/>
          <w:iCs/>
        </w:rPr>
        <w:t>IEEE Transactions on Power Systems</w:t>
      </w:r>
      <w:r>
        <w:t xml:space="preserve"> 38(2), 1270–1280 (2023). https://doi.org/10.1109/TPWRS.2022.3173250</w:t>
      </w:r>
    </w:p>
    <w:p w14:paraId="509F919B" w14:textId="672E72EF" w:rsidR="005C00BD" w:rsidRDefault="007430A6">
      <w:pPr>
        <w:pStyle w:val="BodyText"/>
      </w:pPr>
      <w:r>
        <w:t>Jaiswal, S., Jain, K., Simmhan, Y., Parayil, A., Mallick, A., St. Amant, R., et al. SageServe: Optimizing LLM Serving on Cloud Data Centers with Forecast Aware Auto-Scaling. arXiv:2502.14617 (2025).</w:t>
      </w:r>
    </w:p>
    <w:p w14:paraId="509F919C" w14:textId="77777777" w:rsidR="005C00BD" w:rsidRDefault="00000000">
      <w:pPr>
        <w:pStyle w:val="BodyText"/>
      </w:pPr>
      <w:r>
        <w:lastRenderedPageBreak/>
        <w:t>Red Hat. vLLM: A high-throughput and memory-efficient inference engine (October 2025).</w:t>
      </w:r>
    </w:p>
    <w:p w14:paraId="509F919D" w14:textId="77777777" w:rsidR="005C00BD" w:rsidRDefault="00000000">
      <w:pPr>
        <w:pStyle w:val="BodyText"/>
      </w:pPr>
      <w:r>
        <w:t>SkyLB. Locality-aware cross-region load balancer for LLM inference. arXiv:2505.24095 (2025).</w:t>
      </w:r>
    </w:p>
    <w:p w14:paraId="509F919E" w14:textId="77777777" w:rsidR="005C00BD" w:rsidRDefault="00000000">
      <w:pPr>
        <w:pStyle w:val="BodyText"/>
      </w:pPr>
      <w:r>
        <w:t>Stojkovic, J., et al. DynamoLLM: Designing LLM inference clusters for performance and energy efficiency. HPCA (2025).</w:t>
      </w:r>
    </w:p>
    <w:p w14:paraId="509F919F" w14:textId="77777777" w:rsidR="005C00BD" w:rsidRDefault="00000000">
      <w:pPr>
        <w:pStyle w:val="BodyText"/>
      </w:pPr>
      <w:r>
        <w:t>Tirmazi, M., et al. Borg: The next generation. EuroSys (2020).</w:t>
      </w:r>
    </w:p>
    <w:p w14:paraId="509F91A0" w14:textId="77777777" w:rsidR="005C00BD" w:rsidRDefault="00000000">
      <w:pPr>
        <w:pStyle w:val="BodyText"/>
      </w:pPr>
      <w:r>
        <w:t>Verma, A., et al. Large-scale cluster management at Google with Borg. EuroSys (2015).</w:t>
      </w:r>
    </w:p>
    <w:p w14:paraId="0F2880DE" w14:textId="1FE484A4" w:rsidR="00C45327" w:rsidRDefault="00C45327">
      <w:pPr>
        <w:pStyle w:val="BodyText"/>
      </w:pPr>
      <w:r>
        <w:t>Wang, Y., Chen, Y., Li, Z., Kang, X., Zhao, Y., Ma, Z., Bao, H., Mei, X., Liu, Y., Chen, Y., Zhang, Q., Guo, M., Jin, W., Guo, M., &amp; Cui, H. BurstGPT: A Real-World Workload Dataset to Optimize LLM Serving Systems. arXiv:2401.17644v3 (2024). Dataset release: github.com/HPMLL/BurstGPT.</w:t>
      </w:r>
    </w:p>
    <w:p w14:paraId="0E006AD2" w14:textId="239828D2" w:rsidR="00C45327" w:rsidRDefault="00C45327">
      <w:pPr>
        <w:pStyle w:val="BodyText"/>
      </w:pPr>
      <w:r>
        <w:t>Zhang, Chaojie. Flexible Computing for Sustainable Cloud Data Centers. PhD Dissertation, Department of Computer Science, University of Chicago, 2022. Advisor: Andrew A. Chien. https://knowledge.uchicago.edu/record/5719.</w:t>
      </w:r>
    </w:p>
    <w:p w14:paraId="509F91A3" w14:textId="77777777" w:rsidR="005C00BD" w:rsidRDefault="00000000">
      <w:pPr>
        <w:pStyle w:val="BodyText"/>
      </w:pPr>
      <w:r>
        <w:t>Zhang, W., et al. Flexibility from networks of data centers: A market clearing formulation with virtual links. Electric Power Systems Research 189, 106723 (2020).</w:t>
      </w:r>
      <w:bookmarkEnd w:id="0"/>
      <w:bookmarkEnd w:id="71"/>
    </w:p>
    <w:sectPr w:rsidR="005C00BD">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Chris Dunlap" w:date="2026-04-20T15:56:00Z" w:initials="CD">
    <w:p w14:paraId="08F62BCF" w14:textId="77777777" w:rsidR="00971A3D" w:rsidRDefault="00971A3D" w:rsidP="00971A3D">
      <w:pPr>
        <w:pStyle w:val="CommentText"/>
      </w:pPr>
      <w:r>
        <w:rPr>
          <w:rStyle w:val="CommentReference"/>
        </w:rPr>
        <w:annotationRef/>
      </w:r>
      <w:r>
        <w:t>Need to verify my coding procedure for this dataset was correct</w:t>
      </w:r>
    </w:p>
  </w:comment>
  <w:comment w:id="13" w:author="Chris Dunlap" w:date="2026-04-20T16:36:00Z" w:initials="CD">
    <w:p w14:paraId="3551ADE8" w14:textId="77777777" w:rsidR="00D373F3" w:rsidRDefault="00D373F3" w:rsidP="00D373F3">
      <w:pPr>
        <w:pStyle w:val="CommentText"/>
      </w:pPr>
      <w:r>
        <w:rPr>
          <w:rStyle w:val="CommentReference"/>
        </w:rPr>
        <w:annotationRef/>
      </w:r>
      <w:r>
        <w:rPr>
          <w:b/>
          <w:bCs/>
        </w:rPr>
        <w:t>If you decide the central should actually be higher</w:t>
      </w:r>
      <w:r>
        <w:t xml:space="preserve"> (say 0.85, which is closer to what the narrowed three categories would imply), the rewrite needs another pass — specifically, the floor justification gets weaker because "aggressive operator risk aversion" is harder to pin at 40% when you're simultaneously arguing the parameter should be high. </w:t>
      </w:r>
    </w:p>
  </w:comment>
  <w:comment w:id="41" w:author="Chris Dunlap" w:date="2026-04-20T23:13:00Z" w:initials="CD">
    <w:p w14:paraId="571D783F" w14:textId="77777777" w:rsidR="00A05ABB" w:rsidRDefault="00A05ABB" w:rsidP="00A05ABB">
      <w:pPr>
        <w:pStyle w:val="CommentText"/>
      </w:pPr>
      <w:r>
        <w:rPr>
          <w:rStyle w:val="CommentReference"/>
        </w:rPr>
        <w:annotationRef/>
      </w:r>
      <w:r>
        <w:t>Still need to run a QA</w:t>
      </w:r>
      <w:r>
        <w:br/>
      </w:r>
      <w:r>
        <w:br/>
        <w:t>Potential procedural decision to make it equivalent to S1 considering I think it is just the other side of the equation</w:t>
      </w:r>
    </w:p>
  </w:comment>
  <w:comment w:id="46" w:author="Chris Dunlap" w:date="2026-04-20T23:20:00Z" w:initials="CD">
    <w:p w14:paraId="59C506B7" w14:textId="6F675F7F" w:rsidR="00A05ABB" w:rsidRDefault="00A05ABB" w:rsidP="00A05ABB">
      <w:pPr>
        <w:pStyle w:val="CommentText"/>
      </w:pPr>
      <w:r>
        <w:rPr>
          <w:rStyle w:val="CommentReference"/>
        </w:rPr>
        <w:annotationRef/>
      </w:r>
      <w:r>
        <w:t>Updated, but still need to run QA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62BCF" w15:done="0"/>
  <w15:commentEx w15:paraId="3551ADE8" w15:done="0"/>
  <w15:commentEx w15:paraId="571D783F" w15:done="0"/>
  <w15:commentEx w15:paraId="59C506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8D605F" w16cex:dateUtc="2026-04-20T20:56:00Z"/>
  <w16cex:commentExtensible w16cex:durableId="4094BC04" w16cex:dateUtc="2026-04-20T21:36:00Z"/>
  <w16cex:commentExtensible w16cex:durableId="06ABB69B" w16cex:dateUtc="2026-04-21T04:13:00Z"/>
  <w16cex:commentExtensible w16cex:durableId="5F5ADAA0" w16cex:dateUtc="2026-04-21T04: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62BCF" w16cid:durableId="308D605F"/>
  <w16cid:commentId w16cid:paraId="3551ADE8" w16cid:durableId="4094BC04"/>
  <w16cid:commentId w16cid:paraId="571D783F" w16cid:durableId="06ABB69B"/>
  <w16cid:commentId w16cid:paraId="59C506B7" w16cid:durableId="5F5ADA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EE4C3" w14:textId="77777777" w:rsidR="007A49CB" w:rsidRDefault="007A49CB">
      <w:pPr>
        <w:spacing w:after="0"/>
      </w:pPr>
      <w:r>
        <w:separator/>
      </w:r>
    </w:p>
  </w:endnote>
  <w:endnote w:type="continuationSeparator" w:id="0">
    <w:p w14:paraId="5B190817" w14:textId="77777777" w:rsidR="007A49CB" w:rsidRDefault="007A49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C6BE5" w14:textId="77777777" w:rsidR="007A49CB" w:rsidRDefault="007A49CB">
      <w:r>
        <w:separator/>
      </w:r>
    </w:p>
  </w:footnote>
  <w:footnote w:type="continuationSeparator" w:id="0">
    <w:p w14:paraId="5AF6D522" w14:textId="77777777" w:rsidR="007A49CB" w:rsidRDefault="007A49CB">
      <w:r>
        <w:continuationSeparator/>
      </w:r>
    </w:p>
  </w:footnote>
  <w:footnote w:id="1">
    <w:p w14:paraId="3B14931D" w14:textId="77777777" w:rsidR="00586219" w:rsidRDefault="00586219" w:rsidP="00586219">
      <w:pPr>
        <w:pStyle w:val="BodyText"/>
      </w:pPr>
      <w:r>
        <w:rPr>
          <w:rStyle w:val="FootnoteReference"/>
        </w:rPr>
        <w:footnoteRef/>
      </w:r>
      <w:r>
        <w:t xml:space="preserve"> Colangelo, P., Coskun, A. K., Megrue, J., Roberts, C., Sengupta, S., Sivaram, V., Tiao, E., Vijaykar, A., Williams, C., Wilson, D. C., Records, B., MacFarland, Z., Dreiling, D., Morey, N., Ratnayake, A., &amp; Vairamohan, B. AI data centres as grid-interactive assets. </w:t>
      </w:r>
      <w:r>
        <w:rPr>
          <w:i/>
          <w:iCs/>
        </w:rPr>
        <w:t>Nature Energy</w:t>
      </w:r>
      <w:r>
        <w:t xml:space="preserve"> 11, 254–261 (2026). </w:t>
      </w:r>
      <w:hyperlink r:id="rId1" w:history="1">
        <w:r w:rsidRPr="00490EC5">
          <w:rPr>
            <w:rStyle w:val="Hyperlink"/>
          </w:rPr>
          <w:t>https://doi.org/10.1038/s41560-025-01927-1</w:t>
        </w:r>
      </w:hyperlink>
    </w:p>
    <w:p w14:paraId="067B26F5" w14:textId="1F5C8705" w:rsidR="00586219" w:rsidRDefault="00586219">
      <w:pPr>
        <w:pStyle w:val="FootnoteText"/>
      </w:pPr>
    </w:p>
  </w:footnote>
  <w:footnote w:id="2">
    <w:p w14:paraId="1E3726E6" w14:textId="77777777" w:rsidR="00AB1883" w:rsidRDefault="00AB1883" w:rsidP="00AB1883">
      <w:pPr>
        <w:pStyle w:val="BodyText"/>
      </w:pPr>
      <w:r>
        <w:rPr>
          <w:rStyle w:val="FootnoteReference"/>
        </w:rPr>
        <w:footnoteRef/>
      </w:r>
      <w:r>
        <w:t xml:space="preserve"> </w:t>
      </w:r>
      <w:r w:rsidRPr="00AB1883">
        <w:t xml:space="preserve">Arora, C., Sorel, M., Sachdeva, P., Bhan, A., He, J., Shaw, N., Garg, R., &amp; Ravishankar, S. (December 2025). </w:t>
      </w:r>
      <w:r w:rsidRPr="00AB1883">
        <w:rPr>
          <w:i/>
          <w:iCs/>
        </w:rPr>
        <w:t>The next big shifts in AI workloads and hyperscaler strategies.</w:t>
      </w:r>
      <w:r w:rsidRPr="00AB1883">
        <w:t xml:space="preserve"> McKinsey &amp; Company, Technology, Media &amp; Telecommunications Practice. URL: </w:t>
      </w:r>
      <w:hyperlink r:id="rId2" w:history="1">
        <w:r w:rsidRPr="00AB1883">
          <w:rPr>
            <w:rStyle w:val="Hyperlink"/>
          </w:rPr>
          <w:t>https://www.mckinsey.com/industries/technology-media-and-telecommunications/our-insights/the-next-big-shifts-in-ai-workloads-and-hyperscaler-strategies</w:t>
        </w:r>
      </w:hyperlink>
    </w:p>
    <w:p w14:paraId="05FEA786" w14:textId="44DC0F95" w:rsidR="00AB1883" w:rsidRDefault="00AB1883">
      <w:pPr>
        <w:pStyle w:val="FootnoteText"/>
      </w:pPr>
    </w:p>
  </w:footnote>
  <w:footnote w:id="3">
    <w:p w14:paraId="554819BE" w14:textId="57BDD9B1" w:rsidR="007430A6" w:rsidRDefault="007430A6">
      <w:pPr>
        <w:pStyle w:val="FootnoteText"/>
      </w:pPr>
      <w:r>
        <w:rPr>
          <w:rStyle w:val="FootnoteReference"/>
        </w:rPr>
        <w:footnoteRef/>
      </w:r>
      <w:r>
        <w:t xml:space="preserve"> Azure Public Dataset, DynamoLLM traces, https://github.com/Azure/AzurePublicDataset. The released window includes the seven-day span used in this analysis.</w:t>
      </w:r>
    </w:p>
  </w:footnote>
  <w:footnote w:id="4">
    <w:p w14:paraId="64840065" w14:textId="591628A2" w:rsidR="005C6C9C" w:rsidRDefault="005C6C9C">
      <w:pPr>
        <w:pStyle w:val="FootnoteText"/>
      </w:pPr>
      <w:r>
        <w:rPr>
          <w:rStyle w:val="FootnoteReference"/>
        </w:rPr>
        <w:footnoteRef/>
      </w:r>
      <w:r>
        <w:t xml:space="preserve"> </w:t>
      </w:r>
      <w:r w:rsidRPr="005C6C9C">
        <w:t xml:space="preserve">Uptime Institute, </w:t>
      </w:r>
      <w:r w:rsidRPr="005C6C9C">
        <w:rPr>
          <w:i/>
          <w:iCs/>
        </w:rPr>
        <w:t>Global Data Center Survey 2024</w:t>
      </w:r>
      <w:r w:rsidRPr="005C6C9C">
        <w:t>, July 2024, p. 8. The survey notes that sub-40% UPS utilization "can undermine energy performance of both power distribution and cooling equipment," framing the finding as an efficiency concern rather than a capacity-availability claim; we cite it here for the utilization distribution it reveals, not for the efficiency argument it is embedded 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C647E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23607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0D0138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2CD30C5"/>
    <w:multiLevelType w:val="multilevel"/>
    <w:tmpl w:val="79624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C28ED"/>
    <w:multiLevelType w:val="multilevel"/>
    <w:tmpl w:val="9AB2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80650"/>
    <w:multiLevelType w:val="hybridMultilevel"/>
    <w:tmpl w:val="9BB88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D7C3B"/>
    <w:multiLevelType w:val="hybridMultilevel"/>
    <w:tmpl w:val="7FA2F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E95B06"/>
    <w:multiLevelType w:val="multilevel"/>
    <w:tmpl w:val="6D58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320C5"/>
    <w:multiLevelType w:val="multilevel"/>
    <w:tmpl w:val="BE52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24A47"/>
    <w:multiLevelType w:val="multilevel"/>
    <w:tmpl w:val="90E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86F53"/>
    <w:multiLevelType w:val="multilevel"/>
    <w:tmpl w:val="3E8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252C7E"/>
    <w:multiLevelType w:val="hybridMultilevel"/>
    <w:tmpl w:val="430A5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9998430">
    <w:abstractNumId w:val="0"/>
  </w:num>
  <w:num w:numId="2" w16cid:durableId="1788041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00078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02168790">
    <w:abstractNumId w:val="1"/>
  </w:num>
  <w:num w:numId="5" w16cid:durableId="335349093">
    <w:abstractNumId w:val="1"/>
  </w:num>
  <w:num w:numId="6" w16cid:durableId="1811557293">
    <w:abstractNumId w:val="1"/>
  </w:num>
  <w:num w:numId="7" w16cid:durableId="1434059660">
    <w:abstractNumId w:val="1"/>
  </w:num>
  <w:num w:numId="8" w16cid:durableId="956565902">
    <w:abstractNumId w:val="1"/>
  </w:num>
  <w:num w:numId="9" w16cid:durableId="863440744">
    <w:abstractNumId w:val="1"/>
  </w:num>
  <w:num w:numId="10" w16cid:durableId="1095707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81128687">
    <w:abstractNumId w:val="1"/>
  </w:num>
  <w:num w:numId="12" w16cid:durableId="472868003">
    <w:abstractNumId w:val="1"/>
  </w:num>
  <w:num w:numId="13" w16cid:durableId="617375216">
    <w:abstractNumId w:val="1"/>
  </w:num>
  <w:num w:numId="14" w16cid:durableId="1698316218">
    <w:abstractNumId w:val="1"/>
  </w:num>
  <w:num w:numId="15" w16cid:durableId="1875343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04541060">
    <w:abstractNumId w:val="1"/>
  </w:num>
  <w:num w:numId="17" w16cid:durableId="1829323658">
    <w:abstractNumId w:val="1"/>
  </w:num>
  <w:num w:numId="18" w16cid:durableId="995718308">
    <w:abstractNumId w:val="1"/>
  </w:num>
  <w:num w:numId="19" w16cid:durableId="1395278605">
    <w:abstractNumId w:val="1"/>
  </w:num>
  <w:num w:numId="20" w16cid:durableId="1589996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85702448">
    <w:abstractNumId w:val="1"/>
  </w:num>
  <w:num w:numId="22" w16cid:durableId="1250236478">
    <w:abstractNumId w:val="1"/>
  </w:num>
  <w:num w:numId="23" w16cid:durableId="14717085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84648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85831809">
    <w:abstractNumId w:val="11"/>
  </w:num>
  <w:num w:numId="26" w16cid:durableId="1093552056">
    <w:abstractNumId w:val="5"/>
  </w:num>
  <w:num w:numId="27" w16cid:durableId="2129734714">
    <w:abstractNumId w:val="3"/>
  </w:num>
  <w:num w:numId="28" w16cid:durableId="231047149">
    <w:abstractNumId w:val="10"/>
  </w:num>
  <w:num w:numId="29" w16cid:durableId="1119760488">
    <w:abstractNumId w:val="4"/>
  </w:num>
  <w:num w:numId="30" w16cid:durableId="726030470">
    <w:abstractNumId w:val="9"/>
  </w:num>
  <w:num w:numId="31" w16cid:durableId="1166091168">
    <w:abstractNumId w:val="8"/>
  </w:num>
  <w:num w:numId="32" w16cid:durableId="706025850">
    <w:abstractNumId w:val="7"/>
  </w:num>
  <w:num w:numId="33" w16cid:durableId="69527405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Dunlap">
    <w15:presenceInfo w15:providerId="Windows Live" w15:userId="0dc6f7b3958448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00BD"/>
    <w:rsid w:val="00061A09"/>
    <w:rsid w:val="00065131"/>
    <w:rsid w:val="000B2C9D"/>
    <w:rsid w:val="000E70B2"/>
    <w:rsid w:val="00142361"/>
    <w:rsid w:val="00183127"/>
    <w:rsid w:val="001A2575"/>
    <w:rsid w:val="002A31A6"/>
    <w:rsid w:val="004616BF"/>
    <w:rsid w:val="004A1164"/>
    <w:rsid w:val="004A7482"/>
    <w:rsid w:val="004D33B4"/>
    <w:rsid w:val="00586219"/>
    <w:rsid w:val="005908C4"/>
    <w:rsid w:val="005A1171"/>
    <w:rsid w:val="005C00BD"/>
    <w:rsid w:val="005C6C9C"/>
    <w:rsid w:val="006B61CE"/>
    <w:rsid w:val="006C1726"/>
    <w:rsid w:val="0070741C"/>
    <w:rsid w:val="007430A6"/>
    <w:rsid w:val="0076489A"/>
    <w:rsid w:val="007A49CB"/>
    <w:rsid w:val="00810BCB"/>
    <w:rsid w:val="00833BB0"/>
    <w:rsid w:val="008B1E6F"/>
    <w:rsid w:val="009542B3"/>
    <w:rsid w:val="00971A3D"/>
    <w:rsid w:val="009729F2"/>
    <w:rsid w:val="009777C8"/>
    <w:rsid w:val="00981D21"/>
    <w:rsid w:val="009E699C"/>
    <w:rsid w:val="00A01C26"/>
    <w:rsid w:val="00A05ABB"/>
    <w:rsid w:val="00A97414"/>
    <w:rsid w:val="00AB1883"/>
    <w:rsid w:val="00AF1A54"/>
    <w:rsid w:val="00B2206B"/>
    <w:rsid w:val="00B22652"/>
    <w:rsid w:val="00B42202"/>
    <w:rsid w:val="00B6000D"/>
    <w:rsid w:val="00B83C0B"/>
    <w:rsid w:val="00BA1903"/>
    <w:rsid w:val="00C45327"/>
    <w:rsid w:val="00C76F92"/>
    <w:rsid w:val="00C90579"/>
    <w:rsid w:val="00CF6008"/>
    <w:rsid w:val="00D373F3"/>
    <w:rsid w:val="00D55A9C"/>
    <w:rsid w:val="00D6735F"/>
    <w:rsid w:val="00DE2175"/>
    <w:rsid w:val="00E249C2"/>
    <w:rsid w:val="00E74250"/>
    <w:rsid w:val="00E77D03"/>
    <w:rsid w:val="00F44C3A"/>
    <w:rsid w:val="00FC1101"/>
    <w:rsid w:val="00FE4F9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F8E48"/>
  <w15:docId w15:val="{DD8584DD-9A8F-434F-B823-703EC0D60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7430A6"/>
    <w:rPr>
      <w:color w:val="605E5C"/>
      <w:shd w:val="clear" w:color="auto" w:fill="E1DFDD"/>
    </w:rPr>
  </w:style>
  <w:style w:type="character" w:styleId="CommentReference">
    <w:name w:val="annotation reference"/>
    <w:basedOn w:val="DefaultParagraphFont"/>
    <w:rsid w:val="00971A3D"/>
    <w:rPr>
      <w:sz w:val="16"/>
      <w:szCs w:val="16"/>
    </w:rPr>
  </w:style>
  <w:style w:type="paragraph" w:styleId="CommentText">
    <w:name w:val="annotation text"/>
    <w:basedOn w:val="Normal"/>
    <w:link w:val="CommentTextChar"/>
    <w:rsid w:val="00971A3D"/>
    <w:rPr>
      <w:sz w:val="20"/>
      <w:szCs w:val="20"/>
    </w:rPr>
  </w:style>
  <w:style w:type="character" w:customStyle="1" w:styleId="CommentTextChar">
    <w:name w:val="Comment Text Char"/>
    <w:basedOn w:val="DefaultParagraphFont"/>
    <w:link w:val="CommentText"/>
    <w:rsid w:val="00971A3D"/>
    <w:rPr>
      <w:sz w:val="20"/>
      <w:szCs w:val="20"/>
    </w:rPr>
  </w:style>
  <w:style w:type="paragraph" w:styleId="CommentSubject">
    <w:name w:val="annotation subject"/>
    <w:basedOn w:val="CommentText"/>
    <w:next w:val="CommentText"/>
    <w:link w:val="CommentSubjectChar"/>
    <w:rsid w:val="00971A3D"/>
    <w:rPr>
      <w:b/>
      <w:bCs/>
    </w:rPr>
  </w:style>
  <w:style w:type="character" w:customStyle="1" w:styleId="CommentSubjectChar">
    <w:name w:val="Comment Subject Char"/>
    <w:basedOn w:val="CommentTextChar"/>
    <w:link w:val="CommentSubject"/>
    <w:rsid w:val="00971A3D"/>
    <w:rPr>
      <w:b/>
      <w:bCs/>
      <w:sz w:val="20"/>
      <w:szCs w:val="20"/>
    </w:rPr>
  </w:style>
  <w:style w:type="character" w:styleId="Emphasis">
    <w:name w:val="Emphasis"/>
    <w:basedOn w:val="DefaultParagraphFont"/>
    <w:uiPriority w:val="20"/>
    <w:qFormat/>
    <w:rsid w:val="00F44C3A"/>
    <w:rPr>
      <w:i/>
      <w:iCs/>
    </w:rPr>
  </w:style>
  <w:style w:type="table" w:styleId="GridTable1Light">
    <w:name w:val="Grid Table 1 Light"/>
    <w:basedOn w:val="TableNormal"/>
    <w:rsid w:val="00F44C3A"/>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rsid w:val="00FE4F9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38/s41560-025-01927-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footnotes.xml.rels><?xml version="1.0" encoding="UTF-8" standalone="yes"?>
<Relationships xmlns="http://schemas.openxmlformats.org/package/2006/relationships"><Relationship Id="rId2" Type="http://schemas.openxmlformats.org/officeDocument/2006/relationships/hyperlink" Target="https://www.mckinsey.com/industries/technology-media-and-telecommunications/our-insights/the-next-big-shifts-in-ai-workloads-and-hyperscaler-strategies" TargetMode="External"/><Relationship Id="rId1" Type="http://schemas.openxmlformats.org/officeDocument/2006/relationships/hyperlink" Target="https://doi.org/10.1038/s41560-025-0192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12D2F-7BF7-411A-9B2B-DD98909FD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705</TotalTime>
  <Pages>29</Pages>
  <Words>8456</Words>
  <Characters>52515</Characters>
  <Application>Microsoft Office Word</Application>
  <DocSecurity>0</DocSecurity>
  <Lines>1312</Lines>
  <Paragraphs>791</Paragraphs>
  <ScaleCrop>false</ScaleCrop>
  <HeadingPairs>
    <vt:vector size="2" baseType="variant">
      <vt:variant>
        <vt:lpstr>Title</vt:lpstr>
      </vt:variant>
      <vt:variant>
        <vt:i4>1</vt:i4>
      </vt:variant>
    </vt:vector>
  </HeadingPairs>
  <TitlesOfParts>
    <vt:vector size="1" baseType="lpstr">
      <vt:lpstr>Technical Appendix: Ten-Parameter Cascade Derivation</vt:lpstr>
    </vt:vector>
  </TitlesOfParts>
  <Company/>
  <LinksUpToDate>false</LinksUpToDate>
  <CharactersWithSpaces>60180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Appendix: Ten-Parameter Cascade Derivation</dc:title>
  <dc:creator/>
  <cp:keywords/>
  <cp:lastModifiedBy>Chris Dunlap</cp:lastModifiedBy>
  <cp:revision>28</cp:revision>
  <dcterms:created xsi:type="dcterms:W3CDTF">2026-04-16T21:13:00Z</dcterms:created>
  <dcterms:modified xsi:type="dcterms:W3CDTF">2026-04-21T14:46:00Z</dcterms:modified>
</cp:coreProperties>
</file>