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F8E48" w14:textId="77777777" w:rsidR="005C00BD" w:rsidRDefault="00000000">
      <w:pPr>
        <w:pStyle w:val="Title"/>
      </w:pPr>
      <w:r>
        <w:t>Technical Appendix: Ten-Parameter Cascade Derivation</w:t>
      </w:r>
    </w:p>
    <w:p w14:paraId="509F8E49" w14:textId="77777777" w:rsidR="005C00BD" w:rsidRDefault="00000000">
      <w:pPr>
        <w:pStyle w:val="Heading1"/>
      </w:pPr>
      <w:bookmarkStart w:id="0" w:name="Xe5d3c74ab12b8dea6470cd5e2ca5f1b15655e19"/>
      <w:r>
        <w:t>Technical Appendix: Ten-Parameter Cascade Derivation</w:t>
      </w:r>
    </w:p>
    <w:p w14:paraId="509F8E4A" w14:textId="77777777" w:rsidR="005C00BD" w:rsidRDefault="00000000">
      <w:pPr>
        <w:pStyle w:val="FirstParagraph"/>
        <w:pBdr>
          <w:bottom w:val="single" w:sz="12" w:space="1" w:color="auto"/>
        </w:pBdr>
      </w:pPr>
      <w:r>
        <w:rPr>
          <w:i/>
          <w:iCs/>
        </w:rPr>
        <w:t xml:space="preserve">This document provides </w:t>
      </w:r>
      <w:proofErr w:type="gramStart"/>
      <w:r>
        <w:rPr>
          <w:i/>
          <w:iCs/>
        </w:rPr>
        <w:t>the complete</w:t>
      </w:r>
      <w:proofErr w:type="gramEnd"/>
      <w:r>
        <w:rPr>
          <w:i/>
          <w:iCs/>
        </w:rPr>
        <w:t xml:space="preserve"> analytical derivation, empirical grounding, and source documentation for every parameter in the ten-parameter multiplicative cascade model of spatial migration feasibility. It is intended as </w:t>
      </w:r>
      <w:proofErr w:type="gramStart"/>
      <w:r>
        <w:rPr>
          <w:i/>
          <w:iCs/>
        </w:rPr>
        <w:t>the</w:t>
      </w:r>
      <w:proofErr w:type="gramEnd"/>
      <w:r>
        <w:rPr>
          <w:i/>
          <w:iCs/>
        </w:rPr>
        <w:t xml:space="preserve"> authoritative companion to the Nature Energy manuscript, providing the full reasoning chain behind each assumption for reviewer verification.</w:t>
      </w:r>
    </w:p>
    <w:p w14:paraId="509F8E4C" w14:textId="77777777" w:rsidR="005C00BD" w:rsidRPr="000B2C9D" w:rsidRDefault="00000000" w:rsidP="000B2C9D">
      <w:pPr>
        <w:rPr>
          <w:b/>
          <w:bCs/>
          <w:sz w:val="28"/>
          <w:szCs w:val="28"/>
        </w:rPr>
      </w:pPr>
      <w:bookmarkStart w:id="1" w:name="framework-overview"/>
      <w:r w:rsidRPr="000B2C9D">
        <w:rPr>
          <w:b/>
          <w:bCs/>
          <w:sz w:val="28"/>
          <w:szCs w:val="28"/>
        </w:rPr>
        <w:t>1. Framework Overview</w:t>
      </w:r>
    </w:p>
    <w:p w14:paraId="509F8E4D" w14:textId="77777777" w:rsidR="005C00BD" w:rsidRDefault="00000000">
      <w:pPr>
        <w:pStyle w:val="FirstParagraph"/>
      </w:pPr>
      <w:r>
        <w:t>The cascade decomposes the conditions required for cross-region inference workload migration into ten independently estimable parameters:</w:t>
      </w:r>
    </w:p>
    <w:p w14:paraId="509F8E4E" w14:textId="77777777" w:rsidR="005C00BD" w:rsidRDefault="00000000">
      <w:pPr>
        <w:pStyle w:val="BodyText"/>
      </w:pPr>
      <w:r>
        <w:rPr>
          <w:b/>
          <w:bCs/>
        </w:rPr>
        <w:t>Effective Spatial Fraction = S1 × S2 × S3 × D1 × D2 × D3 × D4 × D5 × E1 × E2</w:t>
      </w:r>
    </w:p>
    <w:p w14:paraId="509F8E4F" w14:textId="77777777" w:rsidR="005C00BD" w:rsidRDefault="00000000">
      <w:pPr>
        <w:pStyle w:val="BodyText"/>
      </w:pPr>
      <w:r>
        <w:rPr>
          <w:b/>
          <w:bCs/>
        </w:rPr>
        <w:t>Commitment Depth = Spatial + FLEX_FRAC × (S1 − Spatial)</w:t>
      </w:r>
    </w:p>
    <w:p w14:paraId="16942C97" w14:textId="0AA0F3B5" w:rsidR="00E01C6C" w:rsidRDefault="004A1164">
      <w:pPr>
        <w:pStyle w:val="BodyText"/>
      </w:pPr>
      <w:r w:rsidRPr="004A1164">
        <w:t>where FLEX_FRAC = 0.25 is adopted as a conservative ceiling for the aggregate software-orchestrated flexibility fraction at the GPU cluster level, consistent with the 25% power reduction sustained for three hours on a 256-GPU cluster in Phoenix by Colangelo et al.</w:t>
      </w:r>
      <w:r w:rsidR="00586219">
        <w:t xml:space="preserve"> </w:t>
      </w:r>
      <w:r w:rsidRPr="004A1164">
        <w:t>(Nat Energy, 2026).</w:t>
      </w:r>
      <w:r w:rsidR="00586219">
        <w:rPr>
          <w:rStyle w:val="FootnoteReference"/>
        </w:rPr>
        <w:footnoteReference w:id="1"/>
      </w:r>
      <w:r w:rsidRPr="004A1164">
        <w:t xml:space="preserve"> </w:t>
      </w:r>
      <w:r w:rsidR="00E01C6C" w:rsidRPr="00E01C6C">
        <w:t>The commercial materiality of software-managed flexibility substituting for hardware reserves at hyperscale is further established by Zhang et al. [2021], whose Flex system at Microsoft targets reallocation of the 25% reserved power in 4N/3-redundant datacenters for additional server deployments, with production deployments currently at 42% of reserve allocation using throttling-only enforcement and a documented path to 100% allocation pending upstream infrastructure upgrades</w:t>
      </w:r>
      <w:r w:rsidR="00E01C6C">
        <w:t xml:space="preserve">. </w:t>
      </w:r>
      <w:r w:rsidR="00E01C6C" w:rsidRPr="00E01C6C">
        <w:t>Independent corroboration comes from Wu et al. [2016], whose production deployment of Facebook's datacenter-wide power management system</w:t>
      </w:r>
      <w:r w:rsidR="004813BA">
        <w:t>, Dynamo,</w:t>
      </w:r>
      <w:r w:rsidR="00E01C6C" w:rsidRPr="00E01C6C">
        <w:t xml:space="preserve"> shows in Figure 13 that web-server latency degrades slowly within a 20% power reduction range and more steeply beyond, consistent with the 25% figure representing a practical rather than arbitrary ceiling. Two production data points from distinct </w:t>
      </w:r>
      <w:proofErr w:type="spellStart"/>
      <w:r w:rsidR="00E01C6C" w:rsidRPr="00E01C6C">
        <w:t>hyperscalers</w:t>
      </w:r>
      <w:proofErr w:type="spellEnd"/>
      <w:r w:rsidR="00E01C6C" w:rsidRPr="00E01C6C">
        <w:t xml:space="preserve"> (Microsoft, Facebook), distinct workload mixes (AI inference, web serving), and distinct control mechanisms </w:t>
      </w:r>
      <w:r w:rsidR="00E01C6C" w:rsidRPr="00E01C6C">
        <w:lastRenderedPageBreak/>
        <w:t>(spatial + DVFS, coordinated RAPL capping) converge on the same approximate flex envelope.</w:t>
      </w:r>
    </w:p>
    <w:p w14:paraId="509F8E51" w14:textId="6BAF0472" w:rsidR="005C00BD" w:rsidRDefault="00000000">
      <w:pPr>
        <w:pStyle w:val="BodyText"/>
      </w:pPr>
      <w:r>
        <w:t>The three stages of the cascade reflect the logical sequence of spatial migration:</w:t>
      </w:r>
    </w:p>
    <w:p w14:paraId="509F8E52" w14:textId="77777777" w:rsidR="005C00BD" w:rsidRDefault="00000000">
      <w:pPr>
        <w:pStyle w:val="Compact"/>
        <w:numPr>
          <w:ilvl w:val="0"/>
          <w:numId w:val="2"/>
        </w:numPr>
      </w:pPr>
      <w:r>
        <w:rPr>
          <w:b/>
          <w:bCs/>
        </w:rPr>
        <w:t>Source-side (S1, S2, S3):</w:t>
      </w:r>
      <w:r>
        <w:t xml:space="preserve"> </w:t>
      </w:r>
      <w:r w:rsidRPr="005A1171">
        <w:rPr>
          <w:i/>
          <w:iCs/>
        </w:rPr>
        <w:t>Is the workload a migration candidate, is it geographically unconstrained, and can it complete within the dispatch window?</w:t>
      </w:r>
    </w:p>
    <w:p w14:paraId="509F8E53" w14:textId="77777777" w:rsidR="005C00BD" w:rsidRDefault="00000000">
      <w:pPr>
        <w:pStyle w:val="Compact"/>
        <w:numPr>
          <w:ilvl w:val="0"/>
          <w:numId w:val="2"/>
        </w:numPr>
      </w:pPr>
      <w:r>
        <w:rPr>
          <w:b/>
          <w:bCs/>
        </w:rPr>
        <w:t>Destination-side (D1, D2, D3, D4, D5):</w:t>
      </w:r>
      <w:r>
        <w:t xml:space="preserve"> </w:t>
      </w:r>
      <w:r w:rsidRPr="005A1171">
        <w:rPr>
          <w:i/>
          <w:iCs/>
        </w:rPr>
        <w:t>Is an unstressed destination available, does it have GPU headroom, is the hardware compatible, is it running inference, and are model weights pre-staged?</w:t>
      </w:r>
    </w:p>
    <w:p w14:paraId="509F8E54" w14:textId="77777777" w:rsidR="005C00BD" w:rsidRDefault="00000000">
      <w:pPr>
        <w:pStyle w:val="Compact"/>
        <w:numPr>
          <w:ilvl w:val="0"/>
          <w:numId w:val="2"/>
        </w:numPr>
      </w:pPr>
      <w:r>
        <w:rPr>
          <w:b/>
          <w:bCs/>
        </w:rPr>
        <w:t>Execution (E1, E2):</w:t>
      </w:r>
      <w:r>
        <w:t xml:space="preserve"> </w:t>
      </w:r>
      <w:r w:rsidRPr="005A1171">
        <w:rPr>
          <w:i/>
          <w:iCs/>
        </w:rPr>
        <w:t>Does the routing operation succeed, and is there sufficient bandwidth?</w:t>
      </w:r>
    </w:p>
    <w:p w14:paraId="509F8E55" w14:textId="1A8E2178" w:rsidR="005C00BD" w:rsidRDefault="004813BA">
      <w:pPr>
        <w:pStyle w:val="FirstParagraph"/>
      </w:pPr>
      <w:r>
        <w:t xml:space="preserve">We first treat this parameter cascade with an independence assumption and hold each </w:t>
      </w:r>
      <w:r w:rsidR="00000000">
        <w:t xml:space="preserve">parameter </w:t>
      </w:r>
      <w:r>
        <w:t>as</w:t>
      </w:r>
      <w:r w:rsidR="00000000">
        <w:t xml:space="preserve"> an independent filter. A workload must pass all ten to contribute to spatial migration. The product of all ten is the effective spatial fraction — the share of facility load that</w:t>
      </w:r>
      <w:r>
        <w:t xml:space="preserve"> successfully</w:t>
      </w:r>
      <w:r w:rsidR="00000000">
        <w:t xml:space="preserve"> </w:t>
      </w:r>
      <w:r>
        <w:t>migrates</w:t>
      </w:r>
      <w:r w:rsidR="00000000">
        <w:t xml:space="preserve"> from the source node </w:t>
      </w:r>
      <w:r>
        <w:t xml:space="preserve">to a given destination node </w:t>
      </w:r>
      <w:r w:rsidR="00000000">
        <w:t>during a capacity market dispatch event.</w:t>
      </w:r>
    </w:p>
    <w:p w14:paraId="509F8E56" w14:textId="77777777" w:rsidR="005C00BD" w:rsidRPr="004D33B4" w:rsidRDefault="00000000" w:rsidP="004D33B4">
      <w:pPr>
        <w:rPr>
          <w:b/>
          <w:bCs/>
        </w:rPr>
      </w:pPr>
      <w:bookmarkStart w:id="2" w:name="commitment-depth-formula"/>
      <w:proofErr w:type="gramStart"/>
      <w:r w:rsidRPr="004D33B4">
        <w:rPr>
          <w:b/>
          <w:bCs/>
        </w:rPr>
        <w:t>Commitment</w:t>
      </w:r>
      <w:proofErr w:type="gramEnd"/>
      <w:r w:rsidRPr="004D33B4">
        <w:rPr>
          <w:b/>
          <w:bCs/>
        </w:rPr>
        <w:t xml:space="preserve"> Depth Formula</w:t>
      </w:r>
    </w:p>
    <w:p w14:paraId="509F8E57" w14:textId="09D960E5" w:rsidR="005C00BD" w:rsidRDefault="00000000">
      <w:pPr>
        <w:pStyle w:val="FirstParagraph"/>
      </w:pPr>
      <w:r>
        <w:t xml:space="preserve">The commitment depth formula </w:t>
      </w:r>
      <w:r w:rsidR="004813BA">
        <w:t xml:space="preserve">only </w:t>
      </w:r>
      <w:r>
        <w:t xml:space="preserve">applies </w:t>
      </w:r>
      <w:r w:rsidR="004813BA">
        <w:t>the local flexibility</w:t>
      </w:r>
      <w:r>
        <w:t xml:space="preserve"> </w:t>
      </w:r>
      <w:r w:rsidR="004813BA">
        <w:t xml:space="preserve">component </w:t>
      </w:r>
      <w:r>
        <w:t>to the compute-amenable portion of facility load (the S1 envelope):</w:t>
      </w:r>
    </w:p>
    <w:p w14:paraId="509F8E58" w14:textId="77777777" w:rsidR="005C00BD" w:rsidRDefault="00000000">
      <w:pPr>
        <w:pStyle w:val="BlockText"/>
      </w:pPr>
      <w:r>
        <w:t>Commitment Depth = Spatial + FLEX_FRAC × (S1 − Spatial)</w:t>
      </w:r>
    </w:p>
    <w:p w14:paraId="509F8E5A" w14:textId="14DD43DB" w:rsidR="005C00BD" w:rsidRDefault="00000000">
      <w:pPr>
        <w:pStyle w:val="BodyText"/>
      </w:pPr>
      <w:r>
        <w:t xml:space="preserve">The </w:t>
      </w:r>
      <w:r w:rsidR="00586219">
        <w:t>flex</w:t>
      </w:r>
      <w:r>
        <w:t xml:space="preserve">-only floor (no spatial migration at all) is FLEX_FRAC × S1 = 0.25 × 0.70 = 17.5%. </w:t>
      </w:r>
      <w:r w:rsidR="004813BA">
        <w:t>We assume t</w:t>
      </w:r>
      <w:r>
        <w:t>his is the minimum commitment depth achievable by any inference-dominant facility through local power management alone, without any spatial migration.</w:t>
      </w:r>
    </w:p>
    <w:p w14:paraId="509F8E5B" w14:textId="77777777" w:rsidR="005C00BD" w:rsidRPr="004D33B4" w:rsidRDefault="00000000" w:rsidP="004D33B4">
      <w:pPr>
        <w:rPr>
          <w:b/>
          <w:bCs/>
        </w:rPr>
      </w:pPr>
      <w:bookmarkStart w:id="3" w:name="analysis-scope"/>
      <w:bookmarkEnd w:id="2"/>
      <w:r w:rsidRPr="004D33B4">
        <w:rPr>
          <w:b/>
          <w:bCs/>
        </w:rPr>
        <w:t>Analysis Scope</w:t>
      </w:r>
    </w:p>
    <w:p w14:paraId="509F8E5C" w14:textId="403EF454" w:rsidR="005C00BD" w:rsidRDefault="00000000">
      <w:pPr>
        <w:pStyle w:val="FirstParagraph"/>
      </w:pPr>
      <w:r>
        <w:t xml:space="preserve">The cascade is scoped to </w:t>
      </w:r>
      <w:r w:rsidRPr="004D33B4">
        <w:t>inference-dominant facilities</w:t>
      </w:r>
      <w:r>
        <w:t xml:space="preserve"> (S1 = 0.70 fixed).</w:t>
      </w:r>
      <w:r w:rsidR="004813BA">
        <w:t xml:space="preserve"> We choose to treat </w:t>
      </w:r>
      <w:r>
        <w:t xml:space="preserve">S1 </w:t>
      </w:r>
      <w:r w:rsidR="004813BA">
        <w:t>as</w:t>
      </w:r>
      <w:r>
        <w:t xml:space="preserve"> a scope-defining parameter, not a stochastic variable</w:t>
      </w:r>
      <w:r w:rsidR="004813BA">
        <w:t>,</w:t>
      </w:r>
      <w:r>
        <w:t xml:space="preserve"> </w:t>
      </w:r>
      <w:r w:rsidR="004813BA">
        <w:t>therefore</w:t>
      </w:r>
      <w:r>
        <w:t xml:space="preserve"> h</w:t>
      </w:r>
      <w:r w:rsidR="004813BA">
        <w:t>o</w:t>
      </w:r>
      <w:r>
        <w:t xml:space="preserve">ld </w:t>
      </w:r>
      <w:r w:rsidR="004813BA">
        <w:t xml:space="preserve">S1 </w:t>
      </w:r>
      <w:r>
        <w:t>fixed</w:t>
      </w:r>
      <w:r w:rsidR="004813BA">
        <w:t xml:space="preserve">. Our decision to limit the scope of this research to inference dominant facilities was made under the following </w:t>
      </w:r>
      <w:r>
        <w:t>rationale:</w:t>
      </w:r>
    </w:p>
    <w:p w14:paraId="509F8E5D" w14:textId="1F1204B8" w:rsidR="005C00BD" w:rsidRDefault="00C46C5B">
      <w:pPr>
        <w:pStyle w:val="Compact"/>
        <w:numPr>
          <w:ilvl w:val="0"/>
          <w:numId w:val="3"/>
        </w:numPr>
      </w:pPr>
      <w:r w:rsidRPr="00C46C5B">
        <w:t xml:space="preserve">Inference is the fastest-growing segment of data center compute, with McKinsey's base case projecting 35% CAGR through 2030 (~21 GW in 2025 to ~93 GW in 2030), though the same analysis flags a downside scenario of 4–7% CAGR under stronger efficiency gains (McKinsey, December 2025). Inference-dominant facilities are therefore </w:t>
      </w:r>
      <w:proofErr w:type="gramStart"/>
      <w:r w:rsidRPr="00C46C5B">
        <w:t>the likely</w:t>
      </w:r>
      <w:proofErr w:type="gramEnd"/>
      <w:r w:rsidRPr="00C46C5B">
        <w:t xml:space="preserve"> marginal participants in any DR program</w:t>
      </w:r>
      <w:r>
        <w:t>.</w:t>
      </w:r>
      <w:r w:rsidR="00AB1883">
        <w:rPr>
          <w:rStyle w:val="FootnoteReference"/>
        </w:rPr>
        <w:footnoteReference w:id="2"/>
      </w:r>
    </w:p>
    <w:p w14:paraId="509F8E5E" w14:textId="77777777" w:rsidR="005C00BD" w:rsidRPr="004813BA" w:rsidRDefault="00000000">
      <w:pPr>
        <w:pStyle w:val="Compact"/>
        <w:numPr>
          <w:ilvl w:val="0"/>
          <w:numId w:val="3"/>
        </w:numPr>
      </w:pPr>
      <w:r w:rsidRPr="004813BA">
        <w:lastRenderedPageBreak/>
        <w:t>The empirical grounding (production traces, published measurements) is strongest for inference workloads.</w:t>
      </w:r>
    </w:p>
    <w:p w14:paraId="509F8E61" w14:textId="388A3AD1" w:rsidR="005C00BD" w:rsidRDefault="00000000" w:rsidP="00142361">
      <w:pPr>
        <w:pStyle w:val="FirstParagraph"/>
        <w:pBdr>
          <w:bottom w:val="single" w:sz="12" w:space="1" w:color="auto"/>
        </w:pBdr>
      </w:pPr>
      <w:r>
        <w:t>Composition uncertainty across facility archetypes (inference-dominant vs. training-heavy vs. mixed) is not modeled in the current framework. If participation is driven by regulatory mandate rather than voluntary optimization, a broader mix of facility types would participate and S1 would need to be treated as a stochastic parameter with its own distribution.</w:t>
      </w:r>
    </w:p>
    <w:p w14:paraId="509F8E62" w14:textId="511FF01F" w:rsidR="005C00BD" w:rsidRPr="004D33B4" w:rsidRDefault="001E6CC4" w:rsidP="004D33B4">
      <w:pPr>
        <w:rPr>
          <w:b/>
          <w:bCs/>
          <w:sz w:val="28"/>
          <w:szCs w:val="28"/>
        </w:rPr>
      </w:pPr>
      <w:bookmarkStart w:id="4" w:name="source-side-parameters"/>
      <w:bookmarkEnd w:id="1"/>
      <w:bookmarkEnd w:id="3"/>
      <w:r>
        <w:rPr>
          <w:b/>
          <w:bCs/>
          <w:noProof/>
          <w:sz w:val="28"/>
          <w:szCs w:val="28"/>
        </w:rPr>
        <mc:AlternateContent>
          <mc:Choice Requires="wps">
            <w:drawing>
              <wp:anchor distT="0" distB="0" distL="114300" distR="114300" simplePos="0" relativeHeight="251659264" behindDoc="0" locked="0" layoutInCell="1" allowOverlap="1" wp14:anchorId="514BA3C9" wp14:editId="14467EDA">
                <wp:simplePos x="0" y="0"/>
                <wp:positionH relativeFrom="column">
                  <wp:posOffset>-46759</wp:posOffset>
                </wp:positionH>
                <wp:positionV relativeFrom="paragraph">
                  <wp:posOffset>312305</wp:posOffset>
                </wp:positionV>
                <wp:extent cx="5995554" cy="2343150"/>
                <wp:effectExtent l="0" t="0" r="24765" b="19050"/>
                <wp:wrapNone/>
                <wp:docPr id="788312165" name="Rectangle 1"/>
                <wp:cNvGraphicFramePr/>
                <a:graphic xmlns:a="http://schemas.openxmlformats.org/drawingml/2006/main">
                  <a:graphicData uri="http://schemas.microsoft.com/office/word/2010/wordprocessingShape">
                    <wps:wsp>
                      <wps:cNvSpPr/>
                      <wps:spPr>
                        <a:xfrm>
                          <a:off x="0" y="0"/>
                          <a:ext cx="5995554" cy="234315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AFA1EC" id="Rectangle 1" o:spid="_x0000_s1026" style="position:absolute;margin-left:-3.7pt;margin-top:24.6pt;width:472.1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" filled="f" strokecolor="black [3200]" strokeweight="2pt"/>
            </w:pict>
          </mc:Fallback>
        </mc:AlternateContent>
      </w:r>
      <w:r w:rsidR="00000000" w:rsidRPr="004D33B4">
        <w:rPr>
          <w:b/>
          <w:bCs/>
          <w:sz w:val="28"/>
          <w:szCs w:val="28"/>
        </w:rPr>
        <w:t>2. Source-Side Parameters</w:t>
      </w:r>
    </w:p>
    <w:p w14:paraId="509F8E63" w14:textId="02EF2EE4" w:rsidR="005C00BD" w:rsidRPr="004D33B4" w:rsidRDefault="00000000" w:rsidP="004D33B4">
      <w:pPr>
        <w:rPr>
          <w:b/>
          <w:bCs/>
        </w:rPr>
      </w:pPr>
      <w:bookmarkStart w:id="5" w:name="s1-workload-candidacy"/>
      <w:r w:rsidRPr="004D33B4">
        <w:rPr>
          <w:b/>
          <w:bCs/>
        </w:rPr>
        <w:t>S1: Workload Candidacy</w:t>
      </w:r>
    </w:p>
    <w:tbl>
      <w:tblPr>
        <w:tblStyle w:val="Table"/>
        <w:tblW w:w="8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14"/>
        <w:gridCol w:w="4793"/>
      </w:tblGrid>
      <w:tr w:rsidR="005C00BD" w14:paraId="509F8E66" w14:textId="77777777" w:rsidTr="001E6CC4">
        <w:trPr>
          <w:cnfStyle w:val="100000000000" w:firstRow="1" w:lastRow="0" w:firstColumn="0" w:lastColumn="0" w:oddVBand="0" w:evenVBand="0" w:oddHBand="0" w:evenHBand="0" w:firstRowFirstColumn="0" w:firstRowLastColumn="0" w:lastRowFirstColumn="0" w:lastRowLastColumn="0"/>
          <w:trHeight w:val="356"/>
          <w:tblHeader/>
        </w:trPr>
        <w:tc>
          <w:tcPr>
            <w:tcW w:w="0" w:type="auto"/>
            <w:tcBorders>
              <w:bottom w:val="none" w:sz="0" w:space="0" w:color="auto"/>
            </w:tcBorders>
          </w:tcPr>
          <w:p w14:paraId="509F8E64" w14:textId="77777777" w:rsidR="005C00BD" w:rsidRDefault="00000000">
            <w:pPr>
              <w:pStyle w:val="Compact"/>
            </w:pPr>
            <w:r>
              <w:t>Attribute</w:t>
            </w:r>
          </w:p>
        </w:tc>
        <w:tc>
          <w:tcPr>
            <w:tcW w:w="0" w:type="auto"/>
            <w:tcBorders>
              <w:bottom w:val="none" w:sz="0" w:space="0" w:color="auto"/>
            </w:tcBorders>
          </w:tcPr>
          <w:p w14:paraId="509F8E65" w14:textId="77777777" w:rsidR="005C00BD" w:rsidRDefault="00000000">
            <w:pPr>
              <w:pStyle w:val="Compact"/>
            </w:pPr>
            <w:r>
              <w:t>Value</w:t>
            </w:r>
          </w:p>
        </w:tc>
      </w:tr>
      <w:tr w:rsidR="005C00BD" w14:paraId="509F8E69" w14:textId="77777777" w:rsidTr="001E6CC4">
        <w:trPr>
          <w:trHeight w:val="364"/>
        </w:trPr>
        <w:tc>
          <w:tcPr>
            <w:tcW w:w="0" w:type="auto"/>
          </w:tcPr>
          <w:p w14:paraId="509F8E67" w14:textId="77777777" w:rsidR="005C00BD" w:rsidRDefault="00000000">
            <w:pPr>
              <w:pStyle w:val="Compact"/>
            </w:pPr>
            <w:r>
              <w:t>Central value</w:t>
            </w:r>
          </w:p>
        </w:tc>
        <w:tc>
          <w:tcPr>
            <w:tcW w:w="0" w:type="auto"/>
          </w:tcPr>
          <w:p w14:paraId="509F8E68" w14:textId="77777777" w:rsidR="005C00BD" w:rsidRDefault="00000000">
            <w:pPr>
              <w:pStyle w:val="Compact"/>
            </w:pPr>
            <w:r>
              <w:t>0.70 (fixed)</w:t>
            </w:r>
          </w:p>
        </w:tc>
      </w:tr>
      <w:tr w:rsidR="005C00BD" w14:paraId="509F8E6C" w14:textId="77777777" w:rsidTr="001E6CC4">
        <w:trPr>
          <w:trHeight w:val="356"/>
        </w:trPr>
        <w:tc>
          <w:tcPr>
            <w:tcW w:w="0" w:type="auto"/>
          </w:tcPr>
          <w:p w14:paraId="509F8E6A" w14:textId="77777777" w:rsidR="005C00BD" w:rsidRDefault="00000000">
            <w:pPr>
              <w:pStyle w:val="Compact"/>
            </w:pPr>
            <w:r>
              <w:t>Range</w:t>
            </w:r>
          </w:p>
        </w:tc>
        <w:tc>
          <w:tcPr>
            <w:tcW w:w="0" w:type="auto"/>
          </w:tcPr>
          <w:p w14:paraId="509F8E6B" w14:textId="77777777" w:rsidR="005C00BD" w:rsidRDefault="00000000">
            <w:pPr>
              <w:pStyle w:val="Compact"/>
            </w:pPr>
            <w:r>
              <w:t>Not drawn; scope-defining</w:t>
            </w:r>
          </w:p>
        </w:tc>
      </w:tr>
      <w:tr w:rsidR="005C00BD" w14:paraId="509F8E6F" w14:textId="77777777" w:rsidTr="001E6CC4">
        <w:trPr>
          <w:trHeight w:val="364"/>
        </w:trPr>
        <w:tc>
          <w:tcPr>
            <w:tcW w:w="0" w:type="auto"/>
          </w:tcPr>
          <w:p w14:paraId="509F8E6D" w14:textId="77777777" w:rsidR="005C00BD" w:rsidRDefault="00000000">
            <w:pPr>
              <w:pStyle w:val="Compact"/>
            </w:pPr>
            <w:r>
              <w:t>Grounding quality</w:t>
            </w:r>
          </w:p>
        </w:tc>
        <w:tc>
          <w:tcPr>
            <w:tcW w:w="0" w:type="auto"/>
          </w:tcPr>
          <w:p w14:paraId="509F8E6E" w14:textId="77777777" w:rsidR="005C00BD" w:rsidRDefault="00000000">
            <w:pPr>
              <w:pStyle w:val="Compact"/>
            </w:pPr>
            <w:r>
              <w:t>STRUCTURAL</w:t>
            </w:r>
          </w:p>
        </w:tc>
      </w:tr>
      <w:tr w:rsidR="005C00BD" w14:paraId="509F8E72" w14:textId="77777777" w:rsidTr="001E6CC4">
        <w:trPr>
          <w:trHeight w:val="356"/>
        </w:trPr>
        <w:tc>
          <w:tcPr>
            <w:tcW w:w="0" w:type="auto"/>
          </w:tcPr>
          <w:p w14:paraId="509F8E70" w14:textId="77777777" w:rsidR="005C00BD" w:rsidRDefault="00000000">
            <w:pPr>
              <w:pStyle w:val="Compact"/>
            </w:pPr>
            <w:r>
              <w:t>Variance contribution</w:t>
            </w:r>
          </w:p>
        </w:tc>
        <w:tc>
          <w:tcPr>
            <w:tcW w:w="0" w:type="auto"/>
          </w:tcPr>
          <w:p w14:paraId="509F8E71" w14:textId="77777777" w:rsidR="005C00BD" w:rsidRDefault="00000000">
            <w:pPr>
              <w:pStyle w:val="Compact"/>
            </w:pPr>
            <w:r>
              <w:t>0% (fixed)</w:t>
            </w:r>
          </w:p>
        </w:tc>
      </w:tr>
    </w:tbl>
    <w:p w14:paraId="3CE689A3" w14:textId="2F1CEA59" w:rsidR="001E6CC4" w:rsidRDefault="00142361" w:rsidP="001E6CC4">
      <w:pPr>
        <w:rPr>
          <w:i/>
          <w:iCs/>
        </w:rPr>
      </w:pPr>
      <w:bookmarkStart w:id="6" w:name="what-s1-measures"/>
      <w:r>
        <w:rPr>
          <w:i/>
          <w:iCs/>
        </w:rPr>
        <w:br/>
      </w:r>
      <w:r w:rsidR="00000000">
        <w:t xml:space="preserve">S1 answers: </w:t>
      </w:r>
      <w:r w:rsidR="00000000">
        <w:rPr>
          <w:i/>
          <w:iCs/>
        </w:rPr>
        <w:t xml:space="preserve">of the </w:t>
      </w:r>
      <w:proofErr w:type="gramStart"/>
      <w:r w:rsidR="00000000">
        <w:rPr>
          <w:i/>
          <w:iCs/>
        </w:rPr>
        <w:t>compute</w:t>
      </w:r>
      <w:proofErr w:type="gramEnd"/>
      <w:r w:rsidR="00000000">
        <w:rPr>
          <w:i/>
          <w:iCs/>
        </w:rPr>
        <w:t xml:space="preserve"> running at a facility, what fraction is a workload type architecturally capable of spatial migration?</w:t>
      </w:r>
    </w:p>
    <w:p w14:paraId="4035B5CC" w14:textId="77777777" w:rsidR="001E6CC4" w:rsidRDefault="001E6CC4" w:rsidP="001E6CC4">
      <w:pPr>
        <w:pStyle w:val="FirstParagraph"/>
        <w:pBdr>
          <w:bottom w:val="single" w:sz="12" w:space="1" w:color="auto"/>
        </w:pBdr>
      </w:pPr>
    </w:p>
    <w:p w14:paraId="509F8E75" w14:textId="03571E65" w:rsidR="005C00BD" w:rsidRDefault="00000000" w:rsidP="001E6CC4">
      <w:pPr>
        <w:pStyle w:val="FirstParagraph"/>
        <w:pBdr>
          <w:bottom w:val="single" w:sz="12" w:space="1" w:color="auto"/>
        </w:pBdr>
      </w:pPr>
      <w:r>
        <w:t xml:space="preserve">S1 is a classification parameter. It selects the inference-eligible share of facility compute; all subsequent cascade parameters (S2 through E2) apply exclusively to this selected fraction. S1 does not assess whether a specific workload instance will </w:t>
      </w:r>
      <w:proofErr w:type="gramStart"/>
      <w:r>
        <w:t>actually execute</w:t>
      </w:r>
      <w:proofErr w:type="gramEnd"/>
      <w:r>
        <w:t xml:space="preserve"> migration — that is captured by S2 through E2.</w:t>
      </w:r>
    </w:p>
    <w:p w14:paraId="509F8E76" w14:textId="77777777" w:rsidR="005C00BD" w:rsidRPr="00142361" w:rsidRDefault="00000000" w:rsidP="00142361">
      <w:pPr>
        <w:rPr>
          <w:i/>
          <w:iCs/>
        </w:rPr>
      </w:pPr>
      <w:bookmarkStart w:id="7" w:name="ai-era-workload-composition"/>
      <w:bookmarkEnd w:id="6"/>
      <w:r w:rsidRPr="00142361">
        <w:rPr>
          <w:i/>
          <w:iCs/>
        </w:rPr>
        <w:t>AI-Era Workload Composition</w:t>
      </w:r>
    </w:p>
    <w:p w14:paraId="509F8E77" w14:textId="77777777" w:rsidR="005C00BD" w:rsidRDefault="00000000">
      <w:pPr>
        <w:pStyle w:val="FirstParagraph"/>
      </w:pPr>
      <w:r>
        <w:t>The workload composition of modern data centers has shifted dramatically toward inference, which has fundamentally different flexibility characteristics than traditional batch computing.</w:t>
      </w:r>
    </w:p>
    <w:p w14:paraId="509F8E78" w14:textId="77777777" w:rsidR="005C00BD" w:rsidRDefault="00000000">
      <w:pPr>
        <w:pStyle w:val="BodyText"/>
      </w:pPr>
      <w:r>
        <w:rPr>
          <w:b/>
          <w:bCs/>
        </w:rPr>
        <w:t>McKinsey Data Center Demand Model (December 2025):</w:t>
      </w:r>
    </w:p>
    <w:tbl>
      <w:tblPr>
        <w:tblStyle w:val="Table"/>
        <w:tblW w:w="0" w:type="auto"/>
        <w:tblLook w:val="0020" w:firstRow="1" w:lastRow="0" w:firstColumn="0" w:lastColumn="0" w:noHBand="0" w:noVBand="0"/>
      </w:tblPr>
      <w:tblGrid>
        <w:gridCol w:w="2290"/>
        <w:gridCol w:w="1552"/>
        <w:gridCol w:w="1795"/>
        <w:gridCol w:w="1699"/>
        <w:gridCol w:w="1354"/>
      </w:tblGrid>
      <w:tr w:rsidR="005C00BD" w14:paraId="509F8E7E" w14:textId="77777777" w:rsidTr="001E6CC4">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left w:val="single" w:sz="4" w:space="0" w:color="auto"/>
              <w:bottom w:val="single" w:sz="4" w:space="0" w:color="auto"/>
              <w:right w:val="single" w:sz="4" w:space="0" w:color="auto"/>
            </w:tcBorders>
          </w:tcPr>
          <w:p w14:paraId="509F8E79" w14:textId="77777777" w:rsidR="005C00BD" w:rsidRDefault="00000000">
            <w:pPr>
              <w:pStyle w:val="Compact"/>
            </w:pPr>
            <w:r>
              <w:t>Year</w:t>
            </w:r>
          </w:p>
        </w:tc>
        <w:tc>
          <w:tcPr>
            <w:tcW w:w="0" w:type="auto"/>
            <w:tcBorders>
              <w:top w:val="single" w:sz="4" w:space="0" w:color="auto"/>
              <w:left w:val="single" w:sz="4" w:space="0" w:color="auto"/>
              <w:bottom w:val="single" w:sz="4" w:space="0" w:color="auto"/>
              <w:right w:val="single" w:sz="4" w:space="0" w:color="auto"/>
            </w:tcBorders>
          </w:tcPr>
          <w:p w14:paraId="509F8E7A" w14:textId="77777777" w:rsidR="005C00BD" w:rsidRDefault="00000000">
            <w:pPr>
              <w:pStyle w:val="Compact"/>
            </w:pPr>
            <w:r>
              <w:t>Non-AI (GW)</w:t>
            </w:r>
          </w:p>
        </w:tc>
        <w:tc>
          <w:tcPr>
            <w:tcW w:w="0" w:type="auto"/>
            <w:tcBorders>
              <w:top w:val="single" w:sz="4" w:space="0" w:color="auto"/>
              <w:left w:val="single" w:sz="4" w:space="0" w:color="auto"/>
              <w:bottom w:val="single" w:sz="4" w:space="0" w:color="auto"/>
              <w:right w:val="single" w:sz="4" w:space="0" w:color="auto"/>
            </w:tcBorders>
          </w:tcPr>
          <w:p w14:paraId="509F8E7B" w14:textId="77777777" w:rsidR="005C00BD" w:rsidRDefault="00000000">
            <w:pPr>
              <w:pStyle w:val="Compact"/>
            </w:pPr>
            <w:r>
              <w:t>Inference (GW)</w:t>
            </w:r>
          </w:p>
        </w:tc>
        <w:tc>
          <w:tcPr>
            <w:tcW w:w="0" w:type="auto"/>
            <w:tcBorders>
              <w:top w:val="single" w:sz="4" w:space="0" w:color="auto"/>
              <w:left w:val="single" w:sz="4" w:space="0" w:color="auto"/>
              <w:bottom w:val="single" w:sz="4" w:space="0" w:color="auto"/>
              <w:right w:val="single" w:sz="4" w:space="0" w:color="auto"/>
            </w:tcBorders>
          </w:tcPr>
          <w:p w14:paraId="509F8E7C" w14:textId="77777777" w:rsidR="005C00BD" w:rsidRDefault="00000000">
            <w:pPr>
              <w:pStyle w:val="Compact"/>
            </w:pPr>
            <w:r>
              <w:t>Training (GW)</w:t>
            </w:r>
          </w:p>
        </w:tc>
        <w:tc>
          <w:tcPr>
            <w:tcW w:w="0" w:type="auto"/>
            <w:tcBorders>
              <w:top w:val="single" w:sz="4" w:space="0" w:color="auto"/>
              <w:left w:val="single" w:sz="4" w:space="0" w:color="auto"/>
              <w:bottom w:val="single" w:sz="4" w:space="0" w:color="auto"/>
              <w:right w:val="single" w:sz="4" w:space="0" w:color="auto"/>
            </w:tcBorders>
          </w:tcPr>
          <w:p w14:paraId="509F8E7D" w14:textId="77777777" w:rsidR="005C00BD" w:rsidRDefault="00000000">
            <w:pPr>
              <w:pStyle w:val="Compact"/>
            </w:pPr>
            <w:r>
              <w:t>Total (GW)</w:t>
            </w:r>
          </w:p>
        </w:tc>
      </w:tr>
      <w:tr w:rsidR="005C00BD" w14:paraId="509F8E84" w14:textId="77777777" w:rsidTr="001E6CC4">
        <w:tc>
          <w:tcPr>
            <w:tcW w:w="0" w:type="auto"/>
            <w:tcBorders>
              <w:top w:val="single" w:sz="4" w:space="0" w:color="auto"/>
              <w:left w:val="single" w:sz="4" w:space="0" w:color="auto"/>
              <w:bottom w:val="single" w:sz="4" w:space="0" w:color="auto"/>
              <w:right w:val="single" w:sz="4" w:space="0" w:color="auto"/>
            </w:tcBorders>
          </w:tcPr>
          <w:p w14:paraId="509F8E7F" w14:textId="77777777" w:rsidR="005C00BD" w:rsidRDefault="00000000">
            <w:pPr>
              <w:pStyle w:val="Compact"/>
            </w:pPr>
            <w:r>
              <w:t>2025</w:t>
            </w:r>
          </w:p>
        </w:tc>
        <w:tc>
          <w:tcPr>
            <w:tcW w:w="0" w:type="auto"/>
            <w:tcBorders>
              <w:top w:val="single" w:sz="4" w:space="0" w:color="auto"/>
              <w:left w:val="single" w:sz="4" w:space="0" w:color="auto"/>
              <w:bottom w:val="single" w:sz="4" w:space="0" w:color="auto"/>
              <w:right w:val="single" w:sz="4" w:space="0" w:color="auto"/>
            </w:tcBorders>
          </w:tcPr>
          <w:p w14:paraId="509F8E80" w14:textId="77777777" w:rsidR="005C00BD" w:rsidRDefault="00000000">
            <w:pPr>
              <w:pStyle w:val="Compact"/>
            </w:pPr>
            <w:r>
              <w:t>38.3 (47%)</w:t>
            </w:r>
          </w:p>
        </w:tc>
        <w:tc>
          <w:tcPr>
            <w:tcW w:w="0" w:type="auto"/>
            <w:tcBorders>
              <w:top w:val="single" w:sz="4" w:space="0" w:color="auto"/>
              <w:left w:val="single" w:sz="4" w:space="0" w:color="auto"/>
              <w:bottom w:val="single" w:sz="4" w:space="0" w:color="auto"/>
              <w:right w:val="single" w:sz="4" w:space="0" w:color="auto"/>
            </w:tcBorders>
          </w:tcPr>
          <w:p w14:paraId="509F8E81" w14:textId="77777777" w:rsidR="005C00BD" w:rsidRDefault="00000000">
            <w:pPr>
              <w:pStyle w:val="Compact"/>
            </w:pPr>
            <w:r>
              <w:t>20.9 (25%)</w:t>
            </w:r>
          </w:p>
        </w:tc>
        <w:tc>
          <w:tcPr>
            <w:tcW w:w="0" w:type="auto"/>
            <w:tcBorders>
              <w:top w:val="single" w:sz="4" w:space="0" w:color="auto"/>
              <w:left w:val="single" w:sz="4" w:space="0" w:color="auto"/>
              <w:bottom w:val="single" w:sz="4" w:space="0" w:color="auto"/>
              <w:right w:val="single" w:sz="4" w:space="0" w:color="auto"/>
            </w:tcBorders>
          </w:tcPr>
          <w:p w14:paraId="509F8E82" w14:textId="77777777" w:rsidR="005C00BD" w:rsidRDefault="00000000">
            <w:pPr>
              <w:pStyle w:val="Compact"/>
            </w:pPr>
            <w:r>
              <w:t>23.1 (28%)</w:t>
            </w:r>
          </w:p>
        </w:tc>
        <w:tc>
          <w:tcPr>
            <w:tcW w:w="0" w:type="auto"/>
            <w:tcBorders>
              <w:top w:val="single" w:sz="4" w:space="0" w:color="auto"/>
              <w:left w:val="single" w:sz="4" w:space="0" w:color="auto"/>
              <w:bottom w:val="single" w:sz="4" w:space="0" w:color="auto"/>
              <w:right w:val="single" w:sz="4" w:space="0" w:color="auto"/>
            </w:tcBorders>
          </w:tcPr>
          <w:p w14:paraId="509F8E83" w14:textId="77777777" w:rsidR="005C00BD" w:rsidRDefault="00000000">
            <w:pPr>
              <w:pStyle w:val="Compact"/>
            </w:pPr>
            <w:r>
              <w:t>82.3</w:t>
            </w:r>
          </w:p>
        </w:tc>
      </w:tr>
      <w:tr w:rsidR="005C00BD" w14:paraId="509F8E8A" w14:textId="77777777" w:rsidTr="001E6CC4">
        <w:tc>
          <w:tcPr>
            <w:tcW w:w="0" w:type="auto"/>
            <w:tcBorders>
              <w:top w:val="single" w:sz="4" w:space="0" w:color="auto"/>
              <w:left w:val="single" w:sz="4" w:space="0" w:color="auto"/>
              <w:bottom w:val="single" w:sz="4" w:space="0" w:color="auto"/>
              <w:right w:val="single" w:sz="4" w:space="0" w:color="auto"/>
            </w:tcBorders>
          </w:tcPr>
          <w:p w14:paraId="509F8E85" w14:textId="77777777" w:rsidR="005C00BD" w:rsidRDefault="00000000">
            <w:pPr>
              <w:pStyle w:val="Compact"/>
            </w:pPr>
            <w:r>
              <w:t>2027 (extrapolated)</w:t>
            </w:r>
          </w:p>
        </w:tc>
        <w:tc>
          <w:tcPr>
            <w:tcW w:w="0" w:type="auto"/>
            <w:tcBorders>
              <w:top w:val="single" w:sz="4" w:space="0" w:color="auto"/>
              <w:left w:val="single" w:sz="4" w:space="0" w:color="auto"/>
              <w:bottom w:val="single" w:sz="4" w:space="0" w:color="auto"/>
              <w:right w:val="single" w:sz="4" w:space="0" w:color="auto"/>
            </w:tcBorders>
          </w:tcPr>
          <w:p w14:paraId="509F8E86" w14:textId="77777777" w:rsidR="005C00BD" w:rsidRDefault="00000000">
            <w:pPr>
              <w:pStyle w:val="Compact"/>
            </w:pPr>
            <w:r>
              <w:t>~47 (38%)</w:t>
            </w:r>
          </w:p>
        </w:tc>
        <w:tc>
          <w:tcPr>
            <w:tcW w:w="0" w:type="auto"/>
            <w:tcBorders>
              <w:top w:val="single" w:sz="4" w:space="0" w:color="auto"/>
              <w:left w:val="single" w:sz="4" w:space="0" w:color="auto"/>
              <w:bottom w:val="single" w:sz="4" w:space="0" w:color="auto"/>
              <w:right w:val="single" w:sz="4" w:space="0" w:color="auto"/>
            </w:tcBorders>
          </w:tcPr>
          <w:p w14:paraId="509F8E87" w14:textId="77777777" w:rsidR="005C00BD" w:rsidRDefault="00000000">
            <w:pPr>
              <w:pStyle w:val="Compact"/>
            </w:pPr>
            <w:r>
              <w:t>~45 (36%)</w:t>
            </w:r>
          </w:p>
        </w:tc>
        <w:tc>
          <w:tcPr>
            <w:tcW w:w="0" w:type="auto"/>
            <w:tcBorders>
              <w:top w:val="single" w:sz="4" w:space="0" w:color="auto"/>
              <w:left w:val="single" w:sz="4" w:space="0" w:color="auto"/>
              <w:bottom w:val="single" w:sz="4" w:space="0" w:color="auto"/>
              <w:right w:val="single" w:sz="4" w:space="0" w:color="auto"/>
            </w:tcBorders>
          </w:tcPr>
          <w:p w14:paraId="509F8E88" w14:textId="77777777" w:rsidR="005C00BD" w:rsidRDefault="00000000">
            <w:pPr>
              <w:pStyle w:val="Compact"/>
            </w:pPr>
            <w:r>
              <w:t>~33 (26%)</w:t>
            </w:r>
          </w:p>
        </w:tc>
        <w:tc>
          <w:tcPr>
            <w:tcW w:w="0" w:type="auto"/>
            <w:tcBorders>
              <w:top w:val="single" w:sz="4" w:space="0" w:color="auto"/>
              <w:left w:val="single" w:sz="4" w:space="0" w:color="auto"/>
              <w:bottom w:val="single" w:sz="4" w:space="0" w:color="auto"/>
              <w:right w:val="single" w:sz="4" w:space="0" w:color="auto"/>
            </w:tcBorders>
          </w:tcPr>
          <w:p w14:paraId="509F8E89" w14:textId="77777777" w:rsidR="005C00BD" w:rsidRDefault="00000000">
            <w:pPr>
              <w:pStyle w:val="Compact"/>
            </w:pPr>
            <w:r>
              <w:t>~125</w:t>
            </w:r>
          </w:p>
        </w:tc>
      </w:tr>
      <w:tr w:rsidR="005C00BD" w14:paraId="509F8E90" w14:textId="77777777" w:rsidTr="001E6CC4">
        <w:tc>
          <w:tcPr>
            <w:tcW w:w="0" w:type="auto"/>
            <w:tcBorders>
              <w:top w:val="single" w:sz="4" w:space="0" w:color="auto"/>
              <w:left w:val="single" w:sz="4" w:space="0" w:color="auto"/>
              <w:bottom w:val="single" w:sz="4" w:space="0" w:color="auto"/>
              <w:right w:val="single" w:sz="4" w:space="0" w:color="auto"/>
            </w:tcBorders>
          </w:tcPr>
          <w:p w14:paraId="509F8E8B" w14:textId="77777777" w:rsidR="005C00BD" w:rsidRDefault="00000000">
            <w:pPr>
              <w:pStyle w:val="Compact"/>
            </w:pPr>
            <w:r>
              <w:t>2030</w:t>
            </w:r>
          </w:p>
        </w:tc>
        <w:tc>
          <w:tcPr>
            <w:tcW w:w="0" w:type="auto"/>
            <w:tcBorders>
              <w:top w:val="single" w:sz="4" w:space="0" w:color="auto"/>
              <w:left w:val="single" w:sz="4" w:space="0" w:color="auto"/>
              <w:bottom w:val="single" w:sz="4" w:space="0" w:color="auto"/>
              <w:right w:val="single" w:sz="4" w:space="0" w:color="auto"/>
            </w:tcBorders>
          </w:tcPr>
          <w:p w14:paraId="509F8E8C" w14:textId="77777777" w:rsidR="005C00BD" w:rsidRDefault="00000000">
            <w:pPr>
              <w:pStyle w:val="Compact"/>
            </w:pPr>
            <w:r>
              <w:t>63.5 (29%)</w:t>
            </w:r>
          </w:p>
        </w:tc>
        <w:tc>
          <w:tcPr>
            <w:tcW w:w="0" w:type="auto"/>
            <w:tcBorders>
              <w:top w:val="single" w:sz="4" w:space="0" w:color="auto"/>
              <w:left w:val="single" w:sz="4" w:space="0" w:color="auto"/>
              <w:bottom w:val="single" w:sz="4" w:space="0" w:color="auto"/>
              <w:right w:val="single" w:sz="4" w:space="0" w:color="auto"/>
            </w:tcBorders>
          </w:tcPr>
          <w:p w14:paraId="509F8E8D" w14:textId="77777777" w:rsidR="005C00BD" w:rsidRDefault="00000000">
            <w:pPr>
              <w:pStyle w:val="Compact"/>
            </w:pPr>
            <w:r>
              <w:t>93.3 (43%)</w:t>
            </w:r>
          </w:p>
        </w:tc>
        <w:tc>
          <w:tcPr>
            <w:tcW w:w="0" w:type="auto"/>
            <w:tcBorders>
              <w:top w:val="single" w:sz="4" w:space="0" w:color="auto"/>
              <w:left w:val="single" w:sz="4" w:space="0" w:color="auto"/>
              <w:bottom w:val="single" w:sz="4" w:space="0" w:color="auto"/>
              <w:right w:val="single" w:sz="4" w:space="0" w:color="auto"/>
            </w:tcBorders>
          </w:tcPr>
          <w:p w14:paraId="509F8E8E" w14:textId="77777777" w:rsidR="005C00BD" w:rsidRDefault="00000000">
            <w:pPr>
              <w:pStyle w:val="Compact"/>
            </w:pPr>
            <w:r>
              <w:t>62.2 (28%)</w:t>
            </w:r>
          </w:p>
        </w:tc>
        <w:tc>
          <w:tcPr>
            <w:tcW w:w="0" w:type="auto"/>
            <w:tcBorders>
              <w:top w:val="single" w:sz="4" w:space="0" w:color="auto"/>
              <w:left w:val="single" w:sz="4" w:space="0" w:color="auto"/>
              <w:bottom w:val="single" w:sz="4" w:space="0" w:color="auto"/>
              <w:right w:val="single" w:sz="4" w:space="0" w:color="auto"/>
            </w:tcBorders>
          </w:tcPr>
          <w:p w14:paraId="509F8E8F" w14:textId="77777777" w:rsidR="005C00BD" w:rsidRDefault="00000000">
            <w:pPr>
              <w:pStyle w:val="Compact"/>
            </w:pPr>
            <w:r>
              <w:t>219.0</w:t>
            </w:r>
          </w:p>
        </w:tc>
      </w:tr>
    </w:tbl>
    <w:p w14:paraId="4888C8EA" w14:textId="77777777" w:rsidR="00863F01" w:rsidRDefault="00863F01" w:rsidP="00142361">
      <w:pPr>
        <w:rPr>
          <w:i/>
          <w:iCs/>
        </w:rPr>
      </w:pPr>
      <w:bookmarkStart w:id="8" w:name="X19b2c2b65ff6a0b099f1c003177d5b01ca1c1ed"/>
      <w:bookmarkEnd w:id="7"/>
    </w:p>
    <w:p w14:paraId="3FB49CA0" w14:textId="763224D4" w:rsidR="00863F01" w:rsidRDefault="00863F01" w:rsidP="00142361">
      <w:r w:rsidRPr="00863F01">
        <w:t xml:space="preserve">Inference has become the dominant share of AI-related energy consumption. Measured over 2019–2021, inference accounted for approximately three-fifths of machine learning energy use at Google, with training accounting for the remaining two-fifths (Patterson et al., </w:t>
      </w:r>
      <w:r w:rsidRPr="00863F01">
        <w:lastRenderedPageBreak/>
        <w:t>2022). EPRI's synthesis across multiple sources further estimates that AI workload energy divides into model development (10%), training (30%), and inference (60%) at the aggregate industry level (</w:t>
      </w:r>
      <w:proofErr w:type="spellStart"/>
      <w:r w:rsidRPr="00863F01">
        <w:t>Aljbour</w:t>
      </w:r>
      <w:proofErr w:type="spellEnd"/>
      <w:r w:rsidRPr="00863F01">
        <w:t xml:space="preserve"> et al., 2024). Inference workloads exhibit distinct flexibility characteristics relative to training: request-level statelessness enables interruption and rerouting at sub-second timescales (see Azure trace analysis in §3), a property Google has operationalized through structured demand response agreements with TVA and Indiana Michigan Power targeting machine learning workloads (American Public Power Association, 2025).</w:t>
      </w:r>
    </w:p>
    <w:p w14:paraId="4D2FEF06" w14:textId="77777777" w:rsidR="00863F01" w:rsidRPr="00863F01" w:rsidRDefault="00863F01" w:rsidP="00142361"/>
    <w:p w14:paraId="509F8E92" w14:textId="42909518" w:rsidR="005C00BD" w:rsidRPr="00142361" w:rsidRDefault="00000000" w:rsidP="00142361">
      <w:pPr>
        <w:rPr>
          <w:i/>
          <w:iCs/>
        </w:rPr>
      </w:pPr>
      <w:r w:rsidRPr="00142361">
        <w:rPr>
          <w:i/>
          <w:iCs/>
        </w:rPr>
        <w:t>Workload Taxonomy and Flexibility Profiles</w:t>
      </w:r>
    </w:p>
    <w:p w14:paraId="509F8E93" w14:textId="77777777" w:rsidR="005C00BD" w:rsidRDefault="00000000">
      <w:pPr>
        <w:pStyle w:val="FirstParagraph"/>
      </w:pPr>
      <w:r>
        <w:t>Rather than estimating S1 as a single universal constant, we define workload-type-specific flexibility profiles and compose them based on facility workload mixes. Four workload categories are relevant:</w:t>
      </w:r>
    </w:p>
    <w:p w14:paraId="509F8E94" w14:textId="77777777" w:rsidR="005C00BD" w:rsidRDefault="00000000">
      <w:pPr>
        <w:pStyle w:val="BodyText"/>
      </w:pPr>
      <w:r>
        <w:rPr>
          <w:b/>
          <w:bCs/>
        </w:rPr>
        <w:t>A. AI Inference (Stateless/Near-Stateless) — Architectural Spatial Flexibility: HIGH (0.80–0.95)</w:t>
      </w:r>
    </w:p>
    <w:p w14:paraId="509F8E95" w14:textId="77777777" w:rsidR="005C00BD" w:rsidRDefault="00000000">
      <w:pPr>
        <w:pStyle w:val="BodyText"/>
      </w:pPr>
      <w:r>
        <w:t>Inference workloads are stateless at the request level: no persistent GPU state between requests, model weights loaded but not modified, KV-cache per-request and ephemeral.</w:t>
      </w:r>
    </w:p>
    <w:p w14:paraId="79883054" w14:textId="77777777" w:rsidR="0076489A" w:rsidRDefault="00000000">
      <w:pPr>
        <w:pStyle w:val="BodyText"/>
      </w:pPr>
      <w:r>
        <w:t xml:space="preserve">Key evidence: </w:t>
      </w:r>
    </w:p>
    <w:p w14:paraId="70139DEC" w14:textId="77777777" w:rsidR="0076489A" w:rsidRDefault="00000000" w:rsidP="0076489A">
      <w:pPr>
        <w:pStyle w:val="BodyText"/>
        <w:numPr>
          <w:ilvl w:val="0"/>
          <w:numId w:val="25"/>
        </w:numPr>
      </w:pPr>
      <w:r>
        <w:t xml:space="preserve">McKinsey (December 2025) characterizes inference as “highly </w:t>
      </w:r>
      <w:proofErr w:type="spellStart"/>
      <w:r>
        <w:t>atomizable</w:t>
      </w:r>
      <w:proofErr w:type="spellEnd"/>
      <w:r>
        <w:t xml:space="preserve"> — individual tasks can be handled independently — unlike training, which relies on large-scale, tightly synchronized GPU clusters.”</w:t>
      </w:r>
    </w:p>
    <w:p w14:paraId="439E6836" w14:textId="53F1BDDE" w:rsidR="0076489A" w:rsidRDefault="00F1308A" w:rsidP="0076489A">
      <w:pPr>
        <w:pStyle w:val="BodyText"/>
        <w:numPr>
          <w:ilvl w:val="0"/>
          <w:numId w:val="25"/>
        </w:numPr>
      </w:pPr>
      <w:proofErr w:type="spellStart"/>
      <w:r w:rsidRPr="00F1308A">
        <w:t>Splitwise</w:t>
      </w:r>
      <w:proofErr w:type="spellEnd"/>
      <w:r w:rsidRPr="00F1308A">
        <w:t xml:space="preserve"> (Patel et al., ISCA 2024) demonstrates that production inference workloads can be disaggregated across machines at sub-request granularity, with prompt-phase and token-generation-phase computation assigned to different hardware and coordinated via KV-cache transfer over a datacenter back-plane. </w:t>
      </w:r>
      <w:proofErr w:type="spellStart"/>
      <w:r w:rsidRPr="00F1308A">
        <w:t>DistServe</w:t>
      </w:r>
      <w:proofErr w:type="spellEnd"/>
      <w:r w:rsidRPr="00F1308A">
        <w:t xml:space="preserve"> (Zhong et al., OSDI 2024) extends this to placement-level optimization, providing published algorithms for assigning prefill and decoding computation across heterogeneous GPU resources based on cluster bandwidth. Mooncake (Qin et al., 2024), deployed at Moonshot AI to serve Kimi, implements </w:t>
      </w:r>
      <w:proofErr w:type="spellStart"/>
      <w:r w:rsidRPr="00F1308A">
        <w:t>KVCache</w:t>
      </w:r>
      <w:proofErr w:type="spellEnd"/>
      <w:r w:rsidRPr="00F1308A">
        <w:t xml:space="preserve">-centric scheduling with explicit predictive admission control for overload management in a production system. Together, these establish that treating inference compute as placement-flexible, with request-level dispatch decisions made at arrival by a global scheduler, is standard practice within a facility. Whole-request routing across facilities — decided at request arrival, operating on entire requests rather than sub-request phases, and requiring no inter-facility state transfer — is coarser along every axis that makes intra-facility scheduling difficult: granularity, decision frequency, and coordination overhead. The binding constraint shifts: cross-facility routing forgoes the prefix-cache reuse these systems exploit within a facility, which places a workload-dependent bound on the flexible fraction. Requests without meaningful cache-reuse potential — fresh queries, independent sessions, one-shot </w:t>
      </w:r>
      <w:r w:rsidRPr="00F1308A">
        <w:lastRenderedPageBreak/>
        <w:t xml:space="preserve">completions — are cleanly shiftable. Cache-warm traffic, particularly multi-turn conversations and workloads with shared long-context prefixes, carries an efficiency penalty from </w:t>
      </w:r>
      <w:proofErr w:type="spellStart"/>
      <w:r w:rsidRPr="00F1308A">
        <w:t>recomputation</w:t>
      </w:r>
      <w:proofErr w:type="spellEnd"/>
      <w:r w:rsidRPr="00F1308A">
        <w:t xml:space="preserve"> that must be weighed against grid-side gains. This partitions the inference workload rather than disqualifying it: the placement-flexible fraction is the portion where cache-reuse value is low relative to the spatial-flexibility value captured elsewhere in this analysis."</w:t>
      </w:r>
    </w:p>
    <w:p w14:paraId="1ECC1332" w14:textId="77777777" w:rsidR="0011104B" w:rsidRDefault="007430A6" w:rsidP="0011104B">
      <w:pPr>
        <w:pStyle w:val="BodyText"/>
        <w:numPr>
          <w:ilvl w:val="0"/>
          <w:numId w:val="25"/>
        </w:numPr>
      </w:pPr>
      <w:proofErr w:type="spellStart"/>
      <w:r>
        <w:t>SageServe</w:t>
      </w:r>
      <w:proofErr w:type="spellEnd"/>
      <w:r w:rsidR="00C3349A">
        <w:t>:</w:t>
      </w:r>
      <w:r>
        <w:t xml:space="preserve"> </w:t>
      </w:r>
      <w:r w:rsidR="00C3349A" w:rsidRPr="00C3349A">
        <w:t>Production traces from Microsoft O365 Copilot inference workloads (Jaiswal et al., 2025) exhibit strong diurnal periodicity for fast-interactive requests, with per-model periodicity scores ranging from 0.7 to 0.95 across regions, supporting the premise that foreground inference load is forecastable at hourly resolution.</w:t>
      </w:r>
      <w:r w:rsidR="0011104B">
        <w:t xml:space="preserve"> Potential framework:</w:t>
      </w:r>
    </w:p>
    <w:p w14:paraId="1D3F2DFF" w14:textId="77777777" w:rsidR="0011104B" w:rsidRPr="0011104B" w:rsidRDefault="0011104B" w:rsidP="0011104B">
      <w:pPr>
        <w:pStyle w:val="BodyText"/>
        <w:numPr>
          <w:ilvl w:val="1"/>
          <w:numId w:val="25"/>
        </w:numPr>
        <w:rPr>
          <w:i/>
          <w:iCs/>
        </w:rPr>
      </w:pPr>
      <w:r w:rsidRPr="0011104B">
        <w:rPr>
          <w:b/>
          <w:bCs/>
          <w:i/>
          <w:iCs/>
        </w:rPr>
        <w:t>IW-F:</w:t>
      </w:r>
      <w:r w:rsidRPr="0011104B">
        <w:rPr>
          <w:i/>
          <w:iCs/>
        </w:rPr>
        <w:t xml:space="preserve"> forecastable firm load; continental routing viable (demonstrated by </w:t>
      </w:r>
      <w:proofErr w:type="spellStart"/>
      <w:r w:rsidRPr="0011104B">
        <w:rPr>
          <w:i/>
          <w:iCs/>
        </w:rPr>
        <w:t>SageServe's</w:t>
      </w:r>
      <w:proofErr w:type="spellEnd"/>
      <w:r w:rsidRPr="0011104B">
        <w:rPr>
          <w:i/>
          <w:iCs/>
        </w:rPr>
        <w:t xml:space="preserve"> existing cross-region routing); not a dispatchable spatial resource at intercontinental scale. </w:t>
      </w:r>
    </w:p>
    <w:p w14:paraId="48531035" w14:textId="77777777" w:rsidR="0011104B" w:rsidRPr="0011104B" w:rsidRDefault="0011104B" w:rsidP="0011104B">
      <w:pPr>
        <w:pStyle w:val="BodyText"/>
        <w:numPr>
          <w:ilvl w:val="1"/>
          <w:numId w:val="25"/>
        </w:numPr>
        <w:rPr>
          <w:i/>
          <w:iCs/>
        </w:rPr>
      </w:pPr>
      <w:r w:rsidRPr="0011104B">
        <w:rPr>
          <w:b/>
          <w:bCs/>
          <w:i/>
          <w:iCs/>
        </w:rPr>
        <w:t>IW-N:</w:t>
      </w:r>
      <w:r w:rsidRPr="0011104B">
        <w:rPr>
          <w:i/>
          <w:iCs/>
        </w:rPr>
        <w:t xml:space="preserve"> </w:t>
      </w:r>
      <w:proofErr w:type="gramStart"/>
      <w:r w:rsidRPr="0011104B">
        <w:rPr>
          <w:i/>
          <w:iCs/>
        </w:rPr>
        <w:t>spatially</w:t>
      </w:r>
      <w:proofErr w:type="gramEnd"/>
      <w:r w:rsidRPr="0011104B">
        <w:rPr>
          <w:i/>
          <w:iCs/>
        </w:rPr>
        <w:t xml:space="preserve"> dispatchable on domestic grid timescales; forecastable enough for scheduled dispatch; cache-reuse partition applies (single-turn more shiftable than multi-turn). </w:t>
      </w:r>
    </w:p>
    <w:p w14:paraId="0EC33FCC" w14:textId="324CD34D" w:rsidR="0076489A" w:rsidRPr="0011104B" w:rsidRDefault="0011104B" w:rsidP="0011104B">
      <w:pPr>
        <w:pStyle w:val="BodyText"/>
        <w:numPr>
          <w:ilvl w:val="1"/>
          <w:numId w:val="25"/>
        </w:numPr>
        <w:rPr>
          <w:i/>
          <w:iCs/>
        </w:rPr>
      </w:pPr>
      <w:r w:rsidRPr="0011104B">
        <w:rPr>
          <w:b/>
          <w:bCs/>
          <w:i/>
          <w:iCs/>
        </w:rPr>
        <w:t>NIW:</w:t>
      </w:r>
      <w:r w:rsidRPr="0011104B">
        <w:rPr>
          <w:i/>
          <w:iCs/>
        </w:rPr>
        <w:t xml:space="preserve"> temporally dispatchable; different flexibility product; outside the scope of the spatial-routing analysis but orthogonal and complementary.</w:t>
      </w:r>
    </w:p>
    <w:p w14:paraId="509F8E96" w14:textId="47EFD8F0" w:rsidR="005C00BD" w:rsidRDefault="00C3349A" w:rsidP="0076489A">
      <w:pPr>
        <w:pStyle w:val="BodyText"/>
        <w:numPr>
          <w:ilvl w:val="0"/>
          <w:numId w:val="25"/>
        </w:numPr>
      </w:pPr>
      <w:proofErr w:type="spellStart"/>
      <w:r w:rsidRPr="00C3349A">
        <w:t>DynamoLLM</w:t>
      </w:r>
      <w:proofErr w:type="spellEnd"/>
      <w:r w:rsidRPr="00C3349A">
        <w:t xml:space="preserve"> (Stojkovic et al., HPCA 2025) demonstrates that AI inference workloads exhibit substantial load variation — peak-to-valley ratios of 3.3× to 34.6× across two production Microsoft Azure services — and that</w:t>
      </w:r>
      <w:r w:rsidR="00863F01">
        <w:t xml:space="preserve"> </w:t>
      </w:r>
      <w:r w:rsidR="00863F01" w:rsidRPr="00863F01">
        <w:t>coordinated control of GPU frequency, model parallelism, and instance count reduces GPU energy consumption — from 35% on a one-hour cluster-level experiment with an open-source Conversation trace, to 56% on a one-week simulation of the Coding service —  with the largest gains during low-utilization periods</w:t>
      </w:r>
      <w:r w:rsidRPr="00C3349A">
        <w:t>.</w:t>
      </w:r>
      <w:r w:rsidR="00DE2175">
        <w:t xml:space="preserve"> </w:t>
      </w:r>
    </w:p>
    <w:p w14:paraId="509F8E97" w14:textId="77777777" w:rsidR="005C00BD" w:rsidRDefault="00000000">
      <w:pPr>
        <w:pStyle w:val="BodyText"/>
      </w:pPr>
      <w:r>
        <w:t xml:space="preserve">The 0.80–0.95 range represents the architectural ceiling on spatial flexibility: the fraction of inference compute that could in principle migrate, based on workload architecture alone. The operational fraction that can </w:t>
      </w:r>
      <w:proofErr w:type="gramStart"/>
      <w:r>
        <w:t>actually execute</w:t>
      </w:r>
      <w:proofErr w:type="gramEnd"/>
      <w:r>
        <w:t xml:space="preserve"> migration in a specific event is captured separately by S2 and S3.</w:t>
      </w:r>
    </w:p>
    <w:p w14:paraId="2E3E3982" w14:textId="77777777" w:rsidR="00E74250" w:rsidRDefault="00000000">
      <w:pPr>
        <w:pStyle w:val="BodyText"/>
      </w:pPr>
      <w:r>
        <w:t>DVFS amenability for inference is high:</w:t>
      </w:r>
    </w:p>
    <w:p w14:paraId="479AAEC4" w14:textId="3975BB64" w:rsidR="00E74250" w:rsidRDefault="00C3349A" w:rsidP="00E74250">
      <w:pPr>
        <w:pStyle w:val="BodyText"/>
        <w:numPr>
          <w:ilvl w:val="0"/>
          <w:numId w:val="26"/>
        </w:numPr>
      </w:pPr>
      <w:r w:rsidRPr="00C3349A">
        <w:t xml:space="preserve">Patel et al. (ASPLOS 2024) demonstrate that frequency locking on A100 GPUs reclaims up to ~20% of peak inference power for ~7% performance loss across five </w:t>
      </w:r>
      <w:proofErr w:type="gramStart"/>
      <w:r w:rsidRPr="00C3349A">
        <w:t>LLMs, and</w:t>
      </w:r>
      <w:proofErr w:type="gramEnd"/>
      <w:r w:rsidRPr="00C3349A">
        <w:t xml:space="preserve"> independently observe ~21% cluster-level headroom from statistical multiplexing in production</w:t>
      </w:r>
      <w:r>
        <w:t>.</w:t>
      </w:r>
    </w:p>
    <w:p w14:paraId="509F8E98" w14:textId="3E5BF363" w:rsidR="005C00BD" w:rsidRDefault="007B67F2" w:rsidP="00E74250">
      <w:pPr>
        <w:pStyle w:val="BodyText"/>
        <w:numPr>
          <w:ilvl w:val="0"/>
          <w:numId w:val="26"/>
        </w:numPr>
      </w:pPr>
      <w:proofErr w:type="spellStart"/>
      <w:r w:rsidRPr="007B67F2">
        <w:t>Kakolyris</w:t>
      </w:r>
      <w:proofErr w:type="spellEnd"/>
      <w:r w:rsidRPr="007B67F2">
        <w:t xml:space="preserve"> et al. (IEEE CAL 2024) report 22.8–45.5% energy savings on GPT-J-6B inference serving through iteration-level GPU DVFS, measured against a max-frequency Triton baseline and dependent on SLO strictness.</w:t>
      </w:r>
    </w:p>
    <w:p w14:paraId="584E7F10" w14:textId="647A0033" w:rsidR="00E01C6C" w:rsidRDefault="00E01C6C" w:rsidP="00E74250">
      <w:pPr>
        <w:pStyle w:val="BodyText"/>
        <w:numPr>
          <w:ilvl w:val="0"/>
          <w:numId w:val="26"/>
        </w:numPr>
      </w:pPr>
      <w:r w:rsidRPr="00E01C6C">
        <w:lastRenderedPageBreak/>
        <w:t xml:space="preserve">At the infrastructure level, Wu et al. [2016] document three years of production deployment of RAPL-based power capping across Facebook's datacenter fleet, with sub-10-second capping response latency and 18 prevented potential power outages during a 6-month observation period. Dynamo's evidence base is pre-LLM and does not corroborate AI-inference-specific DVFS amenability (addressed by Patel ASPLOS 2024 and </w:t>
      </w:r>
      <w:proofErr w:type="spellStart"/>
      <w:r w:rsidRPr="00E01C6C">
        <w:t>Kakolyris</w:t>
      </w:r>
      <w:proofErr w:type="spellEnd"/>
      <w:r w:rsidRPr="00E01C6C">
        <w:t xml:space="preserve"> IEEE CAL 2024 above); it corroborates the underlying capping mechanism's production reliability at hyperscale</w:t>
      </w:r>
      <w:r>
        <w:t>.</w:t>
      </w:r>
    </w:p>
    <w:p w14:paraId="45347591" w14:textId="3574FF7C" w:rsidR="00E01C6C" w:rsidRDefault="00E01C6C" w:rsidP="00E74250">
      <w:pPr>
        <w:pStyle w:val="BodyText"/>
        <w:numPr>
          <w:ilvl w:val="0"/>
          <w:numId w:val="26"/>
        </w:numPr>
      </w:pPr>
      <w:r w:rsidRPr="00E01C6C">
        <w:t xml:space="preserve">Li et al. [2020] provide a controlled production-hardware comparison of three capping mechanisms on Intel Skylake: CPU bandwidth control reaches 0.34 normalized CPU power at maximum throttling, DVFS reaches 0.57, and RAPL reaches 0.22, with response times of 1 </w:t>
      </w:r>
      <w:proofErr w:type="spellStart"/>
      <w:r w:rsidRPr="00E01C6C">
        <w:t>ms</w:t>
      </w:r>
      <w:proofErr w:type="spellEnd"/>
      <w:r w:rsidRPr="00E01C6C">
        <w:t xml:space="preserve"> (bandwidth control) vs. 100 µs (DVFS, RAPL). Google's Thunderbolt system uses Linux </w:t>
      </w:r>
      <w:proofErr w:type="spellStart"/>
      <w:r w:rsidRPr="00E01C6C">
        <w:t>cgroup</w:t>
      </w:r>
      <w:proofErr w:type="spellEnd"/>
      <w:r w:rsidRPr="00E01C6C">
        <w:t>-based CPU bandwidth control as its primary capping mechanism, with DVFS and RAPL available as alternatives; the choice reflects platform-agnostic deployment across heterogeneous fleets rather than a performance ceiling. The mechanism-envelope evidence is independent of LLM-specific amenability and complements the LLM benchmark studies above.</w:t>
      </w:r>
    </w:p>
    <w:p w14:paraId="583C8691" w14:textId="3897479C" w:rsidR="00E01C6C" w:rsidRDefault="00E01C6C" w:rsidP="00E74250">
      <w:pPr>
        <w:pStyle w:val="BodyText"/>
        <w:numPr>
          <w:ilvl w:val="0"/>
          <w:numId w:val="26"/>
        </w:numPr>
      </w:pPr>
      <w:r w:rsidRPr="00E01C6C">
        <w:t xml:space="preserve">Task-level QoS differentiation on the same physical server is a production capability, not an aspirational one. Thunderbolt [Li et al. 2020] documents two years of production deployment at Google of </w:t>
      </w:r>
      <w:proofErr w:type="spellStart"/>
      <w:r w:rsidRPr="00E01C6C">
        <w:t>cgroup</w:t>
      </w:r>
      <w:proofErr w:type="spellEnd"/>
      <w:r w:rsidRPr="00E01C6C">
        <w:t>-based CPU bandwidth control that throttles throughput-oriented tasks (web indexing, log processing, ML model training) while exempting latency-sensitive tasks (user-facing serving) co-located on the same hardware, with measured task-failure fractions under throttling comparable to unthrottled baseline and 99th-percentile read latency for exempt services unaffected. This establishes that flexibility commitments can be surgical rather than blanket — specific workload classes can participate in DR while priority customer workloads remain exempt</w:t>
      </w:r>
    </w:p>
    <w:p w14:paraId="509F8E99" w14:textId="77777777" w:rsidR="005C00BD" w:rsidRDefault="00000000">
      <w:pPr>
        <w:pStyle w:val="BodyText"/>
      </w:pPr>
      <w:r>
        <w:rPr>
          <w:b/>
          <w:bCs/>
        </w:rPr>
        <w:t>B. AI Training (Synchronous, Stateful) — Spatial Flexibility: LOW (0.10–0.25)</w:t>
      </w:r>
    </w:p>
    <w:p w14:paraId="5CFBB871" w14:textId="77777777" w:rsidR="00A958A3" w:rsidRDefault="00A958A3" w:rsidP="00A958A3">
      <w:pPr>
        <w:pStyle w:val="BodyText"/>
      </w:pPr>
      <w:r>
        <w:t>Training requires tight GPU synchronization across thousands of GPUs over high-bandwidth interconnects (</w:t>
      </w:r>
      <w:proofErr w:type="spellStart"/>
      <w:r>
        <w:t>NVLink</w:t>
      </w:r>
      <w:proofErr w:type="spellEnd"/>
      <w:r>
        <w:t xml:space="preserve"> intra-server, RoCE or InfiniBand inter-server), producing coordinated power swings that leave minimal cluster-level headroom. Mid-job migration requires full checkpoint, cluster drain, and restart.</w:t>
      </w:r>
    </w:p>
    <w:p w14:paraId="714C9100" w14:textId="77777777" w:rsidR="00A958A3" w:rsidRDefault="00A958A3" w:rsidP="00A958A3">
      <w:pPr>
        <w:pStyle w:val="BodyText"/>
      </w:pPr>
      <w:r>
        <w:t xml:space="preserve">Key evidence: </w:t>
      </w:r>
    </w:p>
    <w:p w14:paraId="05BB27FF" w14:textId="4AB733D7" w:rsidR="00A958A3" w:rsidRDefault="00A958A3" w:rsidP="00A958A3">
      <w:pPr>
        <w:pStyle w:val="BodyText"/>
      </w:pPr>
      <w:r>
        <w:t xml:space="preserve">Patel et al. (ASPLOS 2024) report approximately 3% power headroom in production training clusters, versus approximately 21% in production inference clusters, attributable to coordinated synchronous power peaks in training versus statistical multiplexing in inference. - Dubey et al. (Meta, 2024) documented 466 job interruptions, 419 of them unplanned, during Llama 3's 54-day training run on up to 16,000 H100 GPUs. The same paper reports per-GPU checkpoint state of 1 MB to 4 GB, implying cluster-wide checkpoint sizes reaching tens of TB at Llama 3 scale, and notes that the synchronous nature of training makes it less fault-tolerant, and a single GPU failure may require a restart of the entire job. The cited evidence concerns failure recovery rather than planned migration, but </w:t>
      </w:r>
      <w:r>
        <w:lastRenderedPageBreak/>
        <w:t>the same synchronization and checkpointing costs that make these interruptions disruptive also set a floor on the cost of any deliberate mid-job relocation.</w:t>
      </w:r>
    </w:p>
    <w:p w14:paraId="50B4C7A8" w14:textId="77FA237F" w:rsidR="00A958A3" w:rsidRDefault="00A958A3" w:rsidP="00A958A3">
      <w:pPr>
        <w:pStyle w:val="BodyText"/>
      </w:pPr>
      <w:r>
        <w:t>However, training has moderate-to-high temporal flexibility (0.60–0.80): runs last days to months, so completing six hours later is negligible impact. Deloitte explicitly identifies post-training as "relatively interruptible." Training participates in DR through DVFS and checkpoint-defer-restart, not through spatial migration.</w:t>
      </w:r>
    </w:p>
    <w:p w14:paraId="509F8E9D" w14:textId="36E6D637" w:rsidR="005C00BD" w:rsidRDefault="00000000" w:rsidP="00A958A3">
      <w:pPr>
        <w:pStyle w:val="BodyText"/>
      </w:pPr>
      <w:r>
        <w:rPr>
          <w:b/>
          <w:bCs/>
        </w:rPr>
        <w:t>C. Traditional Cloud — Spatial Flexibility: MODERATE (0.30–0.50)</w:t>
      </w:r>
    </w:p>
    <w:p w14:paraId="509F8E9E" w14:textId="77777777" w:rsidR="005C00BD" w:rsidRDefault="00000000">
      <w:pPr>
        <w:pStyle w:val="Compact"/>
        <w:numPr>
          <w:ilvl w:val="0"/>
          <w:numId w:val="4"/>
        </w:numPr>
      </w:pPr>
      <w:r>
        <w:t xml:space="preserve">Google’s Borg cluster management system reports approximately 40% of CPU usage allocated to non-production batch tiers (Verma et al., </w:t>
      </w:r>
      <w:proofErr w:type="spellStart"/>
      <w:r>
        <w:t>EuroSys</w:t>
      </w:r>
      <w:proofErr w:type="spellEnd"/>
      <w:r>
        <w:t xml:space="preserve"> 2015; </w:t>
      </w:r>
      <w:proofErr w:type="spellStart"/>
      <w:r>
        <w:t>Tirmazi</w:t>
      </w:r>
      <w:proofErr w:type="spellEnd"/>
      <w:r>
        <w:t xml:space="preserve"> et al., </w:t>
      </w:r>
      <w:proofErr w:type="spellStart"/>
      <w:r>
        <w:t>EuroSys</w:t>
      </w:r>
      <w:proofErr w:type="spellEnd"/>
      <w:r>
        <w:t xml:space="preserve"> 2020).</w:t>
      </w:r>
    </w:p>
    <w:p w14:paraId="011E3F6C" w14:textId="77777777" w:rsidR="00A958A3" w:rsidRDefault="00000000" w:rsidP="00A958A3">
      <w:pPr>
        <w:pStyle w:val="Compact"/>
        <w:numPr>
          <w:ilvl w:val="0"/>
          <w:numId w:val="4"/>
        </w:numPr>
      </w:pPr>
      <w:r>
        <w:t>Azure reports 60% of VMs with average CPU utilization below 20% (Cortez et al., SOSP 2017).</w:t>
      </w:r>
      <w:bookmarkStart w:id="9" w:name="Xc75443290cc10df727b808e1f2c4467a5ce995a"/>
      <w:bookmarkEnd w:id="8"/>
    </w:p>
    <w:p w14:paraId="391F8134" w14:textId="1C90FBF2" w:rsidR="00971A3D" w:rsidRDefault="00A958A3" w:rsidP="00A958A3">
      <w:pPr>
        <w:pStyle w:val="Compact"/>
        <w:numPr>
          <w:ilvl w:val="0"/>
          <w:numId w:val="4"/>
        </w:numPr>
      </w:pPr>
      <w:r>
        <w:t>Zhang (2023), working with Chien at UChicago, shows that variable capacity</w:t>
      </w:r>
      <w:r>
        <w:t xml:space="preserve"> </w:t>
      </w:r>
      <w:r>
        <w:t>can decrease goodput by up to 60% and cause 15–40% job failures in traditional</w:t>
      </w:r>
      <w:r>
        <w:t xml:space="preserve"> </w:t>
      </w:r>
      <w:r>
        <w:t>schedulers; the 60% goodput degradation is also reported in the peer-reviewed</w:t>
      </w:r>
      <w:r>
        <w:t xml:space="preserve"> </w:t>
      </w:r>
      <w:r>
        <w:t>precursor Zhang and Chien (JSSPP 2021). Without intelligent scheduling, avoiding</w:t>
      </w:r>
      <w:r>
        <w:t xml:space="preserve"> </w:t>
      </w:r>
      <w:r>
        <w:t>major performance loss requires holding variation below roughly 10% dynamic range.</w:t>
      </w:r>
      <w:r>
        <w:t xml:space="preserve"> </w:t>
      </w:r>
      <w:r>
        <w:t xml:space="preserve">Runtime classification via the </w:t>
      </w:r>
      <w:proofErr w:type="spellStart"/>
      <w:r>
        <w:t>LongShort</w:t>
      </w:r>
      <w:proofErr w:type="spellEnd"/>
      <w:r>
        <w:t xml:space="preserve"> algorithm expands the supportable range</w:t>
      </w:r>
      <w:r>
        <w:t xml:space="preserve"> </w:t>
      </w:r>
      <w:r>
        <w:t>from under 10% to approximately 50% while preserving performance, with 3 to 6 hours</w:t>
      </w:r>
      <w:r>
        <w:t xml:space="preserve"> </w:t>
      </w:r>
      <w:r>
        <w:t>of capacity foresight sufficient to eliminate the variation penalty for the workloads</w:t>
      </w:r>
      <w:r>
        <w:t xml:space="preserve"> </w:t>
      </w:r>
      <w:r>
        <w:t>tested. The Section C upper bound of 0.50 reflects what this sophisticated,</w:t>
      </w:r>
      <w:r>
        <w:t xml:space="preserve"> </w:t>
      </w:r>
      <w:r>
        <w:t>information-rich scheduling makes achievable.</w:t>
      </w:r>
    </w:p>
    <w:p w14:paraId="7152ACDF" w14:textId="77777777" w:rsidR="00A958A3" w:rsidRPr="00A958A3" w:rsidRDefault="00A958A3" w:rsidP="00A958A3">
      <w:pPr>
        <w:pStyle w:val="Compact"/>
        <w:ind w:left="720"/>
      </w:pPr>
    </w:p>
    <w:p w14:paraId="509F8EA3" w14:textId="3FD06780" w:rsidR="005C00BD" w:rsidRPr="00971A3D" w:rsidRDefault="00000000" w:rsidP="009729F2">
      <w:pPr>
        <w:rPr>
          <w:i/>
          <w:iCs/>
          <w:highlight w:val="yellow"/>
        </w:rPr>
      </w:pPr>
      <w:r w:rsidRPr="00971A3D">
        <w:rPr>
          <w:i/>
          <w:iCs/>
          <w:highlight w:val="yellow"/>
        </w:rPr>
        <w:t>S1 = 0.70 for the Inference-Dominant Scenario</w:t>
      </w:r>
    </w:p>
    <w:p w14:paraId="509F8EA4" w14:textId="77777777" w:rsidR="005C00BD" w:rsidRPr="00971A3D" w:rsidRDefault="00000000">
      <w:pPr>
        <w:pStyle w:val="FirstParagraph"/>
        <w:rPr>
          <w:highlight w:val="yellow"/>
        </w:rPr>
      </w:pPr>
      <w:r w:rsidRPr="00971A3D">
        <w:rPr>
          <w:highlight w:val="yellow"/>
        </w:rPr>
        <w:t>The inference-dominant scenario assumes a 70/10/10/10 workload mix (inference/training/cloud/fine-tuning). S1 = 0.70 is the inference share, grounded in McKinsey projections for 2027+ inference-specialized facilities.</w:t>
      </w:r>
    </w:p>
    <w:p w14:paraId="509F8EA5" w14:textId="77777777" w:rsidR="005C00BD" w:rsidRDefault="00000000">
      <w:pPr>
        <w:pStyle w:val="BodyText"/>
      </w:pPr>
      <w:r w:rsidRPr="00971A3D">
        <w:rPr>
          <w:highlight w:val="yellow"/>
        </w:rPr>
        <w:t>S1 is a scenario construction, not a stochastic variable: within the inference-dominant archetype, S1 does not carry a range. The value is a modeling assumption informed by industry projections, not a published benchmark. The conceptual basis for distinct facility archetypes is well-supported by McKinsey, Uptime Institute, and Deloitte analyses of diverging infrastructure requirements, but no published source provides exact inference-share coefficients by facility type.</w:t>
      </w:r>
    </w:p>
    <w:p w14:paraId="509F8EA6" w14:textId="77777777" w:rsidR="005C00BD" w:rsidRPr="009729F2" w:rsidRDefault="00000000" w:rsidP="009729F2">
      <w:pPr>
        <w:rPr>
          <w:i/>
          <w:iCs/>
        </w:rPr>
      </w:pPr>
      <w:bookmarkStart w:id="10" w:name="X8bff5a0790c6f955460ee7fac8914d49dd93368"/>
      <w:bookmarkEnd w:id="9"/>
      <w:r w:rsidRPr="009729F2">
        <w:rPr>
          <w:i/>
          <w:iCs/>
        </w:rPr>
        <w:t>Empirical Grounding: Azure LLM Inference Trace Analysis</w:t>
      </w:r>
    </w:p>
    <w:p w14:paraId="5177A11C" w14:textId="011B220E" w:rsidR="007430A6" w:rsidRDefault="007430A6">
      <w:pPr>
        <w:pStyle w:val="BodyText"/>
      </w:pPr>
      <w:r>
        <w:t xml:space="preserve">To ground the inference flexibility profile in production data, we analyzed 44.1 million production LLM inference requests across two Azure services (Coding and Conversation) from the </w:t>
      </w:r>
      <w:proofErr w:type="spellStart"/>
      <w:r>
        <w:t>DynamoLLM</w:t>
      </w:r>
      <w:proofErr w:type="spellEnd"/>
      <w:r>
        <w:t xml:space="preserve"> trace release on the Azure Public Dataset repository. The underlying traces were characterized for energy-management purposes by Stojkovic et al. (HPCA </w:t>
      </w:r>
      <w:r>
        <w:lastRenderedPageBreak/>
        <w:t>2025). Our analysis aggregates the released per-request timestamps, context tokens, generated tokens, and time-to-</w:t>
      </w:r>
      <w:proofErr w:type="gramStart"/>
      <w:r>
        <w:t>first-token</w:t>
      </w:r>
      <w:proofErr w:type="gramEnd"/>
      <w:r>
        <w:t xml:space="preserve"> to hourly resolution across both services.</w:t>
      </w:r>
      <w:r>
        <w:rPr>
          <w:rStyle w:val="FootnoteReference"/>
        </w:rPr>
        <w:footnoteReference w:id="3"/>
      </w:r>
    </w:p>
    <w:p w14:paraId="509F8EA8" w14:textId="756C8CE7" w:rsidR="005C00BD" w:rsidRDefault="00000000">
      <w:pPr>
        <w:pStyle w:val="BodyText"/>
      </w:pPr>
      <w:r>
        <w:t>Key findings relevant to the cascade:</w:t>
      </w:r>
    </w:p>
    <w:p w14:paraId="509F8EA9" w14:textId="77777777" w:rsidR="005C00BD" w:rsidRDefault="00000000">
      <w:pPr>
        <w:numPr>
          <w:ilvl w:val="0"/>
          <w:numId w:val="5"/>
        </w:numPr>
      </w:pPr>
      <w:r>
        <w:rPr>
          <w:b/>
          <w:bCs/>
        </w:rPr>
        <w:t>Load variability</w:t>
      </w:r>
      <w:r>
        <w:t xml:space="preserve">: </w:t>
      </w:r>
      <w:commentRangeStart w:id="11"/>
      <w:r>
        <w:t>Hourly request coefficient of variation (CoV) ranges from 0.29 (Conversation) to 0.85 (Coding) across the two services, reflecting the sharper diurnal cycle in code-generation workloads. The 24-hour autocorrelation is moderate to strong (ρ ≈ 0.40–0.75), confirming diurnal periodicity, with Coding exhibiting the stronger cycle (ρ = 0.75). Weekday peak-to-trough ratios average 2.0:1 (Conversation) to 10.0:1 (Coding), with weekend load reduction of 43–68%. Median headroom versus peak is 38% (Conversation) to 80% (Coding) of instantaneous capacity. This variability is the temporal flexibility that DVFS exploits.</w:t>
      </w:r>
      <w:commentRangeEnd w:id="11"/>
      <w:r w:rsidR="00971A3D">
        <w:rPr>
          <w:rStyle w:val="CommentReference"/>
        </w:rPr>
        <w:commentReference w:id="11"/>
      </w:r>
    </w:p>
    <w:p w14:paraId="509F8EAA" w14:textId="77777777" w:rsidR="005C00BD" w:rsidRDefault="00000000">
      <w:pPr>
        <w:numPr>
          <w:ilvl w:val="0"/>
          <w:numId w:val="5"/>
        </w:numPr>
      </w:pPr>
      <w:r>
        <w:rPr>
          <w:b/>
          <w:bCs/>
        </w:rPr>
        <w:t>Drain time:</w:t>
      </w:r>
      <w:r>
        <w:t xml:space="preserve"> P99 generated token counts imply drain times of 4.5–11.6 seconds at typical throughput (60 </w:t>
      </w:r>
      <w:proofErr w:type="spellStart"/>
      <w:r>
        <w:t>tok</w:t>
      </w:r>
      <w:proofErr w:type="spellEnd"/>
      <w:r>
        <w:t xml:space="preserve">/s per GPU), spanning Coding (4.5 s) and Conversation (11.6 s) services. At optimistic throughput (100 </w:t>
      </w:r>
      <w:proofErr w:type="spellStart"/>
      <w:r>
        <w:t>tok</w:t>
      </w:r>
      <w:proofErr w:type="spellEnd"/>
      <w:r>
        <w:t>/s), drain times compress to 2.7–7.0 seconds. Even at the P99.9 level, individual requests complete well within one minute. This confirms that for inference, the “migration” operation completes in seconds to tens of seconds, not minutes.</w:t>
      </w:r>
    </w:p>
    <w:p w14:paraId="509F8EAB" w14:textId="77777777" w:rsidR="005C00BD" w:rsidRDefault="00000000">
      <w:pPr>
        <w:numPr>
          <w:ilvl w:val="0"/>
          <w:numId w:val="5"/>
        </w:numPr>
      </w:pPr>
      <w:r>
        <w:rPr>
          <w:b/>
          <w:bCs/>
        </w:rPr>
        <w:t>Request independence:</w:t>
      </w:r>
      <w:r>
        <w:t xml:space="preserve"> Inter-arrival time distributions are approximately exponential (consistent with independent Poisson arrivals). This supports the architectural argument that inference requests are statistically independent and can be routed to any available endpoint without coordination.</w:t>
      </w:r>
    </w:p>
    <w:p w14:paraId="509F8EAC" w14:textId="77777777" w:rsidR="005C00BD" w:rsidRDefault="00000000">
      <w:pPr>
        <w:numPr>
          <w:ilvl w:val="0"/>
          <w:numId w:val="5"/>
        </w:numPr>
      </w:pPr>
      <w:r>
        <w:rPr>
          <w:b/>
          <w:bCs/>
        </w:rPr>
        <w:t>Token throughput versus request count:</w:t>
      </w:r>
      <w:r>
        <w:t xml:space="preserve"> Correlation between hourly request counts and hourly token throughput is 0.85–0.95, meaning request-count-based load metrics are a reasonable proxy for compute-weighted load. This simplifies operational implementation: the orchestrator can make routing decisions based on request counts without per-request compute profiling.</w:t>
      </w:r>
    </w:p>
    <w:p w14:paraId="509F8EAD" w14:textId="77777777" w:rsidR="005C00BD" w:rsidRDefault="00000000">
      <w:r>
        <w:pict w14:anchorId="509F91A6">
          <v:rect id="_x0000_i1385" style="width:0;height:1.5pt" o:hralign="center" o:hrstd="t" o:hr="t"/>
        </w:pict>
      </w:r>
    </w:p>
    <w:p w14:paraId="509F8EAE" w14:textId="77777777" w:rsidR="005C00BD" w:rsidRPr="009729F2" w:rsidRDefault="00000000" w:rsidP="009729F2">
      <w:pPr>
        <w:rPr>
          <w:b/>
          <w:bCs/>
        </w:rPr>
      </w:pPr>
      <w:bookmarkStart w:id="12" w:name="s2-data-locality"/>
      <w:bookmarkEnd w:id="5"/>
      <w:bookmarkEnd w:id="10"/>
      <w:r w:rsidRPr="009729F2">
        <w:rPr>
          <w:b/>
          <w:bCs/>
        </w:rPr>
        <w:t>S2: Data Locality</w:t>
      </w:r>
    </w:p>
    <w:tbl>
      <w:tblPr>
        <w:tblStyle w:val="Table"/>
        <w:tblW w:w="9471" w:type="dxa"/>
        <w:tblLook w:val="0020" w:firstRow="1" w:lastRow="0" w:firstColumn="0" w:lastColumn="0" w:noHBand="0" w:noVBand="0"/>
      </w:tblPr>
      <w:tblGrid>
        <w:gridCol w:w="4930"/>
        <w:gridCol w:w="4541"/>
      </w:tblGrid>
      <w:tr w:rsidR="005C00BD" w14:paraId="509F8EB1" w14:textId="77777777" w:rsidTr="009729F2">
        <w:trPr>
          <w:cnfStyle w:val="100000000000" w:firstRow="1" w:lastRow="0" w:firstColumn="0" w:lastColumn="0" w:oddVBand="0" w:evenVBand="0" w:oddHBand="0" w:evenHBand="0" w:firstRowFirstColumn="0" w:firstRowLastColumn="0" w:lastRowFirstColumn="0" w:lastRowLastColumn="0"/>
          <w:trHeight w:val="353"/>
          <w:tblHeader/>
        </w:trPr>
        <w:tc>
          <w:tcPr>
            <w:tcW w:w="0" w:type="auto"/>
          </w:tcPr>
          <w:p w14:paraId="509F8EAF" w14:textId="77777777" w:rsidR="005C00BD" w:rsidRDefault="00000000">
            <w:pPr>
              <w:pStyle w:val="Compact"/>
            </w:pPr>
            <w:r>
              <w:t>Attribute</w:t>
            </w:r>
          </w:p>
        </w:tc>
        <w:tc>
          <w:tcPr>
            <w:tcW w:w="0" w:type="auto"/>
          </w:tcPr>
          <w:p w14:paraId="509F8EB0" w14:textId="77777777" w:rsidR="005C00BD" w:rsidRDefault="00000000">
            <w:pPr>
              <w:pStyle w:val="Compact"/>
            </w:pPr>
            <w:r>
              <w:t>Value</w:t>
            </w:r>
          </w:p>
        </w:tc>
      </w:tr>
      <w:tr w:rsidR="005C00BD" w14:paraId="509F8EB4" w14:textId="77777777" w:rsidTr="009729F2">
        <w:trPr>
          <w:trHeight w:val="361"/>
        </w:trPr>
        <w:tc>
          <w:tcPr>
            <w:tcW w:w="0" w:type="auto"/>
          </w:tcPr>
          <w:p w14:paraId="509F8EB2" w14:textId="77777777" w:rsidR="005C00BD" w:rsidRDefault="00000000">
            <w:pPr>
              <w:pStyle w:val="Compact"/>
            </w:pPr>
            <w:commentRangeStart w:id="13"/>
            <w:r>
              <w:t>Central value</w:t>
            </w:r>
          </w:p>
        </w:tc>
        <w:tc>
          <w:tcPr>
            <w:tcW w:w="0" w:type="auto"/>
          </w:tcPr>
          <w:p w14:paraId="509F8EB3" w14:textId="77777777" w:rsidR="005C00BD" w:rsidRDefault="00000000">
            <w:pPr>
              <w:pStyle w:val="Compact"/>
            </w:pPr>
            <w:r>
              <w:t>0.70</w:t>
            </w:r>
            <w:commentRangeEnd w:id="13"/>
            <w:r w:rsidR="00D373F3">
              <w:rPr>
                <w:rStyle w:val="CommentReference"/>
              </w:rPr>
              <w:commentReference w:id="13"/>
            </w:r>
          </w:p>
        </w:tc>
      </w:tr>
      <w:tr w:rsidR="005C00BD" w14:paraId="509F8EB7" w14:textId="77777777" w:rsidTr="009729F2">
        <w:trPr>
          <w:trHeight w:val="353"/>
        </w:trPr>
        <w:tc>
          <w:tcPr>
            <w:tcW w:w="0" w:type="auto"/>
          </w:tcPr>
          <w:p w14:paraId="509F8EB5" w14:textId="77777777" w:rsidR="005C00BD" w:rsidRDefault="00000000">
            <w:pPr>
              <w:pStyle w:val="Compact"/>
            </w:pPr>
            <w:r>
              <w:t>Range</w:t>
            </w:r>
          </w:p>
        </w:tc>
        <w:tc>
          <w:tcPr>
            <w:tcW w:w="0" w:type="auto"/>
          </w:tcPr>
          <w:p w14:paraId="509F8EB6" w14:textId="77777777" w:rsidR="005C00BD" w:rsidRDefault="00000000">
            <w:pPr>
              <w:pStyle w:val="Compact"/>
            </w:pPr>
            <w:proofErr w:type="gramStart"/>
            <w:r>
              <w:t>Uniform[</w:t>
            </w:r>
            <w:proofErr w:type="gramEnd"/>
            <w:r>
              <w:t>0.60, 0.95]</w:t>
            </w:r>
          </w:p>
        </w:tc>
      </w:tr>
      <w:tr w:rsidR="005C00BD" w14:paraId="509F8EBA" w14:textId="77777777" w:rsidTr="009729F2">
        <w:trPr>
          <w:trHeight w:val="361"/>
        </w:trPr>
        <w:tc>
          <w:tcPr>
            <w:tcW w:w="0" w:type="auto"/>
          </w:tcPr>
          <w:p w14:paraId="509F8EB8" w14:textId="77777777" w:rsidR="005C00BD" w:rsidRDefault="00000000">
            <w:pPr>
              <w:pStyle w:val="Compact"/>
            </w:pPr>
            <w:r>
              <w:t>Grounding quality</w:t>
            </w:r>
          </w:p>
        </w:tc>
        <w:tc>
          <w:tcPr>
            <w:tcW w:w="0" w:type="auto"/>
          </w:tcPr>
          <w:p w14:paraId="509F8EB9" w14:textId="77777777" w:rsidR="005C00BD" w:rsidRDefault="00000000">
            <w:pPr>
              <w:pStyle w:val="Compact"/>
            </w:pPr>
            <w:r>
              <w:t>ESTIMATED-WEAK</w:t>
            </w:r>
          </w:p>
        </w:tc>
      </w:tr>
      <w:tr w:rsidR="005C00BD" w14:paraId="509F8EBD" w14:textId="77777777" w:rsidTr="009729F2">
        <w:trPr>
          <w:trHeight w:val="353"/>
        </w:trPr>
        <w:tc>
          <w:tcPr>
            <w:tcW w:w="0" w:type="auto"/>
          </w:tcPr>
          <w:p w14:paraId="509F8EBB" w14:textId="77777777" w:rsidR="005C00BD" w:rsidRDefault="00000000">
            <w:pPr>
              <w:pStyle w:val="Compact"/>
            </w:pPr>
            <w:r>
              <w:t>Variance contribution</w:t>
            </w:r>
          </w:p>
        </w:tc>
        <w:tc>
          <w:tcPr>
            <w:tcW w:w="0" w:type="auto"/>
          </w:tcPr>
          <w:p w14:paraId="509F8EBC" w14:textId="77777777" w:rsidR="005C00BD" w:rsidRDefault="00000000">
            <w:pPr>
              <w:pStyle w:val="Compact"/>
            </w:pPr>
            <w:r>
              <w:t>12.5% (4th highest)</w:t>
            </w:r>
          </w:p>
        </w:tc>
      </w:tr>
    </w:tbl>
    <w:p w14:paraId="1A190D40" w14:textId="77777777" w:rsidR="009729F2" w:rsidRDefault="009729F2" w:rsidP="009729F2">
      <w:pPr>
        <w:rPr>
          <w:i/>
          <w:iCs/>
        </w:rPr>
      </w:pPr>
      <w:bookmarkStart w:id="14" w:name="what-s2-measures"/>
    </w:p>
    <w:p w14:paraId="509F8EBE" w14:textId="61EE9D65" w:rsidR="005C00BD" w:rsidRPr="00B6000D" w:rsidRDefault="00000000" w:rsidP="009729F2">
      <w:pPr>
        <w:rPr>
          <w:b/>
          <w:bCs/>
          <w:i/>
          <w:iCs/>
        </w:rPr>
      </w:pPr>
      <w:r w:rsidRPr="00B6000D">
        <w:rPr>
          <w:b/>
          <w:bCs/>
          <w:i/>
          <w:iCs/>
        </w:rPr>
        <w:lastRenderedPageBreak/>
        <w:t>What S2 Measures</w:t>
      </w:r>
    </w:p>
    <w:p w14:paraId="2755666B" w14:textId="6E9E05C3" w:rsidR="00B6000D" w:rsidRPr="00B6000D" w:rsidRDefault="00B6000D">
      <w:pPr>
        <w:pStyle w:val="BodyText"/>
      </w:pPr>
      <w:r w:rsidRPr="00B6000D">
        <w:t>S2 answers: of the S1-eligible inference workloads, what fraction is free to relocate across interconnection boundaries without violating a regulatory, contractual, or operational constraint that pins execution to a specific region?</w:t>
      </w:r>
    </w:p>
    <w:p w14:paraId="53705F42" w14:textId="49175EC4" w:rsidR="00B6000D" w:rsidRPr="00B6000D" w:rsidRDefault="00B6000D" w:rsidP="009729F2">
      <w:pPr>
        <w:rPr>
          <w:b/>
          <w:bCs/>
          <w:i/>
          <w:iCs/>
        </w:rPr>
      </w:pPr>
      <w:bookmarkStart w:id="15" w:name="X3f3b589890a48cce2b48cda3e55657cc9983087"/>
      <w:bookmarkEnd w:id="14"/>
      <w:r w:rsidRPr="00B6000D">
        <w:rPr>
          <w:b/>
          <w:bCs/>
          <w:i/>
          <w:iCs/>
        </w:rPr>
        <w:t>Framing</w:t>
      </w:r>
    </w:p>
    <w:p w14:paraId="01219720" w14:textId="3A553ECF" w:rsidR="00B6000D" w:rsidRDefault="00B6000D" w:rsidP="009729F2">
      <w:r>
        <w:t xml:space="preserve">Production-grade cross-region inference is architecturally deployed and operationally demonstrated at </w:t>
      </w:r>
      <w:proofErr w:type="spellStart"/>
      <w:r>
        <w:t>hyperscaler</w:t>
      </w:r>
      <w:proofErr w:type="spellEnd"/>
      <w:r>
        <w:t xml:space="preserve"> scale. Google has run carbon-aware temporal and spatial compute shifting in production since 2020 (Radovanovic et al., IEEE Transactions on Power Systems 38 (2), 2023). Amazon Bedrock routes inference requests across regions automatically via cross-region inference profiles. Academic work on cross-region </w:t>
      </w:r>
      <w:proofErr w:type="gramStart"/>
      <w:r>
        <w:t>load</w:t>
      </w:r>
      <w:proofErr w:type="gramEnd"/>
      <w:r>
        <w:t xml:space="preserve"> balancing for LLM inference (</w:t>
      </w:r>
      <w:proofErr w:type="spellStart"/>
      <w:r>
        <w:t>SkyLB</w:t>
      </w:r>
      <w:proofErr w:type="spellEnd"/>
      <w:r>
        <w:t>, arXiv:2505.24095, 2025) demonstrates locality-aware orchestration at production latency.</w:t>
      </w:r>
    </w:p>
    <w:p w14:paraId="7B8F7982" w14:textId="57880308" w:rsidR="00B6000D" w:rsidRPr="00B6000D" w:rsidRDefault="00B6000D" w:rsidP="009729F2">
      <w:r>
        <w:t xml:space="preserve">The question is therefore not whether inference can be geographically redistributed but what fraction of the aggregate fleet is subject to constraints that prevent it. We evaluate three categories of constraint against the U.S. only scope of this analysis. </w:t>
      </w:r>
    </w:p>
    <w:p w14:paraId="509F8EC1" w14:textId="7872493B" w:rsidR="005C00BD" w:rsidRPr="009729F2" w:rsidRDefault="00000000" w:rsidP="009729F2">
      <w:pPr>
        <w:rPr>
          <w:i/>
          <w:iCs/>
        </w:rPr>
      </w:pPr>
      <w:r w:rsidRPr="009729F2">
        <w:rPr>
          <w:i/>
          <w:iCs/>
        </w:rPr>
        <w:t>Three Categories of Geographic Constraint</w:t>
      </w:r>
    </w:p>
    <w:p w14:paraId="509F8EC2" w14:textId="77777777" w:rsidR="005C00BD" w:rsidRDefault="00000000">
      <w:pPr>
        <w:pStyle w:val="FirstParagraph"/>
      </w:pPr>
      <w:r>
        <w:rPr>
          <w:b/>
          <w:bCs/>
        </w:rPr>
        <w:t>1. Data residency and sovereignty mandates.</w:t>
      </w:r>
    </w:p>
    <w:p w14:paraId="13A5800F" w14:textId="77777777" w:rsidR="00B83C0B" w:rsidRDefault="00B83C0B">
      <w:pPr>
        <w:pStyle w:val="FirstParagraph"/>
      </w:pPr>
      <w:r w:rsidRPr="00B83C0B">
        <w:t xml:space="preserve">Within CONUS footprint, federal data residency mandates are narrow — applying primarily to federal government workloads (FedRAMP, CJIS, IRS 1075, ITAR) and to a limited set of state-government procurement contracts. Sectoral regulations governing healthcare and financial data (HIPAA, GLBA) impose safeguards requirements but do not pin data geographically within the United States. For the commercial AI inference workloads that dominate </w:t>
      </w:r>
      <w:proofErr w:type="spellStart"/>
      <w:r w:rsidRPr="00B83C0B">
        <w:t>hyperscaler</w:t>
      </w:r>
      <w:proofErr w:type="spellEnd"/>
      <w:r w:rsidRPr="00B83C0B">
        <w:t xml:space="preserve"> fleet composition, CONUS-to-CONUS migration across interconnections is not meaningfully constrained by data residency mandates.</w:t>
      </w:r>
    </w:p>
    <w:p w14:paraId="509F8EC8" w14:textId="4D5A78B4" w:rsidR="005C00BD" w:rsidRDefault="00B83C0B">
      <w:pPr>
        <w:pStyle w:val="FirstParagraph"/>
      </w:pPr>
      <w:r>
        <w:t xml:space="preserve">For the purposes of this study, and </w:t>
      </w:r>
      <w:proofErr w:type="gramStart"/>
      <w:r>
        <w:t>it’s</w:t>
      </w:r>
      <w:proofErr w:type="gramEnd"/>
      <w:r>
        <w:t xml:space="preserve"> scope to U.S. only spatial shifting sources and destinations, we will consider this factor to be immaterial. </w:t>
      </w:r>
    </w:p>
    <w:p w14:paraId="509F8EC9" w14:textId="77777777" w:rsidR="005C00BD" w:rsidRDefault="00000000">
      <w:pPr>
        <w:pStyle w:val="BodyText"/>
      </w:pPr>
      <w:r>
        <w:rPr>
          <w:b/>
          <w:bCs/>
        </w:rPr>
        <w:t>2. Ultra-low-latency SLO constraints.</w:t>
      </w:r>
    </w:p>
    <w:p w14:paraId="5D6C5E52" w14:textId="77777777" w:rsidR="00B6000D" w:rsidRDefault="00B6000D">
      <w:pPr>
        <w:pStyle w:val="BodyText"/>
      </w:pPr>
      <w:r w:rsidRPr="00B6000D">
        <w:t xml:space="preserve">Cross-CONUS round-trip latency on </w:t>
      </w:r>
      <w:proofErr w:type="spellStart"/>
      <w:r w:rsidRPr="00B6000D">
        <w:t>hyperscaler</w:t>
      </w:r>
      <w:proofErr w:type="spellEnd"/>
      <w:r w:rsidRPr="00B6000D">
        <w:t xml:space="preserve"> backbone networks is bounded above by approximately 80 </w:t>
      </w:r>
      <w:proofErr w:type="spellStart"/>
      <w:r w:rsidRPr="00B6000D">
        <w:t>ms</w:t>
      </w:r>
      <w:proofErr w:type="spellEnd"/>
      <w:r w:rsidRPr="00B6000D">
        <w:t xml:space="preserve"> (measured Azure inter-region P50, West US ↔ East US: 73 ms¹), well within the SLO budget of the vast majority of data-center-served AI inference — production LLM time-to-first-token SLOs are typically 200–500 ms². Edge-deployed inference with tight latency requirements (autonomous vehicles, robotics, AR/VR) runs on embedded hardware outside the </w:t>
      </w:r>
      <w:proofErr w:type="spellStart"/>
      <w:r w:rsidRPr="00B6000D">
        <w:t>hyperscaler</w:t>
      </w:r>
      <w:proofErr w:type="spellEnd"/>
      <w:r w:rsidRPr="00B6000D">
        <w:t xml:space="preserve"> fleet³ and is not part of the compute base under analysis. We consider latency-driven geographic pinning immaterial at the fleet level.</w:t>
      </w:r>
    </w:p>
    <w:p w14:paraId="509F8ECC" w14:textId="00F1F5B9" w:rsidR="005C00BD" w:rsidRDefault="00000000">
      <w:pPr>
        <w:pStyle w:val="BodyText"/>
      </w:pPr>
      <w:r>
        <w:rPr>
          <w:b/>
          <w:bCs/>
        </w:rPr>
        <w:t>3. Enterprise contractual restrictions.</w:t>
      </w:r>
    </w:p>
    <w:p w14:paraId="4CB5F257" w14:textId="77777777" w:rsidR="00B6000D" w:rsidRDefault="00B6000D" w:rsidP="009729F2">
      <w:bookmarkStart w:id="16" w:name="range-justification"/>
      <w:bookmarkEnd w:id="15"/>
      <w:r w:rsidRPr="00B6000D">
        <w:t xml:space="preserve">Some enterprise cloud deployments include contractual provisions specifying the region or facility where workloads execute, independent of regulatory requirements — examples include Microsoft's Advanced Data Residency commitments, Google Cloud's Assured </w:t>
      </w:r>
      <w:r w:rsidRPr="00B6000D">
        <w:lastRenderedPageBreak/>
        <w:t xml:space="preserve">Workloads, and region-specific Committed Use Discount agreements. Beyond explicit contracts, operational friction — internal change-control processes, risk-averse customer-notification requirements, SLA exposure concerns — can functionally pin workloads even when no formal constraint binds them. These constraints are commercial and organizational rather than </w:t>
      </w:r>
      <w:proofErr w:type="gramStart"/>
      <w:r w:rsidRPr="00B6000D">
        <w:t>physical, but</w:t>
      </w:r>
      <w:proofErr w:type="gramEnd"/>
      <w:r w:rsidRPr="00B6000D">
        <w:t xml:space="preserve"> are binding during a dispatch event. Public literature does not quantify the fraction of inference workloads subject to such provisions. This is the category that does the analytical work in S2.</w:t>
      </w:r>
    </w:p>
    <w:p w14:paraId="509F8ECE" w14:textId="0C484CC6" w:rsidR="005C00BD" w:rsidRPr="009729F2" w:rsidRDefault="00000000" w:rsidP="009729F2">
      <w:pPr>
        <w:rPr>
          <w:i/>
          <w:iCs/>
        </w:rPr>
      </w:pPr>
      <w:r w:rsidRPr="009729F2">
        <w:rPr>
          <w:i/>
          <w:iCs/>
        </w:rPr>
        <w:t>Range Justification</w:t>
      </w:r>
    </w:p>
    <w:p w14:paraId="509F8ECF" w14:textId="24567E85" w:rsidR="005C00BD" w:rsidRDefault="00000000">
      <w:pPr>
        <w:numPr>
          <w:ilvl w:val="0"/>
          <w:numId w:val="7"/>
        </w:numPr>
      </w:pPr>
      <w:r>
        <w:rPr>
          <w:b/>
          <w:bCs/>
        </w:rPr>
        <w:t>Floor (0.</w:t>
      </w:r>
      <w:r w:rsidR="00B6000D">
        <w:rPr>
          <w:b/>
          <w:bCs/>
        </w:rPr>
        <w:t>60</w:t>
      </w:r>
      <w:r>
        <w:rPr>
          <w:b/>
          <w:bCs/>
        </w:rPr>
        <w:t>):</w:t>
      </w:r>
      <w:r>
        <w:t xml:space="preserve"> </w:t>
      </w:r>
      <w:r w:rsidR="00B6000D" w:rsidRPr="00B6000D">
        <w:t>Reflects a scenario of aggressive contractual rigidity and operator risk aversion, in which ~40% of inference is effectively unavailable for cross-interconnection dispatch despite facing no regulatory constraint</w:t>
      </w:r>
      <w:r>
        <w:t>.</w:t>
      </w:r>
    </w:p>
    <w:p w14:paraId="509F8ED0" w14:textId="60DC4471" w:rsidR="005C00BD" w:rsidRDefault="00000000">
      <w:pPr>
        <w:numPr>
          <w:ilvl w:val="0"/>
          <w:numId w:val="7"/>
        </w:numPr>
      </w:pPr>
      <w:r>
        <w:rPr>
          <w:b/>
          <w:bCs/>
        </w:rPr>
        <w:t>Central (0.70):</w:t>
      </w:r>
      <w:r>
        <w:t xml:space="preserve"> </w:t>
      </w:r>
      <w:r w:rsidR="00C76F92" w:rsidRPr="00C76F92">
        <w:t>Assumes ~30% of inference is pinned, dominated by Category 3 effects: explicit contractual region locks plus operational friction preventing participation in spatial dispatch even among technically eligible workloads. The decomposition within this 30% is not independently sourced.</w:t>
      </w:r>
    </w:p>
    <w:p w14:paraId="61CB550B" w14:textId="69D1E1C9" w:rsidR="00B6000D" w:rsidRDefault="00000000" w:rsidP="00B6000D">
      <w:pPr>
        <w:numPr>
          <w:ilvl w:val="0"/>
          <w:numId w:val="7"/>
        </w:numPr>
      </w:pPr>
      <w:r>
        <w:rPr>
          <w:b/>
          <w:bCs/>
        </w:rPr>
        <w:t>Ceiling (0.95):</w:t>
      </w:r>
      <w:r>
        <w:t xml:space="preserve"> </w:t>
      </w:r>
      <w:r w:rsidR="00C76F92" w:rsidRPr="00C76F92">
        <w:t>Reflects that cloud API serving, batch inference, embedding generation, and asynchronous model evaluation — which constitute the majority of inference compute — face no formal pinning once residency and latency are excluded. The ~5% pinned in this scenario is attributed entirely to explicit contractual region locks on enterprise tenants.</w:t>
      </w:r>
    </w:p>
    <w:p w14:paraId="509F8ED7" w14:textId="0F898FCE" w:rsidR="005C00BD" w:rsidRDefault="00C76F92">
      <w:pPr>
        <w:pStyle w:val="FirstParagraph"/>
      </w:pPr>
      <w:bookmarkStart w:id="17" w:name="indirect-evidence"/>
      <w:bookmarkEnd w:id="16"/>
      <w:r w:rsidRPr="00C76F92">
        <w:t xml:space="preserve">S2 is the single least-grounded parameter in the cascade. The three categories identified here establish that regulatory and latency-driven pinning are immaterial for CONUS commercial inference, which means the full weight of the parameter rests on contractual and operational pinning — a fraction for which no public measurement exists. Production data on </w:t>
      </w:r>
      <w:proofErr w:type="spellStart"/>
      <w:r w:rsidRPr="00C76F92">
        <w:t>hyperscaler</w:t>
      </w:r>
      <w:proofErr w:type="spellEnd"/>
      <w:r w:rsidRPr="00C76F92">
        <w:t xml:space="preserve"> cross-region inference traffic (specifically, the fraction executed under region-locked contracts versus flexible dispatch, and the fraction of technically eligible workloads that operators would actually permit to participate in a DR program) would narrow the [0.60, 0.95] range substantially and is the highest-value empirical target identified in this analysis.</w:t>
      </w:r>
    </w:p>
    <w:p w14:paraId="509F8ED8" w14:textId="77777777" w:rsidR="005C00BD" w:rsidRDefault="00000000">
      <w:r>
        <w:pict w14:anchorId="509F91A7">
          <v:rect id="_x0000_i1386" style="width:0;height:1.5pt" o:hralign="center" o:hrstd="t" o:hr="t"/>
        </w:pict>
      </w:r>
    </w:p>
    <w:p w14:paraId="509F8ED9" w14:textId="77777777" w:rsidR="005C00BD" w:rsidRPr="009729F2" w:rsidRDefault="00000000" w:rsidP="009729F2">
      <w:pPr>
        <w:rPr>
          <w:b/>
          <w:bCs/>
        </w:rPr>
      </w:pPr>
      <w:bookmarkStart w:id="18" w:name="s3-operational-timing"/>
      <w:bookmarkEnd w:id="12"/>
      <w:bookmarkEnd w:id="17"/>
      <w:r w:rsidRPr="009729F2">
        <w:rPr>
          <w:b/>
          <w:bCs/>
        </w:rPr>
        <w:t>S3: Operational Timing</w:t>
      </w:r>
    </w:p>
    <w:tbl>
      <w:tblPr>
        <w:tblStyle w:val="Table"/>
        <w:tblW w:w="9455" w:type="dxa"/>
        <w:tblLook w:val="0020" w:firstRow="1" w:lastRow="0" w:firstColumn="0" w:lastColumn="0" w:noHBand="0" w:noVBand="0"/>
      </w:tblPr>
      <w:tblGrid>
        <w:gridCol w:w="4950"/>
        <w:gridCol w:w="4505"/>
      </w:tblGrid>
      <w:tr w:rsidR="005C00BD" w14:paraId="509F8EDC" w14:textId="77777777" w:rsidTr="009729F2">
        <w:trPr>
          <w:cnfStyle w:val="100000000000" w:firstRow="1" w:lastRow="0" w:firstColumn="0" w:lastColumn="0" w:oddVBand="0" w:evenVBand="0" w:oddHBand="0" w:evenHBand="0" w:firstRowFirstColumn="0" w:firstRowLastColumn="0" w:lastRowFirstColumn="0" w:lastRowLastColumn="0"/>
          <w:trHeight w:val="340"/>
          <w:tblHeader/>
        </w:trPr>
        <w:tc>
          <w:tcPr>
            <w:tcW w:w="0" w:type="auto"/>
          </w:tcPr>
          <w:p w14:paraId="509F8EDA" w14:textId="77777777" w:rsidR="005C00BD" w:rsidRDefault="00000000">
            <w:pPr>
              <w:pStyle w:val="Compact"/>
            </w:pPr>
            <w:r>
              <w:t>Attribute</w:t>
            </w:r>
          </w:p>
        </w:tc>
        <w:tc>
          <w:tcPr>
            <w:tcW w:w="0" w:type="auto"/>
          </w:tcPr>
          <w:p w14:paraId="509F8EDB" w14:textId="77777777" w:rsidR="005C00BD" w:rsidRDefault="00000000">
            <w:pPr>
              <w:pStyle w:val="Compact"/>
            </w:pPr>
            <w:r>
              <w:t>Value</w:t>
            </w:r>
          </w:p>
        </w:tc>
      </w:tr>
      <w:tr w:rsidR="005C00BD" w14:paraId="509F8EDF" w14:textId="77777777" w:rsidTr="009729F2">
        <w:trPr>
          <w:trHeight w:val="348"/>
        </w:trPr>
        <w:tc>
          <w:tcPr>
            <w:tcW w:w="0" w:type="auto"/>
          </w:tcPr>
          <w:p w14:paraId="509F8EDD" w14:textId="77777777" w:rsidR="005C00BD" w:rsidRDefault="00000000">
            <w:pPr>
              <w:pStyle w:val="Compact"/>
            </w:pPr>
            <w:r>
              <w:t>Central value</w:t>
            </w:r>
          </w:p>
        </w:tc>
        <w:tc>
          <w:tcPr>
            <w:tcW w:w="0" w:type="auto"/>
          </w:tcPr>
          <w:p w14:paraId="509F8EDE" w14:textId="77777777" w:rsidR="005C00BD" w:rsidRDefault="00000000">
            <w:pPr>
              <w:pStyle w:val="Compact"/>
            </w:pPr>
            <w:r>
              <w:t>0.90</w:t>
            </w:r>
          </w:p>
        </w:tc>
      </w:tr>
      <w:tr w:rsidR="005C00BD" w14:paraId="509F8EE2" w14:textId="77777777" w:rsidTr="009729F2">
        <w:trPr>
          <w:trHeight w:val="340"/>
        </w:trPr>
        <w:tc>
          <w:tcPr>
            <w:tcW w:w="0" w:type="auto"/>
          </w:tcPr>
          <w:p w14:paraId="509F8EE0" w14:textId="77777777" w:rsidR="005C00BD" w:rsidRDefault="00000000">
            <w:pPr>
              <w:pStyle w:val="Compact"/>
            </w:pPr>
            <w:r>
              <w:t>Range</w:t>
            </w:r>
          </w:p>
        </w:tc>
        <w:tc>
          <w:tcPr>
            <w:tcW w:w="0" w:type="auto"/>
          </w:tcPr>
          <w:p w14:paraId="509F8EE1" w14:textId="77777777" w:rsidR="005C00BD" w:rsidRDefault="00000000">
            <w:pPr>
              <w:pStyle w:val="Compact"/>
            </w:pPr>
            <w:proofErr w:type="gramStart"/>
            <w:r>
              <w:t>Uniform[</w:t>
            </w:r>
            <w:proofErr w:type="gramEnd"/>
            <w:r>
              <w:t>0.85, 0.95]</w:t>
            </w:r>
          </w:p>
        </w:tc>
      </w:tr>
      <w:tr w:rsidR="005C00BD" w14:paraId="509F8EE5" w14:textId="77777777" w:rsidTr="009729F2">
        <w:trPr>
          <w:trHeight w:val="348"/>
        </w:trPr>
        <w:tc>
          <w:tcPr>
            <w:tcW w:w="0" w:type="auto"/>
          </w:tcPr>
          <w:p w14:paraId="509F8EE3" w14:textId="77777777" w:rsidR="005C00BD" w:rsidRDefault="00000000">
            <w:pPr>
              <w:pStyle w:val="Compact"/>
            </w:pPr>
            <w:r>
              <w:t>Grounding quality</w:t>
            </w:r>
          </w:p>
        </w:tc>
        <w:tc>
          <w:tcPr>
            <w:tcW w:w="0" w:type="auto"/>
          </w:tcPr>
          <w:p w14:paraId="509F8EE4" w14:textId="77777777" w:rsidR="005C00BD" w:rsidRDefault="00000000">
            <w:pPr>
              <w:pStyle w:val="Compact"/>
            </w:pPr>
            <w:r>
              <w:t>DATA</w:t>
            </w:r>
          </w:p>
        </w:tc>
      </w:tr>
      <w:tr w:rsidR="005C00BD" w14:paraId="509F8EE8" w14:textId="77777777" w:rsidTr="009729F2">
        <w:trPr>
          <w:trHeight w:val="340"/>
        </w:trPr>
        <w:tc>
          <w:tcPr>
            <w:tcW w:w="0" w:type="auto"/>
          </w:tcPr>
          <w:p w14:paraId="509F8EE6" w14:textId="77777777" w:rsidR="005C00BD" w:rsidRDefault="00000000">
            <w:pPr>
              <w:pStyle w:val="Compact"/>
            </w:pPr>
            <w:r>
              <w:t>Variance contribution</w:t>
            </w:r>
          </w:p>
        </w:tc>
        <w:tc>
          <w:tcPr>
            <w:tcW w:w="0" w:type="auto"/>
          </w:tcPr>
          <w:p w14:paraId="509F8EE7" w14:textId="77777777" w:rsidR="005C00BD" w:rsidRDefault="00000000">
            <w:pPr>
              <w:pStyle w:val="Compact"/>
            </w:pPr>
            <w:r>
              <w:t>0.9%</w:t>
            </w:r>
          </w:p>
        </w:tc>
      </w:tr>
    </w:tbl>
    <w:p w14:paraId="509F8EE9" w14:textId="38DC9392" w:rsidR="005C00BD" w:rsidRPr="009729F2" w:rsidRDefault="009729F2" w:rsidP="009729F2">
      <w:pPr>
        <w:rPr>
          <w:i/>
          <w:iCs/>
        </w:rPr>
      </w:pPr>
      <w:bookmarkStart w:id="19" w:name="what-s3-measures"/>
      <w:r>
        <w:rPr>
          <w:i/>
          <w:iCs/>
        </w:rPr>
        <w:br/>
      </w:r>
      <w:r w:rsidRPr="009729F2">
        <w:rPr>
          <w:i/>
          <w:iCs/>
        </w:rPr>
        <w:t>What S3 Measures</w:t>
      </w:r>
    </w:p>
    <w:p w14:paraId="509F8EEA" w14:textId="77777777" w:rsidR="005C00BD" w:rsidRDefault="00000000">
      <w:pPr>
        <w:pStyle w:val="FirstParagraph"/>
      </w:pPr>
      <w:r>
        <w:lastRenderedPageBreak/>
        <w:t xml:space="preserve">S3 answers: </w:t>
      </w:r>
      <w:r>
        <w:rPr>
          <w:i/>
          <w:iCs/>
        </w:rPr>
        <w:t>of the S1-eligible, S2-unconstrained inference workloads, what fraction can complete the migration operation within the grid operator’s emergency dispatch window?</w:t>
      </w:r>
    </w:p>
    <w:p w14:paraId="509F8EEB" w14:textId="77777777" w:rsidR="005C00BD" w:rsidRDefault="00000000">
      <w:pPr>
        <w:pStyle w:val="BodyText"/>
      </w:pPr>
      <w:r>
        <w:t>For inference workloads, “migration” means finishing in-flight requests at the source endpoint and routing new requests to the destination. There is no checkpoint, no optimizer state, no training run to interrupt. Active requests drain in seconds; new requests route immediately via load balancer configuration.</w:t>
      </w:r>
    </w:p>
    <w:p w14:paraId="509F8EEC" w14:textId="77777777" w:rsidR="005C00BD" w:rsidRPr="009729F2" w:rsidRDefault="00000000" w:rsidP="009729F2">
      <w:pPr>
        <w:rPr>
          <w:i/>
          <w:iCs/>
        </w:rPr>
      </w:pPr>
      <w:bookmarkStart w:id="20" w:name="the-timescale-mismatch"/>
      <w:bookmarkEnd w:id="19"/>
      <w:r w:rsidRPr="009729F2">
        <w:rPr>
          <w:i/>
          <w:iCs/>
        </w:rPr>
        <w:t>The Timescale Mismatch</w:t>
      </w:r>
    </w:p>
    <w:p w14:paraId="509F8EED" w14:textId="77777777" w:rsidR="005C00BD" w:rsidRDefault="00000000">
      <w:pPr>
        <w:pStyle w:val="FirstParagraph"/>
      </w:pPr>
      <w:r>
        <w:t>The empirical case rests on a two-orders-of-magnitude gap between the drain timescale and the dispatch notice timescale:</w:t>
      </w:r>
    </w:p>
    <w:p w14:paraId="739BC605" w14:textId="77777777" w:rsidR="00061A09" w:rsidRDefault="00061A09">
      <w:pPr>
        <w:pStyle w:val="Compact"/>
        <w:numPr>
          <w:ilvl w:val="0"/>
          <w:numId w:val="9"/>
        </w:numPr>
      </w:pPr>
      <w:r>
        <w:rPr>
          <w:b/>
          <w:bCs/>
        </w:rPr>
        <w:t>PJM dispatch window:</w:t>
      </w:r>
      <w:r>
        <w:t xml:space="preserve"> 10–30 minutes advance notice (PJM Manual 13, Emergency Operations, Rev. 97, 2025).</w:t>
      </w:r>
    </w:p>
    <w:p w14:paraId="509F8EEF" w14:textId="5BDACA9D" w:rsidR="005C00BD" w:rsidRDefault="00000000">
      <w:pPr>
        <w:pStyle w:val="Compact"/>
        <w:numPr>
          <w:ilvl w:val="0"/>
          <w:numId w:val="9"/>
        </w:numPr>
      </w:pPr>
      <w:r>
        <w:rPr>
          <w:b/>
          <w:bCs/>
        </w:rPr>
        <w:t>Inference drain time:</w:t>
      </w:r>
      <w:r>
        <w:t xml:space="preserve"> P99 of 4.5–12.1 seconds at 60 tokens/second.</w:t>
      </w:r>
    </w:p>
    <w:p w14:paraId="509F8EF0" w14:textId="77777777" w:rsidR="005C00BD" w:rsidRDefault="00000000">
      <w:pPr>
        <w:pStyle w:val="FirstParagraph"/>
      </w:pPr>
      <w:r>
        <w:t>Even at 10× the observed P99 drain time (i.e., ~120 seconds), the operation completes well within the 10-minute minimum notice period.</w:t>
      </w:r>
    </w:p>
    <w:p w14:paraId="509F8EF1" w14:textId="77777777" w:rsidR="005C00BD" w:rsidRDefault="00000000">
      <w:pPr>
        <w:pStyle w:val="Heading4"/>
      </w:pPr>
      <w:bookmarkStart w:id="21" w:name="empirical-validation-ne-paper-4"/>
      <w:bookmarkEnd w:id="20"/>
      <w:r>
        <w:t>Empirical Validation (NE Paper §4)</w:t>
      </w:r>
    </w:p>
    <w:p w14:paraId="509F8EF2" w14:textId="77777777" w:rsidR="005C00BD" w:rsidRDefault="00000000">
      <w:pPr>
        <w:pStyle w:val="FirstParagraph"/>
      </w:pPr>
      <w:r>
        <w:t>Two independent production inference datasets, totaling 49.3 million requests over a combined 128 days of observation:</w:t>
      </w:r>
    </w:p>
    <w:tbl>
      <w:tblPr>
        <w:tblStyle w:val="Table"/>
        <w:tblW w:w="5000" w:type="pct"/>
        <w:tblLook w:val="0020" w:firstRow="1" w:lastRow="0" w:firstColumn="0" w:lastColumn="0" w:noHBand="0" w:noVBand="0"/>
      </w:tblPr>
      <w:tblGrid>
        <w:gridCol w:w="1528"/>
        <w:gridCol w:w="2681"/>
        <w:gridCol w:w="1151"/>
        <w:gridCol w:w="1995"/>
        <w:gridCol w:w="2005"/>
      </w:tblGrid>
      <w:tr w:rsidR="005C00BD" w14:paraId="509F8EF8"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EF3" w14:textId="77777777" w:rsidR="005C00BD" w:rsidRDefault="00000000">
            <w:pPr>
              <w:pStyle w:val="Compact"/>
            </w:pPr>
            <w:r>
              <w:t>Dataset</w:t>
            </w:r>
          </w:p>
        </w:tc>
        <w:tc>
          <w:tcPr>
            <w:tcW w:w="0" w:type="auto"/>
          </w:tcPr>
          <w:p w14:paraId="509F8EF4" w14:textId="77777777" w:rsidR="005C00BD" w:rsidRDefault="00000000">
            <w:pPr>
              <w:pStyle w:val="Compact"/>
            </w:pPr>
            <w:r>
              <w:t>Source</w:t>
            </w:r>
          </w:p>
        </w:tc>
        <w:tc>
          <w:tcPr>
            <w:tcW w:w="0" w:type="auto"/>
          </w:tcPr>
          <w:p w14:paraId="509F8EF5" w14:textId="77777777" w:rsidR="005C00BD" w:rsidRDefault="00000000">
            <w:pPr>
              <w:pStyle w:val="Compact"/>
            </w:pPr>
            <w:r>
              <w:t>Requests</w:t>
            </w:r>
          </w:p>
        </w:tc>
        <w:tc>
          <w:tcPr>
            <w:tcW w:w="0" w:type="auto"/>
          </w:tcPr>
          <w:p w14:paraId="509F8EF6" w14:textId="77777777" w:rsidR="005C00BD" w:rsidRDefault="00000000">
            <w:pPr>
              <w:pStyle w:val="Compact"/>
            </w:pPr>
            <w:r>
              <w:t>Duration</w:t>
            </w:r>
          </w:p>
        </w:tc>
        <w:tc>
          <w:tcPr>
            <w:tcW w:w="0" w:type="auto"/>
          </w:tcPr>
          <w:p w14:paraId="509F8EF7" w14:textId="77777777" w:rsidR="005C00BD" w:rsidRDefault="00000000">
            <w:pPr>
              <w:pStyle w:val="Compact"/>
            </w:pPr>
            <w:r>
              <w:t xml:space="preserve">P99 Drain Time (60 </w:t>
            </w:r>
            <w:proofErr w:type="spellStart"/>
            <w:r>
              <w:t>tok</w:t>
            </w:r>
            <w:proofErr w:type="spellEnd"/>
            <w:r>
              <w:t>/s)</w:t>
            </w:r>
          </w:p>
        </w:tc>
      </w:tr>
      <w:tr w:rsidR="005C00BD" w14:paraId="509F8EFE" w14:textId="77777777">
        <w:tc>
          <w:tcPr>
            <w:tcW w:w="0" w:type="auto"/>
          </w:tcPr>
          <w:p w14:paraId="509F8EF9" w14:textId="77777777" w:rsidR="005C00BD" w:rsidRDefault="00000000">
            <w:pPr>
              <w:pStyle w:val="Compact"/>
            </w:pPr>
            <w:proofErr w:type="spellStart"/>
            <w:r>
              <w:t>DynamoLLM</w:t>
            </w:r>
            <w:proofErr w:type="spellEnd"/>
          </w:p>
        </w:tc>
        <w:tc>
          <w:tcPr>
            <w:tcW w:w="0" w:type="auto"/>
          </w:tcPr>
          <w:p w14:paraId="509F8EFA" w14:textId="77777777" w:rsidR="005C00BD" w:rsidRDefault="00000000">
            <w:pPr>
              <w:pStyle w:val="Compact"/>
            </w:pPr>
            <w:r>
              <w:t>Azure production infrastructure</w:t>
            </w:r>
          </w:p>
        </w:tc>
        <w:tc>
          <w:tcPr>
            <w:tcW w:w="0" w:type="auto"/>
          </w:tcPr>
          <w:p w14:paraId="509F8EFB" w14:textId="77777777" w:rsidR="005C00BD" w:rsidRDefault="00000000">
            <w:pPr>
              <w:pStyle w:val="Compact"/>
            </w:pPr>
            <w:r>
              <w:t>44.1M</w:t>
            </w:r>
          </w:p>
        </w:tc>
        <w:tc>
          <w:tcPr>
            <w:tcW w:w="0" w:type="auto"/>
          </w:tcPr>
          <w:p w14:paraId="509F8EFC" w14:textId="77777777" w:rsidR="005C00BD" w:rsidRDefault="00000000">
            <w:pPr>
              <w:pStyle w:val="Compact"/>
            </w:pPr>
            <w:r>
              <w:t>7 days (May 2024)</w:t>
            </w:r>
          </w:p>
        </w:tc>
        <w:tc>
          <w:tcPr>
            <w:tcW w:w="0" w:type="auto"/>
          </w:tcPr>
          <w:p w14:paraId="509F8EFD" w14:textId="77777777" w:rsidR="005C00BD" w:rsidRDefault="00000000">
            <w:pPr>
              <w:pStyle w:val="Compact"/>
            </w:pPr>
            <w:r>
              <w:t>Coding: 4.5s, Conv: 11.6s</w:t>
            </w:r>
          </w:p>
        </w:tc>
      </w:tr>
      <w:tr w:rsidR="005C00BD" w14:paraId="509F8F04" w14:textId="77777777">
        <w:tc>
          <w:tcPr>
            <w:tcW w:w="0" w:type="auto"/>
          </w:tcPr>
          <w:p w14:paraId="509F8EFF" w14:textId="77777777" w:rsidR="005C00BD" w:rsidRDefault="00000000">
            <w:pPr>
              <w:pStyle w:val="Compact"/>
            </w:pPr>
            <w:proofErr w:type="spellStart"/>
            <w:r>
              <w:t>BurstGPT</w:t>
            </w:r>
            <w:proofErr w:type="spellEnd"/>
          </w:p>
        </w:tc>
        <w:tc>
          <w:tcPr>
            <w:tcW w:w="0" w:type="auto"/>
          </w:tcPr>
          <w:p w14:paraId="509F8F00" w14:textId="77777777" w:rsidR="005C00BD" w:rsidRDefault="00000000">
            <w:pPr>
              <w:pStyle w:val="Compact"/>
            </w:pPr>
            <w:r>
              <w:t>Azure OpenAI regional endpoints</w:t>
            </w:r>
          </w:p>
        </w:tc>
        <w:tc>
          <w:tcPr>
            <w:tcW w:w="0" w:type="auto"/>
          </w:tcPr>
          <w:p w14:paraId="509F8F01" w14:textId="68709DAE" w:rsidR="005C00BD" w:rsidRDefault="00000000">
            <w:pPr>
              <w:pStyle w:val="Compact"/>
            </w:pPr>
            <w:r>
              <w:t>5.2</w:t>
            </w:r>
            <w:r w:rsidR="00C45327">
              <w:t>9</w:t>
            </w:r>
            <w:r>
              <w:t>M</w:t>
            </w:r>
          </w:p>
        </w:tc>
        <w:tc>
          <w:tcPr>
            <w:tcW w:w="0" w:type="auto"/>
          </w:tcPr>
          <w:p w14:paraId="509F8F02" w14:textId="77777777" w:rsidR="005C00BD" w:rsidRDefault="00000000">
            <w:pPr>
              <w:pStyle w:val="Compact"/>
            </w:pPr>
            <w:r>
              <w:t>121 days (Jan–Apr 2024)</w:t>
            </w:r>
          </w:p>
        </w:tc>
        <w:tc>
          <w:tcPr>
            <w:tcW w:w="0" w:type="auto"/>
          </w:tcPr>
          <w:p w14:paraId="509F8F03" w14:textId="77777777" w:rsidR="005C00BD" w:rsidRDefault="00000000">
            <w:pPr>
              <w:pStyle w:val="Compact"/>
            </w:pPr>
            <w:r>
              <w:t>12.1s</w:t>
            </w:r>
          </w:p>
        </w:tc>
      </w:tr>
    </w:tbl>
    <w:p w14:paraId="509F8F05" w14:textId="77777777" w:rsidR="005C00BD" w:rsidRDefault="00000000">
      <w:pPr>
        <w:pStyle w:val="BodyText"/>
      </w:pPr>
      <w:r>
        <w:t>The consistency of P99 drain times across two independent datasets from different Azure service tiers provides partial cross-validation. Both yield drain times approximately two orders of magnitude below the PJM dispatch window.</w:t>
      </w:r>
    </w:p>
    <w:p w14:paraId="509F8F06" w14:textId="77777777" w:rsidR="005C00BD" w:rsidRDefault="00000000">
      <w:pPr>
        <w:pStyle w:val="BodyText"/>
      </w:pPr>
      <w:r>
        <w:t>Drain times are computed at an assumed generation rate of 60 tokens per second. Sensitivity to this assumption is reported in Extended Data Fig. 2 of the NE paper; the timescale argument is robust to significant variation.</w:t>
      </w:r>
    </w:p>
    <w:p w14:paraId="509F8F07" w14:textId="77777777" w:rsidR="005C00BD" w:rsidRDefault="00000000">
      <w:pPr>
        <w:pStyle w:val="Heading4"/>
      </w:pPr>
      <w:bookmarkStart w:id="22" w:name="s3-0.90-the-10-reserve"/>
      <w:bookmarkEnd w:id="21"/>
      <w:r>
        <w:t>S3 = 0.90: The 10% Reserve</w:t>
      </w:r>
    </w:p>
    <w:p w14:paraId="509F8F08" w14:textId="77777777" w:rsidR="005C00BD" w:rsidRDefault="00000000">
      <w:pPr>
        <w:pStyle w:val="FirstParagraph"/>
      </w:pPr>
      <w:r>
        <w:t xml:space="preserve">The 10% excluded by S3 accommodates: - Long-running or batched inference requests (e.g., document-scale summarization, multi-step reasoning chains) - </w:t>
      </w:r>
      <w:proofErr w:type="gramStart"/>
      <w:r>
        <w:t>Multi-turn</w:t>
      </w:r>
      <w:proofErr w:type="gramEnd"/>
      <w:r>
        <w:t xml:space="preserve"> conversational sessions with persistent state that cannot be cleanly interrupted - Potential future workload types with longer completion times</w:t>
      </w:r>
    </w:p>
    <w:p w14:paraId="509F8F09" w14:textId="77777777" w:rsidR="005C00BD" w:rsidRDefault="00000000">
      <w:pPr>
        <w:pStyle w:val="Heading4"/>
      </w:pPr>
      <w:bookmarkStart w:id="23" w:name="Xf6056786ae0d0b526611e8ec7354a69af2fe053"/>
      <w:bookmarkEnd w:id="22"/>
      <w:r>
        <w:lastRenderedPageBreak/>
        <w:t>Four Operational Factors Reducing S3 from 1.0</w:t>
      </w:r>
    </w:p>
    <w:p w14:paraId="509F8F0A" w14:textId="77777777" w:rsidR="005C00BD" w:rsidRDefault="00000000">
      <w:pPr>
        <w:numPr>
          <w:ilvl w:val="0"/>
          <w:numId w:val="10"/>
        </w:numPr>
      </w:pPr>
      <w:r>
        <w:rPr>
          <w:b/>
          <w:bCs/>
        </w:rPr>
        <w:t xml:space="preserve">Mid-stream requests </w:t>
      </w:r>
      <w:proofErr w:type="gramStart"/>
      <w:r>
        <w:rPr>
          <w:b/>
          <w:bCs/>
        </w:rPr>
        <w:t>at the moment</w:t>
      </w:r>
      <w:proofErr w:type="gramEnd"/>
      <w:r>
        <w:rPr>
          <w:b/>
          <w:bCs/>
        </w:rPr>
        <w:t xml:space="preserve"> of dispatch.</w:t>
      </w:r>
      <w:r>
        <w:t xml:space="preserve"> Requests in the decode phase when the signal arrives must complete before the endpoint can be drained. The Azure traces confirm this completes in seconds, so the impact is a brief delay, not a failure.</w:t>
      </w:r>
    </w:p>
    <w:p w14:paraId="509F8F0B" w14:textId="77777777" w:rsidR="005C00BD" w:rsidRDefault="00000000">
      <w:pPr>
        <w:numPr>
          <w:ilvl w:val="0"/>
          <w:numId w:val="10"/>
        </w:numPr>
      </w:pPr>
      <w:r>
        <w:rPr>
          <w:b/>
          <w:bCs/>
        </w:rPr>
        <w:t>Health check and DNS propagation lag.</w:t>
      </w:r>
      <w:r>
        <w:t xml:space="preserve"> Load balancer health checks operate on polling intervals (typically 5–30 seconds). After the orchestrator marks a source endpoint as draining, downstream routers must detect the change and redirect traffic. Standard cloud load balancer configurations propagate health status within one to two polling cycles.</w:t>
      </w:r>
    </w:p>
    <w:p w14:paraId="509F8F0C" w14:textId="77777777" w:rsidR="005C00BD" w:rsidRDefault="00000000">
      <w:pPr>
        <w:numPr>
          <w:ilvl w:val="0"/>
          <w:numId w:val="10"/>
        </w:numPr>
      </w:pPr>
      <w:r>
        <w:rPr>
          <w:b/>
          <w:bCs/>
        </w:rPr>
        <w:t>Burst timing.</w:t>
      </w:r>
      <w:r>
        <w:t xml:space="preserve"> If the dispatch signal arrives during a request burst (peak-to-trough ratios of 2.0:1 to 10.0:1 in the Azure traces), drain time extends because more requests are in flight. At P99 burst load, the drain window is still under 30 seconds — well within the 10-minute minimum notice period.</w:t>
      </w:r>
    </w:p>
    <w:p w14:paraId="509F8F0D" w14:textId="77777777" w:rsidR="005C00BD" w:rsidRDefault="00000000">
      <w:pPr>
        <w:numPr>
          <w:ilvl w:val="0"/>
          <w:numId w:val="10"/>
        </w:numPr>
      </w:pPr>
      <w:r>
        <w:rPr>
          <w:b/>
          <w:bCs/>
        </w:rPr>
        <w:t>Configuration and orchestration errors.</w:t>
      </w:r>
      <w:r>
        <w:t xml:space="preserve"> The orchestration layer must correctly translate a PJM dispatch signal into endpoint-level routing changes across potentially dozens of serving clusters. The 10% reserve accounts for residual implementation risk: a misconfigured health check, a stale DNS cache, or an edge case in the orchestrator’s decision logic.</w:t>
      </w:r>
    </w:p>
    <w:p w14:paraId="509F8F0E" w14:textId="77777777" w:rsidR="005C00BD" w:rsidRDefault="00000000">
      <w:pPr>
        <w:pStyle w:val="FirstParagraph"/>
      </w:pPr>
      <w:r>
        <w:t>The [0.85, 0.95] range is deliberately tight because the timescale gap is so large. S3 contributes less than 1% of cascade variance.</w:t>
      </w:r>
    </w:p>
    <w:p w14:paraId="509F8F0F" w14:textId="77777777" w:rsidR="005C00BD" w:rsidRDefault="00000000">
      <w:r>
        <w:pict w14:anchorId="509F91A8">
          <v:rect id="_x0000_i1387" style="width:0;height:1.5pt" o:hralign="center" o:hrstd="t" o:hr="t"/>
        </w:pict>
      </w:r>
    </w:p>
    <w:p w14:paraId="509F8F10" w14:textId="77777777" w:rsidR="005C00BD" w:rsidRPr="009E699C" w:rsidRDefault="00000000" w:rsidP="009E699C">
      <w:pPr>
        <w:rPr>
          <w:b/>
          <w:bCs/>
        </w:rPr>
      </w:pPr>
      <w:bookmarkStart w:id="24" w:name="destination-side-parameters"/>
      <w:bookmarkEnd w:id="4"/>
      <w:bookmarkEnd w:id="18"/>
      <w:bookmarkEnd w:id="23"/>
      <w:r w:rsidRPr="009E699C">
        <w:rPr>
          <w:b/>
          <w:bCs/>
        </w:rPr>
        <w:t>3. Destination-Side Parameters</w:t>
      </w:r>
    </w:p>
    <w:p w14:paraId="509F8F11" w14:textId="77777777" w:rsidR="005C00BD" w:rsidRDefault="00000000">
      <w:pPr>
        <w:pStyle w:val="Heading3"/>
      </w:pPr>
      <w:bookmarkStart w:id="25" w:name="d1-cross-region-availability"/>
      <w:r>
        <w:t>D1: Cross-Region Availability</w:t>
      </w:r>
    </w:p>
    <w:tbl>
      <w:tblPr>
        <w:tblStyle w:val="Table"/>
        <w:tblW w:w="9397" w:type="dxa"/>
        <w:tblLook w:val="0020" w:firstRow="1" w:lastRow="0" w:firstColumn="0" w:lastColumn="0" w:noHBand="0" w:noVBand="0"/>
      </w:tblPr>
      <w:tblGrid>
        <w:gridCol w:w="4657"/>
        <w:gridCol w:w="4740"/>
      </w:tblGrid>
      <w:tr w:rsidR="005C00BD" w14:paraId="509F8F14" w14:textId="77777777" w:rsidTr="009E699C">
        <w:trPr>
          <w:cnfStyle w:val="100000000000" w:firstRow="1" w:lastRow="0" w:firstColumn="0" w:lastColumn="0" w:oddVBand="0" w:evenVBand="0" w:oddHBand="0" w:evenHBand="0" w:firstRowFirstColumn="0" w:firstRowLastColumn="0" w:lastRowFirstColumn="0" w:lastRowLastColumn="0"/>
          <w:trHeight w:val="359"/>
          <w:tblHeader/>
        </w:trPr>
        <w:tc>
          <w:tcPr>
            <w:tcW w:w="0" w:type="auto"/>
          </w:tcPr>
          <w:p w14:paraId="509F8F12" w14:textId="77777777" w:rsidR="005C00BD" w:rsidRDefault="00000000">
            <w:pPr>
              <w:pStyle w:val="Compact"/>
            </w:pPr>
            <w:r>
              <w:t>Attribute</w:t>
            </w:r>
          </w:p>
        </w:tc>
        <w:tc>
          <w:tcPr>
            <w:tcW w:w="0" w:type="auto"/>
          </w:tcPr>
          <w:p w14:paraId="509F8F13" w14:textId="77777777" w:rsidR="005C00BD" w:rsidRDefault="00000000">
            <w:pPr>
              <w:pStyle w:val="Compact"/>
            </w:pPr>
            <w:r>
              <w:t>Value</w:t>
            </w:r>
          </w:p>
        </w:tc>
      </w:tr>
      <w:tr w:rsidR="005C00BD" w14:paraId="509F8F17" w14:textId="77777777" w:rsidTr="009E699C">
        <w:trPr>
          <w:trHeight w:val="367"/>
        </w:trPr>
        <w:tc>
          <w:tcPr>
            <w:tcW w:w="0" w:type="auto"/>
          </w:tcPr>
          <w:p w14:paraId="509F8F15" w14:textId="77777777" w:rsidR="005C00BD" w:rsidRDefault="00000000">
            <w:pPr>
              <w:pStyle w:val="Compact"/>
            </w:pPr>
            <w:r>
              <w:t>Central value</w:t>
            </w:r>
          </w:p>
        </w:tc>
        <w:tc>
          <w:tcPr>
            <w:tcW w:w="0" w:type="auto"/>
          </w:tcPr>
          <w:p w14:paraId="509F8F16" w14:textId="77777777" w:rsidR="005C00BD" w:rsidRDefault="00000000">
            <w:pPr>
              <w:pStyle w:val="Compact"/>
            </w:pPr>
            <w:r>
              <w:t>0.99 (empirical)</w:t>
            </w:r>
          </w:p>
        </w:tc>
      </w:tr>
      <w:tr w:rsidR="005C00BD" w14:paraId="509F8F1A" w14:textId="77777777" w:rsidTr="009E699C">
        <w:trPr>
          <w:trHeight w:val="359"/>
        </w:trPr>
        <w:tc>
          <w:tcPr>
            <w:tcW w:w="0" w:type="auto"/>
          </w:tcPr>
          <w:p w14:paraId="509F8F18" w14:textId="77777777" w:rsidR="005C00BD" w:rsidRDefault="00000000">
            <w:pPr>
              <w:pStyle w:val="Compact"/>
            </w:pPr>
            <w:r>
              <w:t>Range</w:t>
            </w:r>
          </w:p>
        </w:tc>
        <w:tc>
          <w:tcPr>
            <w:tcW w:w="0" w:type="auto"/>
          </w:tcPr>
          <w:p w14:paraId="509F8F19" w14:textId="77777777" w:rsidR="005C00BD" w:rsidRDefault="00000000">
            <w:pPr>
              <w:pStyle w:val="Compact"/>
            </w:pPr>
            <w:proofErr w:type="gramStart"/>
            <w:r>
              <w:t>Uniform[</w:t>
            </w:r>
            <w:proofErr w:type="gramEnd"/>
            <w:r>
              <w:t>0.945, 0.995]</w:t>
            </w:r>
          </w:p>
        </w:tc>
      </w:tr>
      <w:tr w:rsidR="005C00BD" w14:paraId="509F8F1D" w14:textId="77777777" w:rsidTr="009E699C">
        <w:trPr>
          <w:trHeight w:val="367"/>
        </w:trPr>
        <w:tc>
          <w:tcPr>
            <w:tcW w:w="0" w:type="auto"/>
          </w:tcPr>
          <w:p w14:paraId="509F8F1B" w14:textId="77777777" w:rsidR="005C00BD" w:rsidRDefault="00000000">
            <w:pPr>
              <w:pStyle w:val="Compact"/>
            </w:pPr>
            <w:r>
              <w:t>Grounding quality</w:t>
            </w:r>
          </w:p>
        </w:tc>
        <w:tc>
          <w:tcPr>
            <w:tcW w:w="0" w:type="auto"/>
          </w:tcPr>
          <w:p w14:paraId="509F8F1C" w14:textId="77777777" w:rsidR="005C00BD" w:rsidRDefault="00000000">
            <w:pPr>
              <w:pStyle w:val="Compact"/>
            </w:pPr>
            <w:r>
              <w:t>DATA</w:t>
            </w:r>
          </w:p>
        </w:tc>
      </w:tr>
      <w:tr w:rsidR="005C00BD" w14:paraId="509F8F20" w14:textId="77777777" w:rsidTr="009E699C">
        <w:trPr>
          <w:trHeight w:val="359"/>
        </w:trPr>
        <w:tc>
          <w:tcPr>
            <w:tcW w:w="0" w:type="auto"/>
          </w:tcPr>
          <w:p w14:paraId="509F8F1E" w14:textId="77777777" w:rsidR="005C00BD" w:rsidRDefault="00000000">
            <w:pPr>
              <w:pStyle w:val="Compact"/>
            </w:pPr>
            <w:r>
              <w:t>Variance contribution</w:t>
            </w:r>
          </w:p>
        </w:tc>
        <w:tc>
          <w:tcPr>
            <w:tcW w:w="0" w:type="auto"/>
          </w:tcPr>
          <w:p w14:paraId="509F8F1F" w14:textId="77777777" w:rsidR="005C00BD" w:rsidRDefault="00000000">
            <w:pPr>
              <w:pStyle w:val="Compact"/>
            </w:pPr>
            <w:r>
              <w:t>0.1%</w:t>
            </w:r>
          </w:p>
        </w:tc>
      </w:tr>
    </w:tbl>
    <w:p w14:paraId="509F8F21" w14:textId="77777777" w:rsidR="005C00BD" w:rsidRDefault="00000000">
      <w:pPr>
        <w:pStyle w:val="Heading4"/>
      </w:pPr>
      <w:bookmarkStart w:id="26" w:name="what-d1-measures"/>
      <w:r>
        <w:t>What D1 Measures</w:t>
      </w:r>
    </w:p>
    <w:p w14:paraId="509F8F22" w14:textId="77777777" w:rsidR="005C00BD" w:rsidRDefault="00000000">
      <w:pPr>
        <w:pStyle w:val="FirstParagraph"/>
      </w:pPr>
      <w:r>
        <w:t xml:space="preserve">D1 answers: </w:t>
      </w:r>
      <w:r>
        <w:rPr>
          <w:i/>
          <w:iCs/>
        </w:rPr>
        <w:t>during a source-zone stress event, is at least one cross-region destination zone unstressed and available to receive migrated workload?</w:t>
      </w:r>
    </w:p>
    <w:p w14:paraId="509F8F23" w14:textId="77777777" w:rsidR="005C00BD" w:rsidRDefault="00000000">
      <w:pPr>
        <w:pStyle w:val="Heading4"/>
      </w:pPr>
      <w:bookmarkStart w:id="27" w:name="X03578bab197e52f007f6a840605d89a0587889d"/>
      <w:bookmarkEnd w:id="26"/>
      <w:r>
        <w:t>Treatment in the Two Monte Carlo Frameworks</w:t>
      </w:r>
    </w:p>
    <w:p w14:paraId="509F8F24" w14:textId="77777777" w:rsidR="005C00BD" w:rsidRDefault="00000000">
      <w:pPr>
        <w:pStyle w:val="Compact"/>
        <w:numPr>
          <w:ilvl w:val="0"/>
          <w:numId w:val="11"/>
        </w:numPr>
      </w:pPr>
      <w:r>
        <w:rPr>
          <w:b/>
          <w:bCs/>
        </w:rPr>
        <w:t>Unconditional cascade MC:</w:t>
      </w:r>
      <w:r>
        <w:t xml:space="preserve"> D1 is drawn from </w:t>
      </w:r>
      <w:proofErr w:type="gramStart"/>
      <w:r>
        <w:t>Uniform[</w:t>
      </w:r>
      <w:proofErr w:type="gramEnd"/>
      <w:r>
        <w:t>0.945, 0.995] as a parametric representation of availability uncertainty.</w:t>
      </w:r>
    </w:p>
    <w:p w14:paraId="509F8F25" w14:textId="77777777" w:rsidR="005C00BD" w:rsidRDefault="00000000">
      <w:pPr>
        <w:pStyle w:val="Compact"/>
        <w:numPr>
          <w:ilvl w:val="0"/>
          <w:numId w:val="11"/>
        </w:numPr>
      </w:pPr>
      <w:r>
        <w:rPr>
          <w:b/>
          <w:bCs/>
        </w:rPr>
        <w:t>Conditional MC (NE paper §5):</w:t>
      </w:r>
      <w:r>
        <w:t xml:space="preserve"> D1 is replaced by observed per-hour, per-destination binary realizations from the DA LMP data. This is the “conditional” in </w:t>
      </w:r>
      <w:r>
        <w:lastRenderedPageBreak/>
        <w:t>conditional Monte Carlo — the simulation conditions on actual grid states rather than drawing D1 parametrically.</w:t>
      </w:r>
    </w:p>
    <w:p w14:paraId="509F8F26" w14:textId="77777777" w:rsidR="005C00BD" w:rsidRDefault="00000000">
      <w:pPr>
        <w:pStyle w:val="Heading4"/>
      </w:pPr>
      <w:bookmarkStart w:id="28" w:name="empirical-result-ne-paper-3"/>
      <w:bookmarkEnd w:id="27"/>
      <w:r>
        <w:t>Empirical Result (NE Paper §3)</w:t>
      </w:r>
    </w:p>
    <w:p w14:paraId="509F8F27" w14:textId="3CFA7B74" w:rsidR="005C00BD" w:rsidRDefault="00000000">
      <w:pPr>
        <w:pStyle w:val="FirstParagraph"/>
      </w:pPr>
      <w:r>
        <w:t>Using 35,060 hours of day-ahead LMP data from January 2022 through December 2025 across 17 destination pricing zones mapped to verified data center locations (DOE/NREL Speed to Power county-level inventory):</w:t>
      </w:r>
    </w:p>
    <w:tbl>
      <w:tblPr>
        <w:tblStyle w:val="Table"/>
        <w:tblW w:w="5000" w:type="pct"/>
        <w:tblLook w:val="0020" w:firstRow="1" w:lastRow="0" w:firstColumn="0" w:lastColumn="0" w:noHBand="0" w:noVBand="0"/>
      </w:tblPr>
      <w:tblGrid>
        <w:gridCol w:w="3355"/>
        <w:gridCol w:w="1360"/>
        <w:gridCol w:w="1361"/>
        <w:gridCol w:w="1167"/>
        <w:gridCol w:w="2117"/>
      </w:tblGrid>
      <w:tr w:rsidR="005C00BD" w14:paraId="509F8F2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28" w14:textId="77777777" w:rsidR="005C00BD" w:rsidRDefault="00000000">
            <w:pPr>
              <w:pStyle w:val="Compact"/>
            </w:pPr>
            <w:r>
              <w:t>Source Zone</w:t>
            </w:r>
          </w:p>
        </w:tc>
        <w:tc>
          <w:tcPr>
            <w:tcW w:w="0" w:type="auto"/>
          </w:tcPr>
          <w:p w14:paraId="509F8F29" w14:textId="77777777" w:rsidR="005C00BD" w:rsidRDefault="00000000">
            <w:pPr>
              <w:pStyle w:val="Compact"/>
            </w:pPr>
            <w:r>
              <w:t>DC Capacity</w:t>
            </w:r>
          </w:p>
        </w:tc>
        <w:tc>
          <w:tcPr>
            <w:tcW w:w="0" w:type="auto"/>
          </w:tcPr>
          <w:p w14:paraId="509F8F2A" w14:textId="77777777" w:rsidR="005C00BD" w:rsidRDefault="00000000">
            <w:pPr>
              <w:pStyle w:val="Compact"/>
            </w:pPr>
            <w:r>
              <w:t>Stress Hours</w:t>
            </w:r>
          </w:p>
        </w:tc>
        <w:tc>
          <w:tcPr>
            <w:tcW w:w="0" w:type="auto"/>
          </w:tcPr>
          <w:p w14:paraId="509F8F2B" w14:textId="77777777" w:rsidR="005C00BD" w:rsidRDefault="00000000">
            <w:pPr>
              <w:pStyle w:val="Compact"/>
            </w:pPr>
            <w:r>
              <w:t>Available</w:t>
            </w:r>
          </w:p>
        </w:tc>
        <w:tc>
          <w:tcPr>
            <w:tcW w:w="0" w:type="auto"/>
          </w:tcPr>
          <w:p w14:paraId="509F8F2C" w14:textId="77777777" w:rsidR="005C00BD" w:rsidRDefault="00000000">
            <w:pPr>
              <w:pStyle w:val="Compact"/>
            </w:pPr>
            <w:r>
              <w:t>Dynamic Availability</w:t>
            </w:r>
          </w:p>
        </w:tc>
      </w:tr>
      <w:tr w:rsidR="005C00BD" w14:paraId="509F8F33" w14:textId="77777777">
        <w:tc>
          <w:tcPr>
            <w:tcW w:w="0" w:type="auto"/>
          </w:tcPr>
          <w:p w14:paraId="509F8F2E" w14:textId="77777777" w:rsidR="005C00BD" w:rsidRDefault="00000000">
            <w:pPr>
              <w:pStyle w:val="Compact"/>
            </w:pPr>
            <w:r>
              <w:t>PJM ComEd (Northern Illinois)</w:t>
            </w:r>
          </w:p>
        </w:tc>
        <w:tc>
          <w:tcPr>
            <w:tcW w:w="0" w:type="auto"/>
          </w:tcPr>
          <w:p w14:paraId="509F8F2F" w14:textId="77777777" w:rsidR="005C00BD" w:rsidRDefault="00000000">
            <w:pPr>
              <w:pStyle w:val="Compact"/>
            </w:pPr>
            <w:r>
              <w:t>1,647 MW</w:t>
            </w:r>
          </w:p>
        </w:tc>
        <w:tc>
          <w:tcPr>
            <w:tcW w:w="0" w:type="auto"/>
          </w:tcPr>
          <w:p w14:paraId="509F8F30" w14:textId="77777777" w:rsidR="005C00BD" w:rsidRDefault="00000000">
            <w:pPr>
              <w:pStyle w:val="Compact"/>
            </w:pPr>
            <w:r>
              <w:t>200</w:t>
            </w:r>
          </w:p>
        </w:tc>
        <w:tc>
          <w:tcPr>
            <w:tcW w:w="0" w:type="auto"/>
          </w:tcPr>
          <w:p w14:paraId="509F8F31" w14:textId="77777777" w:rsidR="005C00BD" w:rsidRDefault="00000000">
            <w:pPr>
              <w:pStyle w:val="Compact"/>
            </w:pPr>
            <w:r>
              <w:t>198</w:t>
            </w:r>
          </w:p>
        </w:tc>
        <w:tc>
          <w:tcPr>
            <w:tcW w:w="0" w:type="auto"/>
          </w:tcPr>
          <w:p w14:paraId="509F8F32" w14:textId="77777777" w:rsidR="005C00BD" w:rsidRDefault="00000000">
            <w:pPr>
              <w:pStyle w:val="Compact"/>
            </w:pPr>
            <w:r>
              <w:t>99.0%</w:t>
            </w:r>
          </w:p>
        </w:tc>
      </w:tr>
      <w:tr w:rsidR="005C00BD" w14:paraId="509F8F39" w14:textId="77777777">
        <w:tc>
          <w:tcPr>
            <w:tcW w:w="0" w:type="auto"/>
          </w:tcPr>
          <w:p w14:paraId="509F8F34" w14:textId="77777777" w:rsidR="005C00BD" w:rsidRDefault="00000000">
            <w:pPr>
              <w:pStyle w:val="Compact"/>
            </w:pPr>
            <w:r>
              <w:t>PJM Dominion (Northern Virginia)</w:t>
            </w:r>
          </w:p>
        </w:tc>
        <w:tc>
          <w:tcPr>
            <w:tcW w:w="0" w:type="auto"/>
          </w:tcPr>
          <w:p w14:paraId="509F8F35" w14:textId="77777777" w:rsidR="005C00BD" w:rsidRDefault="00000000">
            <w:pPr>
              <w:pStyle w:val="Compact"/>
            </w:pPr>
            <w:r>
              <w:t>9,431 MW</w:t>
            </w:r>
          </w:p>
        </w:tc>
        <w:tc>
          <w:tcPr>
            <w:tcW w:w="0" w:type="auto"/>
          </w:tcPr>
          <w:p w14:paraId="509F8F36" w14:textId="77777777" w:rsidR="005C00BD" w:rsidRDefault="00000000">
            <w:pPr>
              <w:pStyle w:val="Compact"/>
            </w:pPr>
            <w:r>
              <w:t>200</w:t>
            </w:r>
          </w:p>
        </w:tc>
        <w:tc>
          <w:tcPr>
            <w:tcW w:w="0" w:type="auto"/>
          </w:tcPr>
          <w:p w14:paraId="509F8F37" w14:textId="77777777" w:rsidR="005C00BD" w:rsidRDefault="00000000">
            <w:pPr>
              <w:pStyle w:val="Compact"/>
            </w:pPr>
            <w:r>
              <w:t>199</w:t>
            </w:r>
          </w:p>
        </w:tc>
        <w:tc>
          <w:tcPr>
            <w:tcW w:w="0" w:type="auto"/>
          </w:tcPr>
          <w:p w14:paraId="509F8F38" w14:textId="77777777" w:rsidR="005C00BD" w:rsidRDefault="00000000">
            <w:pPr>
              <w:pStyle w:val="Compact"/>
            </w:pPr>
            <w:r>
              <w:t>99.5%</w:t>
            </w:r>
          </w:p>
        </w:tc>
      </w:tr>
      <w:tr w:rsidR="005C00BD" w14:paraId="509F8F3F" w14:textId="77777777">
        <w:tc>
          <w:tcPr>
            <w:tcW w:w="0" w:type="auto"/>
          </w:tcPr>
          <w:p w14:paraId="509F8F3A" w14:textId="77777777" w:rsidR="005C00BD" w:rsidRDefault="00000000">
            <w:pPr>
              <w:pStyle w:val="Compact"/>
            </w:pPr>
            <w:r>
              <w:t>ERCOT LZ North (Dallas-Fort Worth)</w:t>
            </w:r>
          </w:p>
        </w:tc>
        <w:tc>
          <w:tcPr>
            <w:tcW w:w="0" w:type="auto"/>
          </w:tcPr>
          <w:p w14:paraId="509F8F3B" w14:textId="77777777" w:rsidR="005C00BD" w:rsidRDefault="00000000">
            <w:pPr>
              <w:pStyle w:val="Compact"/>
            </w:pPr>
            <w:r>
              <w:t>4,275 MW</w:t>
            </w:r>
          </w:p>
        </w:tc>
        <w:tc>
          <w:tcPr>
            <w:tcW w:w="0" w:type="auto"/>
          </w:tcPr>
          <w:p w14:paraId="509F8F3C" w14:textId="77777777" w:rsidR="005C00BD" w:rsidRDefault="00000000">
            <w:pPr>
              <w:pStyle w:val="Compact"/>
            </w:pPr>
            <w:r>
              <w:t>200</w:t>
            </w:r>
          </w:p>
        </w:tc>
        <w:tc>
          <w:tcPr>
            <w:tcW w:w="0" w:type="auto"/>
          </w:tcPr>
          <w:p w14:paraId="509F8F3D" w14:textId="77777777" w:rsidR="005C00BD" w:rsidRDefault="00000000">
            <w:pPr>
              <w:pStyle w:val="Compact"/>
            </w:pPr>
            <w:r>
              <w:t>200</w:t>
            </w:r>
          </w:p>
        </w:tc>
        <w:tc>
          <w:tcPr>
            <w:tcW w:w="0" w:type="auto"/>
          </w:tcPr>
          <w:p w14:paraId="509F8F3E" w14:textId="77777777" w:rsidR="005C00BD" w:rsidRDefault="00000000">
            <w:pPr>
              <w:pStyle w:val="Compact"/>
            </w:pPr>
            <w:r>
              <w:t>100.0%</w:t>
            </w:r>
          </w:p>
        </w:tc>
      </w:tr>
      <w:tr w:rsidR="005C00BD" w14:paraId="509F8F45" w14:textId="77777777">
        <w:tc>
          <w:tcPr>
            <w:tcW w:w="0" w:type="auto"/>
          </w:tcPr>
          <w:p w14:paraId="509F8F40" w14:textId="77777777" w:rsidR="005C00BD" w:rsidRDefault="00000000">
            <w:pPr>
              <w:pStyle w:val="Compact"/>
            </w:pPr>
            <w:r>
              <w:t>CAISO NP15 (Silicon Valley)</w:t>
            </w:r>
          </w:p>
        </w:tc>
        <w:tc>
          <w:tcPr>
            <w:tcW w:w="0" w:type="auto"/>
          </w:tcPr>
          <w:p w14:paraId="509F8F41" w14:textId="77777777" w:rsidR="005C00BD" w:rsidRDefault="00000000">
            <w:pPr>
              <w:pStyle w:val="Compact"/>
            </w:pPr>
            <w:r>
              <w:t>1,311 MW</w:t>
            </w:r>
          </w:p>
        </w:tc>
        <w:tc>
          <w:tcPr>
            <w:tcW w:w="0" w:type="auto"/>
          </w:tcPr>
          <w:p w14:paraId="509F8F42" w14:textId="77777777" w:rsidR="005C00BD" w:rsidRDefault="00000000">
            <w:pPr>
              <w:pStyle w:val="Compact"/>
            </w:pPr>
            <w:r>
              <w:t>200</w:t>
            </w:r>
          </w:p>
        </w:tc>
        <w:tc>
          <w:tcPr>
            <w:tcW w:w="0" w:type="auto"/>
          </w:tcPr>
          <w:p w14:paraId="509F8F43" w14:textId="77777777" w:rsidR="005C00BD" w:rsidRDefault="00000000">
            <w:pPr>
              <w:pStyle w:val="Compact"/>
            </w:pPr>
            <w:r>
              <w:t>200</w:t>
            </w:r>
          </w:p>
        </w:tc>
        <w:tc>
          <w:tcPr>
            <w:tcW w:w="0" w:type="auto"/>
          </w:tcPr>
          <w:p w14:paraId="509F8F44" w14:textId="77777777" w:rsidR="005C00BD" w:rsidRDefault="00000000">
            <w:pPr>
              <w:pStyle w:val="Compact"/>
            </w:pPr>
            <w:r>
              <w:t>100.0%</w:t>
            </w:r>
          </w:p>
        </w:tc>
      </w:tr>
    </w:tbl>
    <w:p w14:paraId="509F8F46" w14:textId="77777777" w:rsidR="005C00BD" w:rsidRDefault="00000000">
      <w:pPr>
        <w:pStyle w:val="BodyText"/>
      </w:pPr>
      <w:r>
        <w:t>The two ComEd failure hours cluster in the January 2024 Arctic Blast, a continental-scale cold event that simultaneously stressed every major grid.</w:t>
      </w:r>
    </w:p>
    <w:p w14:paraId="509F8F47" w14:textId="77777777" w:rsidR="005C00BD" w:rsidRDefault="00000000">
      <w:pPr>
        <w:pStyle w:val="Heading4"/>
      </w:pPr>
      <w:bookmarkStart w:id="29" w:name="the-interconnection-boundary-effect"/>
      <w:bookmarkEnd w:id="28"/>
      <w:r>
        <w:t>The Interconnection Boundary Effect</w:t>
      </w:r>
    </w:p>
    <w:p w14:paraId="509F8F48" w14:textId="77777777" w:rsidR="005C00BD" w:rsidRDefault="00000000">
      <w:pPr>
        <w:pStyle w:val="FirstParagraph"/>
      </w:pPr>
      <w:r>
        <w:t>The decorrelation structure reflects the electrical topology of the North American transmission system:</w:t>
      </w:r>
    </w:p>
    <w:p w14:paraId="509F8F49" w14:textId="40882E90" w:rsidR="005C00BD" w:rsidRDefault="00000000">
      <w:pPr>
        <w:numPr>
          <w:ilvl w:val="0"/>
          <w:numId w:val="12"/>
        </w:numPr>
      </w:pPr>
      <w:r>
        <w:rPr>
          <w:b/>
          <w:bCs/>
        </w:rPr>
        <w:t>Cross-interconnection destinations (ERCOT, CAISO):</w:t>
      </w:r>
      <w:r>
        <w:t xml:space="preserve"> ERCOT operates as an electrically isolated interconnection with no synchronous ties to the Eastern grid. CAISO has temporal offset and weather patterns largely independent from the Midwest. </w:t>
      </w:r>
      <w:r w:rsidR="004A7482">
        <w:t xml:space="preserve">Capacity-weighted overlap ranges from 3.7% (ERCOT, summer) to 14.0% (CAISO, annual) — that is, weighted by the data-center capacity mapped to each destination zone. (The companion stress decorrelation appendix reports the same relationships on an unweighted hour-count basis, where the annual ranges are 10–14% for both ERCOT and CAISO; the capacity-weighted numbers are lower because the largest-capacity destination zones are also the most decorrelated.) CAISO exhibits zero summer </w:t>
      </w:r>
      <w:proofErr w:type="gramStart"/>
      <w:r w:rsidR="004A7482">
        <w:t>overlap</w:t>
      </w:r>
      <w:proofErr w:type="gramEnd"/>
      <w:r w:rsidR="004A7482">
        <w:t xml:space="preserve"> across the four-year study period.</w:t>
      </w:r>
    </w:p>
    <w:p w14:paraId="509F8F4A" w14:textId="77777777" w:rsidR="005C00BD" w:rsidRDefault="00000000">
      <w:pPr>
        <w:numPr>
          <w:ilvl w:val="0"/>
          <w:numId w:val="12"/>
        </w:numPr>
      </w:pPr>
      <w:r>
        <w:rPr>
          <w:b/>
          <w:bCs/>
        </w:rPr>
        <w:t>Same-interconnection destinations (MISO, NYISO):</w:t>
      </w:r>
      <w:r>
        <w:t xml:space="preserve"> Substantially higher overlap consistent with shared exposure to regional weather systems and partial electrical coupling. MISO zones range from 43% to 66%, NYISO from 29% to 41%.</w:t>
      </w:r>
    </w:p>
    <w:p w14:paraId="509F8F4B" w14:textId="77777777" w:rsidR="005C00BD" w:rsidRDefault="00000000">
      <w:pPr>
        <w:pStyle w:val="FirstParagraph"/>
      </w:pPr>
      <w:r>
        <w:t>The interconnection boundary, not the balancing authority boundary, creates the strongest decorrelation.</w:t>
      </w:r>
    </w:p>
    <w:p w14:paraId="509F8F4C" w14:textId="77777777" w:rsidR="005C00BD" w:rsidRDefault="00000000">
      <w:pPr>
        <w:pStyle w:val="Heading4"/>
      </w:pPr>
      <w:bookmarkStart w:id="30" w:name="seasonal-decomposition"/>
      <w:bookmarkEnd w:id="29"/>
      <w:r>
        <w:lastRenderedPageBreak/>
        <w:t>Seasonal Decomposition</w:t>
      </w:r>
    </w:p>
    <w:p w14:paraId="509F8F4D" w14:textId="77777777" w:rsidR="005C00BD" w:rsidRDefault="00000000">
      <w:pPr>
        <w:pStyle w:val="Compact"/>
        <w:numPr>
          <w:ilvl w:val="0"/>
          <w:numId w:val="13"/>
        </w:numPr>
      </w:pPr>
      <w:r>
        <w:rPr>
          <w:b/>
          <w:bCs/>
        </w:rPr>
        <w:t>Summer:</w:t>
      </w:r>
      <w:r>
        <w:t xml:space="preserve"> ERCOT overlap with ComEd as low as 4–6%; CAISO is 0% — zero coincident summer stress hours across the entire 2022–2025 dataset.</w:t>
      </w:r>
    </w:p>
    <w:p w14:paraId="509F8F4E" w14:textId="77777777" w:rsidR="005C00BD" w:rsidRDefault="00000000">
      <w:pPr>
        <w:pStyle w:val="Compact"/>
        <w:numPr>
          <w:ilvl w:val="0"/>
          <w:numId w:val="13"/>
        </w:numPr>
      </w:pPr>
      <w:r>
        <w:rPr>
          <w:b/>
          <w:bCs/>
        </w:rPr>
        <w:t>Winter:</w:t>
      </w:r>
      <w:r>
        <w:t xml:space="preserve"> ERCOT overlap rises to ~28% in 2024 (Arctic Blast year); CAISO to ~38%. Even in winter, 72% and 62% of ComEd stress hours find ERCOT and CAISO respectively unstressed. The seasonal pattern confirms that summer is the cleanest case for spatial migration, with winter events broader but still manageable through multi-destination portfolio selection.</w:t>
      </w:r>
    </w:p>
    <w:p w14:paraId="509F8F4F" w14:textId="77777777" w:rsidR="005C00BD" w:rsidRDefault="00000000">
      <w:pPr>
        <w:pStyle w:val="Heading4"/>
      </w:pPr>
      <w:bookmarkStart w:id="31" w:name="range-justification-1"/>
      <w:bookmarkEnd w:id="30"/>
      <w:r>
        <w:t>Range Justification</w:t>
      </w:r>
    </w:p>
    <w:p w14:paraId="509F8F50" w14:textId="77777777" w:rsidR="005C00BD" w:rsidRDefault="00000000">
      <w:pPr>
        <w:pStyle w:val="Compact"/>
        <w:numPr>
          <w:ilvl w:val="0"/>
          <w:numId w:val="14"/>
        </w:numPr>
      </w:pPr>
      <w:r>
        <w:rPr>
          <w:b/>
          <w:bCs/>
        </w:rPr>
        <w:t>Conservative (0.945):</w:t>
      </w:r>
      <w:r>
        <w:t xml:space="preserve"> Accounts for the possibility that continental-scale cold events become more frequent due to climate change, and for the reflexivity concern — widespread spatial migration adoption could stress destinations during source events (a Goodhart’s Law dynamic).</w:t>
      </w:r>
    </w:p>
    <w:p w14:paraId="509F8F51" w14:textId="77777777" w:rsidR="005C00BD" w:rsidRDefault="00000000">
      <w:pPr>
        <w:pStyle w:val="Compact"/>
        <w:numPr>
          <w:ilvl w:val="0"/>
          <w:numId w:val="14"/>
        </w:numPr>
      </w:pPr>
      <w:r>
        <w:rPr>
          <w:b/>
          <w:bCs/>
        </w:rPr>
        <w:t>Central (0.99):</w:t>
      </w:r>
      <w:r>
        <w:t xml:space="preserve"> Empirical, directly observed from 35,060 hours of pricing data.</w:t>
      </w:r>
    </w:p>
    <w:p w14:paraId="509F8F52" w14:textId="77777777" w:rsidR="005C00BD" w:rsidRDefault="00000000">
      <w:pPr>
        <w:pStyle w:val="Compact"/>
        <w:numPr>
          <w:ilvl w:val="0"/>
          <w:numId w:val="14"/>
        </w:numPr>
      </w:pPr>
      <w:r>
        <w:rPr>
          <w:b/>
          <w:bCs/>
        </w:rPr>
        <w:t>Optimistic (0.995):</w:t>
      </w:r>
      <w:r>
        <w:t xml:space="preserve"> Reflects potential addition of SPP and ISO-NE destinations not yet in the dataset.</w:t>
      </w:r>
    </w:p>
    <w:p w14:paraId="509F8F53" w14:textId="77777777" w:rsidR="005C00BD" w:rsidRDefault="00000000">
      <w:pPr>
        <w:pStyle w:val="FirstParagraph"/>
      </w:pPr>
      <w:r>
        <w:t>D1 contributes less than 1% of cascade variance because its empirical range is narrow and its central value is near 1.0.</w:t>
      </w:r>
    </w:p>
    <w:p w14:paraId="509F8F54" w14:textId="77777777" w:rsidR="005C00BD" w:rsidRDefault="00000000">
      <w:r>
        <w:pict w14:anchorId="509F91A9">
          <v:rect id="_x0000_i1388" style="width:0;height:1.5pt" o:hralign="center" o:hrstd="t" o:hr="t"/>
        </w:pict>
      </w:r>
    </w:p>
    <w:p w14:paraId="2F3A320C" w14:textId="77777777" w:rsidR="00FE4F93" w:rsidRPr="00FE4F93" w:rsidRDefault="00FE4F93" w:rsidP="00FE4F93">
      <w:bookmarkStart w:id="32" w:name="d2-utilization-headroom"/>
      <w:bookmarkStart w:id="33" w:name="why-d2-is-the-largest-variance-driver"/>
      <w:bookmarkEnd w:id="25"/>
      <w:bookmarkEnd w:id="31"/>
      <w:r w:rsidRPr="00FE4F93">
        <w:rPr>
          <w:b/>
          <w:bCs/>
        </w:rPr>
        <w:t>D2: Utilization Headroom</w:t>
      </w:r>
    </w:p>
    <w:tbl>
      <w:tblPr>
        <w:tblStyle w:val="PlainTable1"/>
        <w:tblW w:w="0" w:type="auto"/>
        <w:tblLook w:val="04A0" w:firstRow="1" w:lastRow="0" w:firstColumn="1" w:lastColumn="0" w:noHBand="0" w:noVBand="1"/>
      </w:tblPr>
      <w:tblGrid>
        <w:gridCol w:w="4490"/>
        <w:gridCol w:w="2238"/>
      </w:tblGrid>
      <w:tr w:rsidR="00FE4F93" w:rsidRPr="00FE4F93" w14:paraId="6F7BFB0A" w14:textId="77777777" w:rsidTr="00FE4F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ED0CC" w14:textId="77777777" w:rsidR="00FE4F93" w:rsidRPr="00FE4F93" w:rsidRDefault="00FE4F93" w:rsidP="00FE4F93">
            <w:pPr>
              <w:spacing w:after="200"/>
            </w:pPr>
            <w:r w:rsidRPr="00FE4F93">
              <w:t>Attribute</w:t>
            </w:r>
          </w:p>
        </w:tc>
        <w:tc>
          <w:tcPr>
            <w:tcW w:w="0" w:type="auto"/>
            <w:hideMark/>
          </w:tcPr>
          <w:p w14:paraId="75BD0529" w14:textId="77777777" w:rsidR="00FE4F93" w:rsidRPr="00FE4F93" w:rsidRDefault="00FE4F93" w:rsidP="00FE4F93">
            <w:pPr>
              <w:spacing w:after="200"/>
              <w:cnfStyle w:val="100000000000" w:firstRow="1" w:lastRow="0" w:firstColumn="0" w:lastColumn="0" w:oddVBand="0" w:evenVBand="0" w:oddHBand="0" w:evenHBand="0" w:firstRowFirstColumn="0" w:firstRowLastColumn="0" w:lastRowFirstColumn="0" w:lastRowLastColumn="0"/>
            </w:pPr>
            <w:r w:rsidRPr="00FE4F93">
              <w:t>Value</w:t>
            </w:r>
          </w:p>
        </w:tc>
      </w:tr>
      <w:tr w:rsidR="00FE4F93" w:rsidRPr="00FE4F93" w14:paraId="266D893D" w14:textId="77777777" w:rsidTr="00FE4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AA64C" w14:textId="77777777" w:rsidR="00FE4F93" w:rsidRPr="00FE4F93" w:rsidRDefault="00FE4F93" w:rsidP="00FE4F93">
            <w:pPr>
              <w:spacing w:after="200"/>
            </w:pPr>
            <w:r w:rsidRPr="00FE4F93">
              <w:t>Central value (reference, not headline)</w:t>
            </w:r>
          </w:p>
        </w:tc>
        <w:tc>
          <w:tcPr>
            <w:tcW w:w="0" w:type="auto"/>
            <w:hideMark/>
          </w:tcPr>
          <w:p w14:paraId="6AAA683B" w14:textId="3F0FB584" w:rsidR="00FE4F93" w:rsidRPr="00FE4F93" w:rsidRDefault="00FE4F93" w:rsidP="00FE4F93">
            <w:pPr>
              <w:spacing w:after="200"/>
              <w:cnfStyle w:val="000000100000" w:firstRow="0" w:lastRow="0" w:firstColumn="0" w:lastColumn="0" w:oddVBand="0" w:evenVBand="0" w:oddHBand="1" w:evenHBand="0" w:firstRowFirstColumn="0" w:firstRowLastColumn="0" w:lastRowFirstColumn="0" w:lastRowLastColumn="0"/>
            </w:pPr>
            <w:r w:rsidRPr="00FE4F93">
              <w:t>0.3</w:t>
            </w:r>
            <w:r>
              <w:t>5</w:t>
            </w:r>
          </w:p>
        </w:tc>
      </w:tr>
      <w:tr w:rsidR="00FE4F93" w:rsidRPr="00FE4F93" w14:paraId="56B10197" w14:textId="77777777" w:rsidTr="00FE4F93">
        <w:tc>
          <w:tcPr>
            <w:cnfStyle w:val="001000000000" w:firstRow="0" w:lastRow="0" w:firstColumn="1" w:lastColumn="0" w:oddVBand="0" w:evenVBand="0" w:oddHBand="0" w:evenHBand="0" w:firstRowFirstColumn="0" w:firstRowLastColumn="0" w:lastRowFirstColumn="0" w:lastRowLastColumn="0"/>
            <w:tcW w:w="0" w:type="auto"/>
            <w:hideMark/>
          </w:tcPr>
          <w:p w14:paraId="53369F8F" w14:textId="77777777" w:rsidR="00FE4F93" w:rsidRPr="00FE4F93" w:rsidRDefault="00FE4F93" w:rsidP="00FE4F93">
            <w:pPr>
              <w:spacing w:after="200"/>
            </w:pPr>
            <w:r w:rsidRPr="00FE4F93">
              <w:t>Range (propagated in headline MC)</w:t>
            </w:r>
          </w:p>
        </w:tc>
        <w:tc>
          <w:tcPr>
            <w:tcW w:w="0" w:type="auto"/>
            <w:hideMark/>
          </w:tcPr>
          <w:p w14:paraId="719405D7" w14:textId="77777777" w:rsidR="00FE4F93" w:rsidRPr="00FE4F93" w:rsidRDefault="00FE4F93" w:rsidP="00FE4F93">
            <w:pPr>
              <w:spacing w:after="200"/>
              <w:cnfStyle w:val="000000000000" w:firstRow="0" w:lastRow="0" w:firstColumn="0" w:lastColumn="0" w:oddVBand="0" w:evenVBand="0" w:oddHBand="0" w:evenHBand="0" w:firstRowFirstColumn="0" w:firstRowLastColumn="0" w:lastRowFirstColumn="0" w:lastRowLastColumn="0"/>
            </w:pPr>
            <w:proofErr w:type="gramStart"/>
            <w:r w:rsidRPr="00FE4F93">
              <w:t>Uniform[</w:t>
            </w:r>
            <w:proofErr w:type="gramEnd"/>
            <w:r w:rsidRPr="00FE4F93">
              <w:t>0.20, 0.50]</w:t>
            </w:r>
          </w:p>
        </w:tc>
      </w:tr>
      <w:tr w:rsidR="00FE4F93" w:rsidRPr="00FE4F93" w14:paraId="6350DD42" w14:textId="77777777" w:rsidTr="00FE4F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6DAB1" w14:textId="77777777" w:rsidR="00FE4F93" w:rsidRPr="00FE4F93" w:rsidRDefault="00FE4F93" w:rsidP="00FE4F93">
            <w:pPr>
              <w:spacing w:after="200"/>
            </w:pPr>
            <w:r w:rsidRPr="00FE4F93">
              <w:t>Grounding quality</w:t>
            </w:r>
          </w:p>
        </w:tc>
        <w:tc>
          <w:tcPr>
            <w:tcW w:w="0" w:type="auto"/>
            <w:hideMark/>
          </w:tcPr>
          <w:p w14:paraId="3950942A" w14:textId="77777777" w:rsidR="00FE4F93" w:rsidRPr="00FE4F93" w:rsidRDefault="00FE4F93" w:rsidP="00FE4F93">
            <w:pPr>
              <w:spacing w:after="200"/>
              <w:cnfStyle w:val="000000100000" w:firstRow="0" w:lastRow="0" w:firstColumn="0" w:lastColumn="0" w:oddVBand="0" w:evenVBand="0" w:oddHBand="1" w:evenHBand="0" w:firstRowFirstColumn="0" w:firstRowLastColumn="0" w:lastRowFirstColumn="0" w:lastRowLastColumn="0"/>
            </w:pPr>
            <w:r w:rsidRPr="00FE4F93">
              <w:t>ESTIMATED-WEAK</w:t>
            </w:r>
          </w:p>
        </w:tc>
      </w:tr>
      <w:tr w:rsidR="00FE4F93" w:rsidRPr="00FE4F93" w14:paraId="3F5ED10D" w14:textId="77777777" w:rsidTr="00FE4F93">
        <w:tc>
          <w:tcPr>
            <w:cnfStyle w:val="001000000000" w:firstRow="0" w:lastRow="0" w:firstColumn="1" w:lastColumn="0" w:oddVBand="0" w:evenVBand="0" w:oddHBand="0" w:evenHBand="0" w:firstRowFirstColumn="0" w:firstRowLastColumn="0" w:lastRowFirstColumn="0" w:lastRowLastColumn="0"/>
            <w:tcW w:w="0" w:type="auto"/>
            <w:hideMark/>
          </w:tcPr>
          <w:p w14:paraId="30450A30" w14:textId="77777777" w:rsidR="00FE4F93" w:rsidRPr="00FE4F93" w:rsidRDefault="00FE4F93" w:rsidP="00FE4F93">
            <w:pPr>
              <w:spacing w:after="200"/>
            </w:pPr>
            <w:r w:rsidRPr="00FE4F93">
              <w:t>Variance contribution</w:t>
            </w:r>
          </w:p>
        </w:tc>
        <w:tc>
          <w:tcPr>
            <w:tcW w:w="0" w:type="auto"/>
            <w:hideMark/>
          </w:tcPr>
          <w:p w14:paraId="63A4ABC7" w14:textId="77777777" w:rsidR="00FE4F93" w:rsidRPr="00FE4F93" w:rsidRDefault="00FE4F93" w:rsidP="00FE4F93">
            <w:pPr>
              <w:spacing w:after="200"/>
              <w:cnfStyle w:val="000000000000" w:firstRow="0" w:lastRow="0" w:firstColumn="0" w:lastColumn="0" w:oddVBand="0" w:evenVBand="0" w:oddHBand="0" w:evenHBand="0" w:firstRowFirstColumn="0" w:firstRowLastColumn="0" w:lastRowFirstColumn="0" w:lastRowLastColumn="0"/>
            </w:pPr>
            <w:r w:rsidRPr="00FE4F93">
              <w:t>43.9% (highest)</w:t>
            </w:r>
          </w:p>
        </w:tc>
      </w:tr>
    </w:tbl>
    <w:p w14:paraId="5D2ECD65" w14:textId="77777777" w:rsidR="00FE4F93" w:rsidRDefault="00FE4F93" w:rsidP="00FE4F93">
      <w:pPr>
        <w:rPr>
          <w:b/>
          <w:bCs/>
        </w:rPr>
      </w:pPr>
    </w:p>
    <w:p w14:paraId="3386BECF" w14:textId="28298DB9" w:rsidR="00FE4F93" w:rsidRPr="00FE4F93" w:rsidRDefault="00FE4F93" w:rsidP="00FE4F93">
      <w:r w:rsidRPr="00FE4F93">
        <w:rPr>
          <w:b/>
          <w:bCs/>
        </w:rPr>
        <w:t>Role in the simulation</w:t>
      </w:r>
    </w:p>
    <w:p w14:paraId="5352D1EE" w14:textId="4D0C1EC1" w:rsidR="00FE4F93" w:rsidRPr="00FE4F93" w:rsidRDefault="00FE4F93" w:rsidP="00FE4F93">
      <w:r w:rsidRPr="00FE4F93">
        <w:t xml:space="preserve">The headline commitment-depth results in </w:t>
      </w:r>
      <w:r>
        <w:t xml:space="preserve">Section </w:t>
      </w:r>
      <w:r w:rsidRPr="00FE4F93">
        <w:t xml:space="preserve">5 are computed by a conditional Monte Carlo that draws D2 from </w:t>
      </w:r>
      <w:proofErr w:type="gramStart"/>
      <w:r w:rsidRPr="00FE4F93">
        <w:t>Uniform[</w:t>
      </w:r>
      <w:proofErr w:type="gramEnd"/>
      <w:r w:rsidRPr="00FE4F93">
        <w:t>0.20, 0.50] for each of 2,000 iterations × 200 ComEd stress hours (400,000 total draws). The central value of 0.3</w:t>
      </w:r>
      <w:r>
        <w:t>5</w:t>
      </w:r>
      <w:r w:rsidRPr="00FE4F93">
        <w:t xml:space="preserve"> is used only as a reference point — in variance decomposition (Part 2), in the 2D sensitivity surface (</w:t>
      </w:r>
      <w:r>
        <w:t xml:space="preserve">Section </w:t>
      </w:r>
      <w:r w:rsidRPr="00FE4F93">
        <w:t>6a), and as the range midpoint. Reported reliability curves, CVaR, and percent-constrained statistics propagate the full [0.20, 0.50] uncertainty rather than conditioning on the midpoint.</w:t>
      </w:r>
    </w:p>
    <w:p w14:paraId="2B4C8349" w14:textId="77777777" w:rsidR="00FE4F93" w:rsidRPr="00FE4F93" w:rsidRDefault="00FE4F93" w:rsidP="00FE4F93">
      <w:r w:rsidRPr="00FE4F93">
        <w:rPr>
          <w:b/>
          <w:bCs/>
        </w:rPr>
        <w:t>What D2 Measures</w:t>
      </w:r>
    </w:p>
    <w:p w14:paraId="3155499C" w14:textId="77777777" w:rsidR="00FE4F93" w:rsidRPr="00FE4F93" w:rsidRDefault="00FE4F93" w:rsidP="00FE4F93">
      <w:r w:rsidRPr="00FE4F93">
        <w:lastRenderedPageBreak/>
        <w:t xml:space="preserve">D2 answers: </w:t>
      </w:r>
      <w:r w:rsidRPr="00FE4F93">
        <w:rPr>
          <w:i/>
          <w:iCs/>
        </w:rPr>
        <w:t>at destination facilities, what fraction of GPU compute capacity is idle and available to absorb migrated inference workloads during grid stress hours?</w:t>
      </w:r>
    </w:p>
    <w:p w14:paraId="2FF5A117" w14:textId="1675F648" w:rsidR="00FE4F93" w:rsidRPr="00FE4F93" w:rsidRDefault="00FE4F93" w:rsidP="00FE4F93">
      <w:r w:rsidRPr="00FE4F93">
        <w:t xml:space="preserve">D2 represents GPU compute absorption capacity, not facility-level load factor. The distinction is critical: facility-level load factor includes cooling (30–40% of facility power per EPRI 2024), power conditioning, networking, and storage overhead. None of these can absorb migrated inference workloads. D2 measures headroom in the GPU </w:t>
      </w:r>
      <w:proofErr w:type="gramStart"/>
      <w:r w:rsidRPr="00FE4F93">
        <w:t>compute layer</w:t>
      </w:r>
      <w:proofErr w:type="gramEnd"/>
      <w:r w:rsidRPr="00FE4F93">
        <w:t xml:space="preserve"> specifically. We use facility-level and service-level utilization estimates as bounds on GPU-level headroom, since non-compute overhead scales only partially with IT load; when cited, we note which quantity each source measures</w:t>
      </w:r>
      <w:r w:rsidR="005C6C9C" w:rsidRPr="005C6C9C">
        <w:t xml:space="preserve"> (see the PUE stability evidence in Uptime 2024, discussed below)</w:t>
      </w:r>
      <w:r w:rsidRPr="00FE4F93">
        <w:t>.</w:t>
      </w:r>
    </w:p>
    <w:p w14:paraId="7D31CAC4" w14:textId="77777777" w:rsidR="00FE4F93" w:rsidRPr="00FE4F93" w:rsidRDefault="00FE4F93" w:rsidP="00FE4F93">
      <w:r w:rsidRPr="00FE4F93">
        <w:rPr>
          <w:b/>
          <w:bCs/>
        </w:rPr>
        <w:t>Evidence Base</w:t>
      </w:r>
    </w:p>
    <w:p w14:paraId="08524B32" w14:textId="77777777" w:rsidR="005C6C9C" w:rsidRPr="00FE4F93" w:rsidRDefault="005C6C9C" w:rsidP="005C6C9C">
      <w:r w:rsidRPr="00FE4F93">
        <w:t>No published study directly measures GPU-level utilization distributions at production AI inference facilities during grid stress hours. The D2 range is grounded in the following evidence:</w:t>
      </w:r>
    </w:p>
    <w:p w14:paraId="581B7609" w14:textId="7AB1B355" w:rsidR="005C6C9C" w:rsidRPr="00FE4F93" w:rsidRDefault="005C6C9C" w:rsidP="005C6C9C">
      <w:r w:rsidRPr="00FE4F93">
        <w:rPr>
          <w:b/>
          <w:bCs/>
          <w:i/>
          <w:iCs/>
        </w:rPr>
        <w:t>Direct evidence from production AI inference workloads.</w:t>
      </w:r>
      <w:r w:rsidRPr="00FE4F93">
        <w:t xml:space="preserve"> </w:t>
      </w:r>
      <w:r w:rsidR="00863F01" w:rsidRPr="00863F01">
        <w:t xml:space="preserve">Stojkovic et al. (2025, </w:t>
      </w:r>
      <w:proofErr w:type="spellStart"/>
      <w:r w:rsidR="00863F01" w:rsidRPr="00863F01">
        <w:t>DynamoLLM</w:t>
      </w:r>
      <w:proofErr w:type="spellEnd"/>
      <w:r w:rsidR="00863F01" w:rsidRPr="00863F01">
        <w:t>) report peak-to-valley load ratios from two production Microsoft Azure AI inference services of 3.3× (Conversation) and 34.6× (Coding) over one week of invocation traces</w:t>
      </w:r>
      <w:r w:rsidRPr="00FE4F93">
        <w:t>, with strong diurnal patterns peaking during working hours. These ratios imply average load is 30% of peak (Conversation) and as low as 3% of peak (Coding) during valley hours. This is the only source in our compilation that directly measures AI inference workload variability in production; it establishes that meaningful headroom exists at the service level during off-peak hours, while confirming that working-hour peaks are genuinely constrained. It does not resolve GPU-level utilization at individual facilities, because service load can be concentrated on active facilities while others idle.</w:t>
      </w:r>
    </w:p>
    <w:p w14:paraId="1ED0ADC8" w14:textId="3411D02E" w:rsidR="00FE4F93" w:rsidRDefault="00FE4F93" w:rsidP="00A958A3">
      <w:r w:rsidRPr="00FE4F93">
        <w:rPr>
          <w:b/>
          <w:bCs/>
          <w:i/>
          <w:iCs/>
        </w:rPr>
        <w:t>Fleet-level modeling evidence.</w:t>
      </w:r>
      <w:r w:rsidRPr="00FE4F93">
        <w:t xml:space="preserve"> </w:t>
      </w:r>
      <w:r w:rsidR="00A958A3">
        <w:t>Shehabi et al. (2024, LBNL-2001637) assume annual-average</w:t>
      </w:r>
      <w:r w:rsidR="00A958A3">
        <w:t xml:space="preserve"> </w:t>
      </w:r>
      <w:r w:rsidR="00A958A3">
        <w:t>operational time of 40% for AI inference servers and 80% for AI</w:t>
      </w:r>
      <w:r w:rsidR="00A958A3">
        <w:t xml:space="preserve"> </w:t>
      </w:r>
      <w:r w:rsidR="00A958A3">
        <w:t>training servers in their bottom-up model of U.S. data-center</w:t>
      </w:r>
      <w:r w:rsidR="00A958A3">
        <w:t xml:space="preserve"> </w:t>
      </w:r>
      <w:r w:rsidR="00A958A3">
        <w:t>energy use. These are modeling assumptions with sensitivity ranges</w:t>
      </w:r>
      <w:r w:rsidR="00A958A3">
        <w:t xml:space="preserve"> </w:t>
      </w:r>
      <w:r w:rsidR="00A958A3">
        <w:t>of 37.5-42.5% and 75-85% respectively, not empirical measurements.</w:t>
      </w:r>
      <w:r w:rsidR="00A958A3">
        <w:t xml:space="preserve"> </w:t>
      </w:r>
      <w:r w:rsidR="00A958A3">
        <w:t>For an inference-dominant fleet, this places typical operational</w:t>
      </w:r>
      <w:r w:rsidR="00A958A3">
        <w:t xml:space="preserve"> </w:t>
      </w:r>
      <w:r w:rsidR="00A958A3">
        <w:t xml:space="preserve">time meaningfully above the midpoint of our D2 range. We </w:t>
      </w:r>
      <w:proofErr w:type="gramStart"/>
      <w:r w:rsidR="00A958A3">
        <w:t>adopt</w:t>
      </w:r>
      <w:proofErr w:type="gramEnd"/>
      <w:r w:rsidR="00A958A3">
        <w:t xml:space="preserve"> a</w:t>
      </w:r>
      <w:r w:rsidR="00A958A3">
        <w:t xml:space="preserve"> </w:t>
      </w:r>
      <w:r w:rsidR="00A958A3">
        <w:t>more conservative range because (i) peak-hour utilization exceeds</w:t>
      </w:r>
      <w:r w:rsidR="00A958A3">
        <w:t xml:space="preserve"> </w:t>
      </w:r>
      <w:r w:rsidR="00A958A3">
        <w:t>annual average and our cascade requires headroom during grid stress</w:t>
      </w:r>
      <w:r w:rsidR="00A958A3">
        <w:t xml:space="preserve"> </w:t>
      </w:r>
      <w:r w:rsidR="00A958A3">
        <w:t>hours, and (ii) LBNL's values are scenario inputs rather than direct</w:t>
      </w:r>
      <w:r w:rsidR="00A958A3">
        <w:t xml:space="preserve"> </w:t>
      </w:r>
      <w:r w:rsidR="00A958A3">
        <w:t>measurements, and the report acknowledges that available direct</w:t>
      </w:r>
      <w:r w:rsidR="00A958A3">
        <w:t xml:space="preserve"> </w:t>
      </w:r>
      <w:r w:rsidR="00A958A3">
        <w:t>energy data is limited in this sector.</w:t>
      </w:r>
    </w:p>
    <w:p w14:paraId="62CD6B95" w14:textId="6C0059DA" w:rsidR="005C6C9C" w:rsidRDefault="005C6C9C" w:rsidP="00FE4F93">
      <w:r w:rsidRPr="005C6C9C">
        <w:rPr>
          <w:b/>
          <w:bCs/>
          <w:i/>
          <w:iCs/>
        </w:rPr>
        <w:t>Facility-level industry survey evidence.</w:t>
      </w:r>
      <w:r w:rsidRPr="005C6C9C">
        <w:rPr>
          <w:i/>
          <w:iCs/>
        </w:rPr>
        <w:t xml:space="preserve"> </w:t>
      </w:r>
      <w:r w:rsidRPr="005C6C9C">
        <w:t xml:space="preserve">Uptime Institute's 2024 Global Data Center Survey (n=526 facilities reporting PUE; broader survey n&gt;850 operators) reports that approximately one in four surveyed data centers operates at less than 40% of rated UPS capacity.¹ This is a power-utilization measurement against nameplate rather than a GPU-layer measurement, and it reflects the broad data center population — enterprise, colocation, and cloud/hosting segments, with hyperscale underrepresented — not the inference-dominant subpopulation our cascade targets. It is also a facility-average rather </w:t>
      </w:r>
      <w:r w:rsidRPr="005C6C9C">
        <w:lastRenderedPageBreak/>
        <w:t>than a stress-hour figure. With those limitations noted, the survey establishes that a non-trivial share of the installed base carries headroom well above our upper bound of 0.50 on an annualized facility basis. The same survey provides two supporting observations relevant to our range. First, only 23% of operators identify generative AI training or inference as the primary driver of their highest-density deployments; business applications (49%) and HPC (52% combined, with and without accelerators) still dominate, confirming that AI inference is a distinct workload segment within the surveyed population rather than representative of it. Second, the industry-average PUE has been stuck at 1.54–1.58 for six consecutive years (1.56 in 2024, 1.54 in 2025), consistent with our framing assumption that non-IT overhead does not scale linearly with IT load — if it did, rising AI utilization would be pulling PUE downward, which it is not. This corroborates treating facility-level utilization as a conservative lower bound on GPU-layer headroom rather than a direct substitute.</w:t>
      </w:r>
      <w:r>
        <w:rPr>
          <w:rStyle w:val="FootnoteReference"/>
        </w:rPr>
        <w:footnoteReference w:id="4"/>
      </w:r>
    </w:p>
    <w:p w14:paraId="214219ED" w14:textId="268BF9A4" w:rsidR="00863F01" w:rsidRPr="00FE4F93" w:rsidRDefault="00863F01" w:rsidP="00FE4F93">
      <w:r w:rsidRPr="00863F01">
        <w:t xml:space="preserve">Practitioner corroboration from a second </w:t>
      </w:r>
      <w:proofErr w:type="spellStart"/>
      <w:r w:rsidRPr="00863F01">
        <w:t>hyperscaler</w:t>
      </w:r>
      <w:proofErr w:type="spellEnd"/>
      <w:r w:rsidRPr="00863F01">
        <w:t xml:space="preserve">. Qi (2025), an inference technical lead at Meta speaking at </w:t>
      </w:r>
      <w:proofErr w:type="spellStart"/>
      <w:r w:rsidRPr="00863F01">
        <w:t>QCon</w:t>
      </w:r>
      <w:proofErr w:type="spellEnd"/>
      <w:r w:rsidRPr="00863F01">
        <w:t xml:space="preserve"> San Francisco, characterizes Meta's production LLM serving workload as exhibiting diurnal peaks and off-peaks, and frames the gap between peak and off-peak utilization as operationally recognized free capacity: 'look at the gap between the off-peaks and peaks, can we run something else to leverage this free capacity?' This is qualitative testimony rather than measurement, but it confirms at a second </w:t>
      </w:r>
      <w:proofErr w:type="spellStart"/>
      <w:r w:rsidRPr="00863F01">
        <w:t>hyperscaler</w:t>
      </w:r>
      <w:proofErr w:type="spellEnd"/>
      <w:r w:rsidRPr="00863F01">
        <w:t xml:space="preserve"> that the operational category D2 measures — fleet-level GPU utilization headroom available during off-peak hours — is real and actively recognized by practitioners.</w:t>
      </w:r>
    </w:p>
    <w:p w14:paraId="46A7A307" w14:textId="77777777" w:rsidR="00FE4F93" w:rsidRPr="00FE4F93" w:rsidRDefault="00FE4F93" w:rsidP="00FE4F93">
      <w:r w:rsidRPr="00FE4F93">
        <w:rPr>
          <w:b/>
          <w:bCs/>
          <w:i/>
          <w:iCs/>
        </w:rPr>
        <w:t>Workload-adjacent evidence</w:t>
      </w:r>
      <w:r w:rsidRPr="00FE4F93">
        <w:rPr>
          <w:i/>
          <w:iCs/>
        </w:rPr>
        <w:t>.</w:t>
      </w:r>
      <w:r w:rsidRPr="00FE4F93">
        <w:t xml:space="preserve"> Cortez et al. (2017) measure 2017 Azure enterprise VM CPU utilization and find 60% of VMs below 20% average and ~40% below 50% at the 95th percentile. This is production measurement, but enterprise CPU is not GPU inference. It supports the general proposition that commercial virtualized compute carries substantial headroom, without directly constraining GPU inference utilization.</w:t>
      </w:r>
    </w:p>
    <w:p w14:paraId="2826276D" w14:textId="77777777" w:rsidR="00FE4F93" w:rsidRPr="00FE4F93" w:rsidRDefault="00FE4F93" w:rsidP="00FE4F93">
      <w:r w:rsidRPr="00FE4F93">
        <w:rPr>
          <w:b/>
          <w:bCs/>
        </w:rPr>
        <w:t>Range Justification</w:t>
      </w:r>
    </w:p>
    <w:p w14:paraId="5AC338F1" w14:textId="77777777" w:rsidR="00FE4F93" w:rsidRPr="00FE4F93" w:rsidRDefault="00FE4F93" w:rsidP="00FE4F93">
      <w:r w:rsidRPr="00FE4F93">
        <w:t xml:space="preserve">The </w:t>
      </w:r>
      <w:proofErr w:type="gramStart"/>
      <w:r w:rsidRPr="00FE4F93">
        <w:t>Uniform[</w:t>
      </w:r>
      <w:proofErr w:type="gramEnd"/>
      <w:r w:rsidRPr="00FE4F93">
        <w:t>0.20, 0.50] range reflects:</w:t>
      </w:r>
    </w:p>
    <w:p w14:paraId="0E6C662C" w14:textId="77777777" w:rsidR="00FE4F93" w:rsidRPr="00FE4F93" w:rsidRDefault="00FE4F93" w:rsidP="00FE4F93">
      <w:pPr>
        <w:numPr>
          <w:ilvl w:val="0"/>
          <w:numId w:val="27"/>
        </w:numPr>
      </w:pPr>
      <w:r w:rsidRPr="00FE4F93">
        <w:rPr>
          <w:b/>
          <w:bCs/>
        </w:rPr>
        <w:t>Lower bound (0.20): commercial overprovisioning floor.</w:t>
      </w:r>
      <w:r w:rsidRPr="00FE4F93">
        <w:t xml:space="preserve"> Facilities maintain spare capacity for redundancy, burst handling, and business continuity — commercial rationales independent of spatial migration and robust across facility types. These sustain a minimum headroom of ~20% even during peak hours.</w:t>
      </w:r>
    </w:p>
    <w:p w14:paraId="6F9859AF" w14:textId="75369DEB" w:rsidR="00FE4F93" w:rsidRPr="00FE4F93" w:rsidRDefault="00FE4F93" w:rsidP="00A958A3">
      <w:pPr>
        <w:numPr>
          <w:ilvl w:val="0"/>
          <w:numId w:val="27"/>
        </w:numPr>
      </w:pPr>
      <w:r w:rsidRPr="00A958A3">
        <w:rPr>
          <w:b/>
          <w:bCs/>
        </w:rPr>
        <w:t xml:space="preserve">Upper bound (0.50): conservative relative to Shehabi's </w:t>
      </w:r>
      <w:r w:rsidR="00A958A3">
        <w:rPr>
          <w:b/>
          <w:bCs/>
        </w:rPr>
        <w:t>AI inference assumption</w:t>
      </w:r>
      <w:r w:rsidRPr="00A958A3">
        <w:rPr>
          <w:b/>
          <w:bCs/>
        </w:rPr>
        <w:t>.</w:t>
      </w:r>
      <w:r w:rsidRPr="00FE4F93">
        <w:t xml:space="preserve"> </w:t>
      </w:r>
      <w:r w:rsidR="00A958A3">
        <w:t>Shehabi's modeled 40% annual-average</w:t>
      </w:r>
      <w:r w:rsidR="00A958A3">
        <w:t xml:space="preserve"> </w:t>
      </w:r>
      <w:r w:rsidR="00A958A3">
        <w:t xml:space="preserve">operational time for AI </w:t>
      </w:r>
      <w:r w:rsidR="00A958A3">
        <w:lastRenderedPageBreak/>
        <w:t>inference servers (with a sensitivity range</w:t>
      </w:r>
      <w:r w:rsidR="00A958A3">
        <w:t xml:space="preserve"> </w:t>
      </w:r>
      <w:r w:rsidR="00A958A3">
        <w:t>of 37.5-42.5%) places typical operational time above our upper    bound. We cap at 0.50 because (a) our cascade targets stress hours</w:t>
      </w:r>
      <w:r w:rsidR="00A958A3">
        <w:t xml:space="preserve"> </w:t>
      </w:r>
      <w:r w:rsidR="00A958A3">
        <w:t>specifically, when utilization exceeds average, and (b) we want the</w:t>
      </w:r>
      <w:r w:rsidR="00A958A3">
        <w:t xml:space="preserve"> </w:t>
      </w:r>
      <w:r w:rsidR="00A958A3">
        <w:t>range bounded by values the cascade output remains plausible across,</w:t>
      </w:r>
      <w:r w:rsidR="00A958A3">
        <w:t xml:space="preserve"> </w:t>
      </w:r>
      <w:r w:rsidR="00A958A3">
        <w:t>not by the single highest modeled value in the literature. Uptime</w:t>
      </w:r>
      <w:r w:rsidR="00A958A3">
        <w:t xml:space="preserve"> </w:t>
      </w:r>
      <w:r w:rsidR="00A958A3">
        <w:t>2024 further corroborates that 0.50 is a conservative cap: roughly</w:t>
      </w:r>
      <w:r w:rsidR="00A958A3">
        <w:t xml:space="preserve"> </w:t>
      </w:r>
      <w:r w:rsidR="00A958A3">
        <w:t>a quarter of surveyed facilities operate below 40% of UPS capacity</w:t>
      </w:r>
      <w:r w:rsidR="00A958A3">
        <w:t xml:space="preserve"> </w:t>
      </w:r>
      <w:r w:rsidR="00A958A3">
        <w:t>on a facility-level basis, implying facility headroom above 0.60</w:t>
      </w:r>
      <w:r w:rsidR="00A958A3">
        <w:t xml:space="preserve"> </w:t>
      </w:r>
      <w:r w:rsidR="00A958A3">
        <w:t>for a non-trivial share of the installed base.</w:t>
      </w:r>
    </w:p>
    <w:p w14:paraId="42B57527" w14:textId="77777777" w:rsidR="00FE4F93" w:rsidRPr="00FE4F93" w:rsidRDefault="00FE4F93" w:rsidP="00FE4F93">
      <w:pPr>
        <w:numPr>
          <w:ilvl w:val="0"/>
          <w:numId w:val="27"/>
        </w:numPr>
      </w:pPr>
      <w:r w:rsidRPr="00FE4F93">
        <w:rPr>
          <w:b/>
          <w:bCs/>
        </w:rPr>
        <w:t>No empirical basis exists for narrower bounds.</w:t>
      </w:r>
      <w:r w:rsidRPr="00FE4F93">
        <w:t xml:space="preserve"> Narrowing would require either production inference telemetry during grid stress hours (unavailable publicly) or a principled argument for excluding plausible values (unavailable). The [0.20, 0.50] range is the honest representation of current evidence, and the cascade propagates this uncertainty explicitly rather than collapsing it to a point estimate.</w:t>
      </w:r>
    </w:p>
    <w:p w14:paraId="465C2645" w14:textId="77777777" w:rsidR="00FE4F93" w:rsidRPr="00FE4F93" w:rsidRDefault="00FE4F93" w:rsidP="00FE4F93">
      <w:r w:rsidRPr="00FE4F93">
        <w:rPr>
          <w:b/>
          <w:bCs/>
        </w:rPr>
        <w:t>Why D2 Drives Cascade Variance</w:t>
      </w:r>
    </w:p>
    <w:p w14:paraId="5834FB62" w14:textId="77777777" w:rsidR="00FE4F93" w:rsidRPr="00FE4F93" w:rsidRDefault="00FE4F93" w:rsidP="00FE4F93">
      <w:r w:rsidRPr="00FE4F93">
        <w:t xml:space="preserve">D2 contributes </w:t>
      </w:r>
      <w:r w:rsidRPr="00FE4F93">
        <w:rPr>
          <w:highlight w:val="yellow"/>
        </w:rPr>
        <w:t>43.9%</w:t>
      </w:r>
      <w:r w:rsidRPr="00FE4F93">
        <w:t xml:space="preserve"> of cascade variance (largest single contribution) because:</w:t>
      </w:r>
    </w:p>
    <w:p w14:paraId="039CC209" w14:textId="77777777" w:rsidR="00FE4F93" w:rsidRPr="00FE4F93" w:rsidRDefault="00FE4F93" w:rsidP="00FE4F93">
      <w:pPr>
        <w:numPr>
          <w:ilvl w:val="0"/>
          <w:numId w:val="28"/>
        </w:numPr>
      </w:pPr>
      <w:r w:rsidRPr="00FE4F93">
        <w:t>The [0.20, 0.50] range spans a factor of 2.5, and at low absolute values the multiplicative impact on the cascade product is large.</w:t>
      </w:r>
    </w:p>
    <w:p w14:paraId="2FCC882C" w14:textId="77777777" w:rsidR="00FE4F93" w:rsidRPr="00FE4F93" w:rsidRDefault="00FE4F93" w:rsidP="00FE4F93">
      <w:pPr>
        <w:numPr>
          <w:ilvl w:val="0"/>
          <w:numId w:val="28"/>
        </w:numPr>
      </w:pPr>
      <w:r w:rsidRPr="00FE4F93">
        <w:t>No published study directly measures GPU-level utilization distributions at production inference facilities during grid stress hours.</w:t>
      </w:r>
    </w:p>
    <w:p w14:paraId="5490BC9A" w14:textId="77777777" w:rsidR="00FE4F93" w:rsidRPr="00FE4F93" w:rsidRDefault="00FE4F93" w:rsidP="00FE4F93">
      <w:pPr>
        <w:numPr>
          <w:ilvl w:val="0"/>
          <w:numId w:val="28"/>
        </w:numPr>
      </w:pPr>
      <w:r w:rsidRPr="00FE4F93">
        <w:t xml:space="preserve">Utilization varies substantially by facility type (Shehabi: ~40% inferencing vs ~80% training), time of day (Stojkovic: peak-to-valley 3.3× to 34.6×), and workload mix — and none of the available </w:t>
      </w:r>
      <w:proofErr w:type="gramStart"/>
      <w:r w:rsidRPr="00FE4F93">
        <w:t>sources</w:t>
      </w:r>
      <w:proofErr w:type="gramEnd"/>
      <w:r w:rsidRPr="00FE4F93">
        <w:t xml:space="preserve"> maps cleanly onto our modeled population during the specific hours that matter for the cascade.</w:t>
      </w:r>
    </w:p>
    <w:p w14:paraId="4FA037C3" w14:textId="77777777" w:rsidR="00FE4F93" w:rsidRPr="00FE4F93" w:rsidRDefault="00FE4F93" w:rsidP="00FE4F93">
      <w:r w:rsidRPr="00FE4F93">
        <w:rPr>
          <w:b/>
          <w:bCs/>
        </w:rPr>
        <w:t>What would resolve this.</w:t>
      </w:r>
      <w:r w:rsidRPr="00FE4F93">
        <w:t xml:space="preserve"> GPU-level power draw or utilization telemetry from production inference facilities, specifically time-series data aligned to grid stress hours in the source interconnection. This is the single most valuable empirical contribution that hyperscale operators could make to tighten the cascade estimate.</w:t>
      </w:r>
    </w:p>
    <w:p w14:paraId="509F8F97" w14:textId="77777777" w:rsidR="005C00BD" w:rsidRDefault="00000000">
      <w:r>
        <w:pict w14:anchorId="509F91AA">
          <v:rect id="_x0000_i1389" style="width:0;height:1.5pt" o:hralign="center" o:hrstd="t" o:hr="t"/>
        </w:pict>
      </w:r>
    </w:p>
    <w:p w14:paraId="509F8F98" w14:textId="77777777" w:rsidR="005C00BD" w:rsidRDefault="00000000">
      <w:pPr>
        <w:pStyle w:val="Heading3"/>
      </w:pPr>
      <w:bookmarkStart w:id="34" w:name="d3-hardware-compatibility"/>
      <w:bookmarkEnd w:id="32"/>
      <w:bookmarkEnd w:id="33"/>
      <w:r>
        <w:t>D3: Hardware Compatibility</w:t>
      </w:r>
    </w:p>
    <w:tbl>
      <w:tblPr>
        <w:tblStyle w:val="Table"/>
        <w:tblW w:w="5000" w:type="pct"/>
        <w:tblLook w:val="0020" w:firstRow="1" w:lastRow="0" w:firstColumn="0" w:lastColumn="0" w:noHBand="0" w:noVBand="0"/>
      </w:tblPr>
      <w:tblGrid>
        <w:gridCol w:w="2373"/>
        <w:gridCol w:w="6987"/>
      </w:tblGrid>
      <w:tr w:rsidR="005C00BD" w14:paraId="509F8F9B"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99" w14:textId="77777777" w:rsidR="005C00BD" w:rsidRDefault="00000000">
            <w:pPr>
              <w:pStyle w:val="Compact"/>
            </w:pPr>
            <w:r>
              <w:t>Attribute</w:t>
            </w:r>
          </w:p>
        </w:tc>
        <w:tc>
          <w:tcPr>
            <w:tcW w:w="0" w:type="auto"/>
          </w:tcPr>
          <w:p w14:paraId="509F8F9A" w14:textId="77777777" w:rsidR="005C00BD" w:rsidRDefault="00000000">
            <w:pPr>
              <w:pStyle w:val="Compact"/>
            </w:pPr>
            <w:r>
              <w:t>Value</w:t>
            </w:r>
          </w:p>
        </w:tc>
      </w:tr>
      <w:tr w:rsidR="005C00BD" w14:paraId="509F8F9E" w14:textId="77777777">
        <w:tc>
          <w:tcPr>
            <w:tcW w:w="0" w:type="auto"/>
          </w:tcPr>
          <w:p w14:paraId="509F8F9C" w14:textId="77777777" w:rsidR="005C00BD" w:rsidRDefault="00000000">
            <w:pPr>
              <w:pStyle w:val="Compact"/>
            </w:pPr>
            <w:r>
              <w:t>Central value</w:t>
            </w:r>
          </w:p>
        </w:tc>
        <w:tc>
          <w:tcPr>
            <w:tcW w:w="0" w:type="auto"/>
          </w:tcPr>
          <w:p w14:paraId="509F8F9D" w14:textId="77777777" w:rsidR="005C00BD" w:rsidRDefault="00000000">
            <w:pPr>
              <w:pStyle w:val="Compact"/>
            </w:pPr>
            <w:r>
              <w:t>0.88</w:t>
            </w:r>
          </w:p>
        </w:tc>
      </w:tr>
      <w:tr w:rsidR="005C00BD" w14:paraId="509F8FA1" w14:textId="77777777">
        <w:tc>
          <w:tcPr>
            <w:tcW w:w="0" w:type="auto"/>
          </w:tcPr>
          <w:p w14:paraId="509F8F9F" w14:textId="77777777" w:rsidR="005C00BD" w:rsidRDefault="00000000">
            <w:pPr>
              <w:pStyle w:val="Compact"/>
            </w:pPr>
            <w:r>
              <w:t>Range</w:t>
            </w:r>
          </w:p>
        </w:tc>
        <w:tc>
          <w:tcPr>
            <w:tcW w:w="0" w:type="auto"/>
          </w:tcPr>
          <w:p w14:paraId="509F8FA0" w14:textId="77777777" w:rsidR="005C00BD" w:rsidRDefault="00000000">
            <w:pPr>
              <w:pStyle w:val="Compact"/>
            </w:pPr>
            <w:proofErr w:type="gramStart"/>
            <w:r>
              <w:t>Uniform[</w:t>
            </w:r>
            <w:proofErr w:type="gramEnd"/>
            <w:r>
              <w:t>0.80, 0.92] (unconditional MC); fixed at 0.88 in conditional MC</w:t>
            </w:r>
          </w:p>
        </w:tc>
      </w:tr>
      <w:tr w:rsidR="005C00BD" w14:paraId="509F8FA4" w14:textId="77777777">
        <w:tc>
          <w:tcPr>
            <w:tcW w:w="0" w:type="auto"/>
          </w:tcPr>
          <w:p w14:paraId="509F8FA2" w14:textId="77777777" w:rsidR="005C00BD" w:rsidRDefault="00000000">
            <w:pPr>
              <w:pStyle w:val="Compact"/>
            </w:pPr>
            <w:r>
              <w:t>Grounding quality</w:t>
            </w:r>
          </w:p>
        </w:tc>
        <w:tc>
          <w:tcPr>
            <w:tcW w:w="0" w:type="auto"/>
          </w:tcPr>
          <w:p w14:paraId="509F8FA3" w14:textId="77777777" w:rsidR="005C00BD" w:rsidRDefault="00000000">
            <w:pPr>
              <w:pStyle w:val="Compact"/>
            </w:pPr>
            <w:r>
              <w:t>ESTIMATED-MODERATE</w:t>
            </w:r>
          </w:p>
        </w:tc>
      </w:tr>
      <w:tr w:rsidR="005C00BD" w14:paraId="509F8FA7" w14:textId="77777777">
        <w:tc>
          <w:tcPr>
            <w:tcW w:w="0" w:type="auto"/>
          </w:tcPr>
          <w:p w14:paraId="509F8FA5" w14:textId="77777777" w:rsidR="005C00BD" w:rsidRDefault="00000000">
            <w:pPr>
              <w:pStyle w:val="Compact"/>
            </w:pPr>
            <w:r>
              <w:t>Variance contribution</w:t>
            </w:r>
          </w:p>
        </w:tc>
        <w:tc>
          <w:tcPr>
            <w:tcW w:w="0" w:type="auto"/>
          </w:tcPr>
          <w:p w14:paraId="509F8FA6" w14:textId="77777777" w:rsidR="005C00BD" w:rsidRDefault="00000000">
            <w:pPr>
              <w:pStyle w:val="Compact"/>
            </w:pPr>
            <w:r>
              <w:t>1.0%</w:t>
            </w:r>
          </w:p>
        </w:tc>
      </w:tr>
    </w:tbl>
    <w:p w14:paraId="509F8FA8" w14:textId="77777777" w:rsidR="005C00BD" w:rsidRDefault="00000000">
      <w:pPr>
        <w:pStyle w:val="Heading4"/>
      </w:pPr>
      <w:bookmarkStart w:id="35" w:name="what-d3-measures"/>
      <w:r>
        <w:lastRenderedPageBreak/>
        <w:t>What D3 Measures</w:t>
      </w:r>
    </w:p>
    <w:p w14:paraId="509F8FA9" w14:textId="77777777" w:rsidR="005C00BD" w:rsidRDefault="00000000">
      <w:pPr>
        <w:pStyle w:val="FirstParagraph"/>
      </w:pPr>
      <w:r>
        <w:t xml:space="preserve">D3 answers: </w:t>
      </w:r>
      <w:r>
        <w:rPr>
          <w:i/>
          <w:iCs/>
        </w:rPr>
        <w:t xml:space="preserve">can the destination facility </w:t>
      </w:r>
      <w:proofErr w:type="gramStart"/>
      <w:r>
        <w:rPr>
          <w:i/>
          <w:iCs/>
        </w:rPr>
        <w:t>actually run</w:t>
      </w:r>
      <w:proofErr w:type="gramEnd"/>
      <w:r>
        <w:rPr>
          <w:i/>
          <w:iCs/>
        </w:rPr>
        <w:t xml:space="preserve"> the migrating inference workload on its available GPU hardware?</w:t>
      </w:r>
    </w:p>
    <w:p w14:paraId="509F8FAA" w14:textId="77777777" w:rsidR="005C00BD" w:rsidRDefault="00000000">
      <w:pPr>
        <w:pStyle w:val="Heading4"/>
      </w:pPr>
      <w:bookmarkStart w:id="36" w:name="gpu-architecture-compatibility"/>
      <w:bookmarkEnd w:id="35"/>
      <w:r>
        <w:t>GPU Architecture Compatibility</w:t>
      </w:r>
    </w:p>
    <w:p w14:paraId="509F8FAB" w14:textId="77777777" w:rsidR="005C00BD" w:rsidRDefault="00000000">
      <w:pPr>
        <w:pStyle w:val="FirstParagraph"/>
      </w:pPr>
      <w:r>
        <w:t xml:space="preserve">NVIDIA’s CUDA driver provides </w:t>
      </w:r>
      <w:r>
        <w:rPr>
          <w:b/>
          <w:bCs/>
        </w:rPr>
        <w:t>backward compatibility:</w:t>
      </w:r>
      <w:r>
        <w:t xml:space="preserve"> a newer driver can run applications compiled for older CUDA toolkit versions. This means an inference model compiled for A100 (compute capability 8.0) runs on H100 (compute capability 9.0) without recompilation.</w:t>
      </w:r>
    </w:p>
    <w:p w14:paraId="509F8FAC" w14:textId="77777777" w:rsidR="005C00BD" w:rsidRDefault="00000000">
      <w:pPr>
        <w:pStyle w:val="BodyText"/>
      </w:pPr>
      <w:r>
        <w:t>Source: NVIDIA CUDA Compatibility Documentation (https://docs.nvidia.com/deploy/cuda-compatibility/)</w:t>
      </w:r>
    </w:p>
    <w:p w14:paraId="509F8FAD" w14:textId="75F0DD4B" w:rsidR="005C00BD" w:rsidRDefault="00000000">
      <w:pPr>
        <w:pStyle w:val="BodyText"/>
      </w:pPr>
      <w:r>
        <w:rPr>
          <w:b/>
          <w:bCs/>
        </w:rPr>
        <w:t>Forward compatibility</w:t>
      </w:r>
      <w:r>
        <w:t xml:space="preserve"> </w:t>
      </w:r>
      <w:r w:rsidR="006B61CE" w:rsidRPr="006B61CE">
        <w:t>(newer application on older driver across major release families) requires explicit installation of the CUDA Forward Compatibility package and is supported only on NVIDIA Data Center GPUs, select NGC Server Ready RTX SKUs, and Jetson boards (NVIDIA 2026).</w:t>
      </w:r>
    </w:p>
    <w:p w14:paraId="509F8FAE" w14:textId="77777777" w:rsidR="005C00BD" w:rsidRDefault="00000000">
      <w:pPr>
        <w:pStyle w:val="BodyText"/>
      </w:pPr>
      <w:r>
        <w:t>Source: NVIDIA CUDA Forward Compatibility Documentation (https://docs.nvidia.com/deploy/cuda-compatibility/forward-compatibility.html)</w:t>
      </w:r>
    </w:p>
    <w:p w14:paraId="509F8FAF" w14:textId="77777777" w:rsidR="005C00BD" w:rsidRDefault="00000000">
      <w:pPr>
        <w:pStyle w:val="Heading4"/>
      </w:pPr>
      <w:bookmarkStart w:id="37" w:name="the-tensorrt-llm-constraint"/>
      <w:bookmarkEnd w:id="36"/>
      <w:r>
        <w:t xml:space="preserve">The </w:t>
      </w:r>
      <w:proofErr w:type="spellStart"/>
      <w:r>
        <w:t>TensorRT</w:t>
      </w:r>
      <w:proofErr w:type="spellEnd"/>
      <w:r>
        <w:t>-LLM Constraint</w:t>
      </w:r>
    </w:p>
    <w:p w14:paraId="509F8FB0" w14:textId="77777777" w:rsidR="005C00BD" w:rsidRDefault="00000000">
      <w:pPr>
        <w:pStyle w:val="FirstParagraph"/>
      </w:pPr>
      <w:proofErr w:type="spellStart"/>
      <w:r>
        <w:t>TensorRT</w:t>
      </w:r>
      <w:proofErr w:type="spellEnd"/>
      <w:r>
        <w:t xml:space="preserve">-LLM compiles models to GPU-architecture-specific engines identified by CUDA compute capability (e.g., 80 for A100, 90 for Hopper). An A100 engine cannot execute on an H100 without recompilation, which adds 5–30 minutes per model depending on model size. A multi-site operator using </w:t>
      </w:r>
      <w:proofErr w:type="spellStart"/>
      <w:r>
        <w:t>TensorRT</w:t>
      </w:r>
      <w:proofErr w:type="spellEnd"/>
      <w:r>
        <w:t>-LLM would need to pre-stage compiled engines for all destination GPU architectures, or use framework-agnostic serving (</w:t>
      </w:r>
      <w:proofErr w:type="spellStart"/>
      <w:r>
        <w:t>vLLM</w:t>
      </w:r>
      <w:proofErr w:type="spellEnd"/>
      <w:r>
        <w:t>, TGI).</w:t>
      </w:r>
    </w:p>
    <w:p w14:paraId="509F8FB1" w14:textId="77777777" w:rsidR="005C00BD" w:rsidRDefault="00000000">
      <w:pPr>
        <w:pStyle w:val="BodyText"/>
      </w:pPr>
      <w:r>
        <w:t xml:space="preserve">Source: NVIDIA </w:t>
      </w:r>
      <w:proofErr w:type="spellStart"/>
      <w:r>
        <w:t>TensorRT</w:t>
      </w:r>
      <w:proofErr w:type="spellEnd"/>
      <w:r>
        <w:t>-LLM Support Matrix (https://nvidia.github.io/TensorRT-LLM/reference/support-matrix.html)</w:t>
      </w:r>
    </w:p>
    <w:p w14:paraId="509F8FB2" w14:textId="77777777" w:rsidR="005C00BD" w:rsidRDefault="00000000">
      <w:pPr>
        <w:pStyle w:val="Heading4"/>
      </w:pPr>
      <w:bookmarkStart w:id="38" w:name="framework-portability"/>
      <w:bookmarkEnd w:id="37"/>
      <w:r>
        <w:t>Framework Portability</w:t>
      </w:r>
    </w:p>
    <w:p w14:paraId="509F8FB3" w14:textId="77777777" w:rsidR="005C00BD" w:rsidRDefault="00000000">
      <w:pPr>
        <w:pStyle w:val="FirstParagraph"/>
      </w:pPr>
      <w:r>
        <w:t xml:space="preserve">The dominant inference serving frameworks reinforce hardware portability: - </w:t>
      </w:r>
      <w:proofErr w:type="spellStart"/>
      <w:r>
        <w:rPr>
          <w:b/>
          <w:bCs/>
        </w:rPr>
        <w:t>vLLM</w:t>
      </w:r>
      <w:proofErr w:type="spellEnd"/>
      <w:r>
        <w:t xml:space="preserve"> supports NVIDIA GPUs, AMD GPUs, Intel GPUs, and TPUs; designed for hardware independence (Red Hat, October 2025) - Standard deployments use containerized serving (Docker/Kubernetes), abstracting hardware specifics behind a consistent API</w:t>
      </w:r>
    </w:p>
    <w:p w14:paraId="509F8FB4" w14:textId="77777777" w:rsidR="005C00BD" w:rsidRDefault="00000000">
      <w:pPr>
        <w:pStyle w:val="Heading4"/>
      </w:pPr>
      <w:bookmarkStart w:id="39" w:name="d3-0.88"/>
      <w:bookmarkEnd w:id="38"/>
      <w:r>
        <w:t>D3 = 0.88</w:t>
      </w:r>
    </w:p>
    <w:p w14:paraId="509F8FB5" w14:textId="77777777" w:rsidR="005C00BD" w:rsidRDefault="00000000">
      <w:pPr>
        <w:pStyle w:val="FirstParagraph"/>
      </w:pPr>
      <w:r>
        <w:t>The 0.88 value reflects: - The fraction of the destination GPU fleet running compatible CUDA compute capabilities, accounting for the heterogeneous mix of GPU generations (V100, A100, H100, B100) - Residual risk from quantization format mismatches (FP8 on H100 vs FP16 on A100) and generation-specific GPU features - The assumption that participating operators pre-stage architecture-specific binaries but cannot guarantee coverage across every destination GPU variant</w:t>
      </w:r>
    </w:p>
    <w:p w14:paraId="509F8FB6" w14:textId="77777777" w:rsidR="005C00BD" w:rsidRDefault="00000000">
      <w:pPr>
        <w:pStyle w:val="BodyText"/>
      </w:pPr>
      <w:r>
        <w:lastRenderedPageBreak/>
        <w:t xml:space="preserve">D3 is held fixed in the conditional Monte Carlo because it is fundamentally a </w:t>
      </w:r>
      <w:r>
        <w:rPr>
          <w:b/>
          <w:bCs/>
        </w:rPr>
        <w:t>design parameter</w:t>
      </w:r>
      <w:r>
        <w:t xml:space="preserve">: participating operators solve hardware compatibility by construction through pre-staging. The 0.88 value accounts for the realistic fraction of the destination fleet that is compatible at any given time. In the unconditional cascade Monte Carlo used for variance decomposition, D3 is drawn from </w:t>
      </w:r>
      <w:proofErr w:type="gramStart"/>
      <w:r>
        <w:t>Uniform[</w:t>
      </w:r>
      <w:proofErr w:type="gramEnd"/>
      <w:r>
        <w:t>0.80, 0.92] to capture the uncertainty in fleet-wide hardware compatibility.</w:t>
      </w:r>
    </w:p>
    <w:p w14:paraId="509F8FB7" w14:textId="77777777" w:rsidR="005C00BD" w:rsidRDefault="00000000">
      <w:r>
        <w:pict w14:anchorId="509F91AB">
          <v:rect id="_x0000_i1390" style="width:0;height:1.5pt" o:hralign="center" o:hrstd="t" o:hr="t"/>
        </w:pict>
      </w:r>
    </w:p>
    <w:p w14:paraId="509F8FB8" w14:textId="77777777" w:rsidR="005C00BD" w:rsidRDefault="00000000">
      <w:pPr>
        <w:pStyle w:val="Heading3"/>
      </w:pPr>
      <w:bookmarkStart w:id="40" w:name="Xcf8933d29fa27c09156296ea8282f01e24b1ace"/>
      <w:bookmarkEnd w:id="34"/>
      <w:bookmarkEnd w:id="39"/>
      <w:commentRangeStart w:id="41"/>
      <w:r w:rsidRPr="00A05ABB">
        <w:rPr>
          <w:highlight w:val="yellow"/>
        </w:rPr>
        <w:t>D4: Inference Workload Share at Destination</w:t>
      </w:r>
      <w:commentRangeEnd w:id="41"/>
      <w:r w:rsidR="00A05ABB">
        <w:rPr>
          <w:rStyle w:val="CommentReference"/>
          <w:rFonts w:asciiTheme="minorHAnsi" w:eastAsiaTheme="minorHAnsi" w:hAnsiTheme="minorHAnsi" w:cstheme="minorBidi"/>
          <w:b w:val="0"/>
          <w:bCs w:val="0"/>
          <w:color w:val="auto"/>
        </w:rPr>
        <w:commentReference w:id="41"/>
      </w:r>
    </w:p>
    <w:tbl>
      <w:tblPr>
        <w:tblStyle w:val="Table"/>
        <w:tblW w:w="0" w:type="auto"/>
        <w:tblLook w:val="0020" w:firstRow="1" w:lastRow="0" w:firstColumn="0" w:lastColumn="0" w:noHBand="0" w:noVBand="0"/>
      </w:tblPr>
      <w:tblGrid>
        <w:gridCol w:w="2459"/>
        <w:gridCol w:w="2786"/>
      </w:tblGrid>
      <w:tr w:rsidR="005C00BD" w14:paraId="509F8FBB"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B9" w14:textId="77777777" w:rsidR="005C00BD" w:rsidRDefault="00000000">
            <w:pPr>
              <w:pStyle w:val="Compact"/>
            </w:pPr>
            <w:r>
              <w:t>Attribute</w:t>
            </w:r>
          </w:p>
        </w:tc>
        <w:tc>
          <w:tcPr>
            <w:tcW w:w="0" w:type="auto"/>
          </w:tcPr>
          <w:p w14:paraId="509F8FBA" w14:textId="77777777" w:rsidR="005C00BD" w:rsidRDefault="00000000">
            <w:pPr>
              <w:pStyle w:val="Compact"/>
            </w:pPr>
            <w:r>
              <w:t>Value</w:t>
            </w:r>
          </w:p>
        </w:tc>
      </w:tr>
      <w:tr w:rsidR="005C00BD" w14:paraId="509F8FBE" w14:textId="77777777">
        <w:tc>
          <w:tcPr>
            <w:tcW w:w="0" w:type="auto"/>
          </w:tcPr>
          <w:p w14:paraId="509F8FBC" w14:textId="77777777" w:rsidR="005C00BD" w:rsidRDefault="00000000">
            <w:pPr>
              <w:pStyle w:val="Compact"/>
            </w:pPr>
            <w:r>
              <w:t>Central value</w:t>
            </w:r>
          </w:p>
        </w:tc>
        <w:tc>
          <w:tcPr>
            <w:tcW w:w="0" w:type="auto"/>
          </w:tcPr>
          <w:p w14:paraId="509F8FBD" w14:textId="77777777" w:rsidR="005C00BD" w:rsidRDefault="00000000">
            <w:pPr>
              <w:pStyle w:val="Compact"/>
            </w:pPr>
            <w:r>
              <w:t>0.50</w:t>
            </w:r>
          </w:p>
        </w:tc>
      </w:tr>
      <w:tr w:rsidR="005C00BD" w14:paraId="509F8FC1" w14:textId="77777777">
        <w:tc>
          <w:tcPr>
            <w:tcW w:w="0" w:type="auto"/>
          </w:tcPr>
          <w:p w14:paraId="509F8FBF" w14:textId="77777777" w:rsidR="005C00BD" w:rsidRDefault="00000000">
            <w:pPr>
              <w:pStyle w:val="Compact"/>
            </w:pPr>
            <w:r>
              <w:t>Range</w:t>
            </w:r>
          </w:p>
        </w:tc>
        <w:tc>
          <w:tcPr>
            <w:tcW w:w="0" w:type="auto"/>
          </w:tcPr>
          <w:p w14:paraId="509F8FC0" w14:textId="77777777" w:rsidR="005C00BD" w:rsidRDefault="00000000">
            <w:pPr>
              <w:pStyle w:val="Compact"/>
            </w:pPr>
            <w:proofErr w:type="gramStart"/>
            <w:r>
              <w:t>Uniform[</w:t>
            </w:r>
            <w:proofErr w:type="gramEnd"/>
            <w:r>
              <w:t>0.33, 0.67]</w:t>
            </w:r>
          </w:p>
        </w:tc>
      </w:tr>
      <w:tr w:rsidR="005C00BD" w14:paraId="509F8FC4" w14:textId="77777777">
        <w:tc>
          <w:tcPr>
            <w:tcW w:w="0" w:type="auto"/>
          </w:tcPr>
          <w:p w14:paraId="509F8FC2" w14:textId="77777777" w:rsidR="005C00BD" w:rsidRDefault="00000000">
            <w:pPr>
              <w:pStyle w:val="Compact"/>
            </w:pPr>
            <w:r>
              <w:t>Grounding quality</w:t>
            </w:r>
          </w:p>
        </w:tc>
        <w:tc>
          <w:tcPr>
            <w:tcW w:w="0" w:type="auto"/>
          </w:tcPr>
          <w:p w14:paraId="509F8FC3" w14:textId="77777777" w:rsidR="005C00BD" w:rsidRDefault="00000000">
            <w:pPr>
              <w:pStyle w:val="Compact"/>
            </w:pPr>
            <w:r>
              <w:t>ESTIMATED-MODERATE</w:t>
            </w:r>
          </w:p>
        </w:tc>
      </w:tr>
      <w:tr w:rsidR="005C00BD" w14:paraId="509F8FC7" w14:textId="77777777">
        <w:tc>
          <w:tcPr>
            <w:tcW w:w="0" w:type="auto"/>
          </w:tcPr>
          <w:p w14:paraId="509F8FC5" w14:textId="77777777" w:rsidR="005C00BD" w:rsidRDefault="00000000">
            <w:pPr>
              <w:pStyle w:val="Compact"/>
            </w:pPr>
            <w:r>
              <w:t>Variance contribution</w:t>
            </w:r>
          </w:p>
        </w:tc>
        <w:tc>
          <w:tcPr>
            <w:tcW w:w="0" w:type="auto"/>
          </w:tcPr>
          <w:p w14:paraId="509F8FC6" w14:textId="77777777" w:rsidR="005C00BD" w:rsidRDefault="00000000">
            <w:pPr>
              <w:pStyle w:val="Compact"/>
            </w:pPr>
            <w:r>
              <w:t>27.9% (2nd highest)</w:t>
            </w:r>
          </w:p>
        </w:tc>
      </w:tr>
    </w:tbl>
    <w:p w14:paraId="509F8FC8" w14:textId="77777777" w:rsidR="005C00BD" w:rsidRDefault="00000000">
      <w:pPr>
        <w:pStyle w:val="Heading4"/>
      </w:pPr>
      <w:bookmarkStart w:id="42" w:name="what-d4-measures"/>
      <w:r>
        <w:t>What D4 Measures</w:t>
      </w:r>
    </w:p>
    <w:p w14:paraId="509F8FC9" w14:textId="77777777" w:rsidR="005C00BD" w:rsidRDefault="00000000">
      <w:pPr>
        <w:pStyle w:val="FirstParagraph"/>
      </w:pPr>
      <w:r>
        <w:t xml:space="preserve">D4 answers: </w:t>
      </w:r>
      <w:r>
        <w:rPr>
          <w:i/>
          <w:iCs/>
        </w:rPr>
        <w:t>at the destination facility, what fraction of GPU compute is running inference workloads (as opposed to training) that can yield capacity to incoming migrated requests?</w:t>
      </w:r>
    </w:p>
    <w:p w14:paraId="509F8FCA" w14:textId="77777777" w:rsidR="005C00BD" w:rsidRDefault="00000000">
      <w:pPr>
        <w:pStyle w:val="BodyText"/>
      </w:pPr>
      <w:r>
        <w:t xml:space="preserve">D4 is a </w:t>
      </w:r>
      <w:r>
        <w:rPr>
          <w:b/>
          <w:bCs/>
        </w:rPr>
        <w:t>destination-side</w:t>
      </w:r>
      <w:r>
        <w:t xml:space="preserve"> parameter, distinct from S1 (source-side). S1 measures the source facility’s workload composition; D4 measures the </w:t>
      </w:r>
      <w:proofErr w:type="gramStart"/>
      <w:r>
        <w:t>destination’s</w:t>
      </w:r>
      <w:proofErr w:type="gramEnd"/>
      <w:r>
        <w:t>. The migrating workload can only be absorbed by GPU capacity currently running compatible inference — training clusters with tightly synchronized GPU operations cannot absorb ad-hoc inference requests without disrupting training jobs.</w:t>
      </w:r>
    </w:p>
    <w:p w14:paraId="509F8FCB" w14:textId="77777777" w:rsidR="005C00BD" w:rsidRDefault="00000000">
      <w:pPr>
        <w:pStyle w:val="Heading4"/>
      </w:pPr>
      <w:bookmarkStart w:id="43" w:name="range-justification-2"/>
      <w:bookmarkEnd w:id="42"/>
      <w:r>
        <w:t>Range Justification</w:t>
      </w:r>
    </w:p>
    <w:p w14:paraId="509F8FCC" w14:textId="77777777" w:rsidR="005C00BD" w:rsidRDefault="00000000">
      <w:pPr>
        <w:pStyle w:val="FirstParagraph"/>
      </w:pPr>
      <w:r>
        <w:t>The range mirrors the industry-wide inference share trajectory:</w:t>
      </w:r>
    </w:p>
    <w:p w14:paraId="509F8FCD" w14:textId="77777777" w:rsidR="005C00BD" w:rsidRDefault="00000000">
      <w:pPr>
        <w:pStyle w:val="Compact"/>
        <w:numPr>
          <w:ilvl w:val="0"/>
          <w:numId w:val="16"/>
        </w:numPr>
      </w:pPr>
      <w:r>
        <w:rPr>
          <w:b/>
          <w:bCs/>
        </w:rPr>
        <w:t>Floor (0.33):</w:t>
      </w:r>
      <w:r>
        <w:t xml:space="preserve"> Conservative estimate for destination facilities with significant training commitment. Reflects 2023-era composition when inference was approximately one-third of compute (Deloitte, November 2025).</w:t>
      </w:r>
    </w:p>
    <w:p w14:paraId="509F8FCE" w14:textId="77777777" w:rsidR="005C00BD" w:rsidRDefault="00000000">
      <w:pPr>
        <w:pStyle w:val="Compact"/>
        <w:numPr>
          <w:ilvl w:val="0"/>
          <w:numId w:val="16"/>
        </w:numPr>
      </w:pPr>
      <w:r>
        <w:rPr>
          <w:b/>
          <w:bCs/>
        </w:rPr>
        <w:t>Central (0.50):</w:t>
      </w:r>
      <w:r>
        <w:t xml:space="preserve"> Current industry mix. Inference approximately half of </w:t>
      </w:r>
      <w:proofErr w:type="gramStart"/>
      <w:r>
        <w:t>compute</w:t>
      </w:r>
      <w:proofErr w:type="gramEnd"/>
      <w:r>
        <w:t xml:space="preserve"> in 2025 (Deloitte).</w:t>
      </w:r>
    </w:p>
    <w:p w14:paraId="509F8FCF" w14:textId="7B69D003" w:rsidR="005C00BD" w:rsidRDefault="00000000">
      <w:pPr>
        <w:pStyle w:val="Compact"/>
        <w:numPr>
          <w:ilvl w:val="0"/>
          <w:numId w:val="16"/>
        </w:numPr>
      </w:pPr>
      <w:r>
        <w:rPr>
          <w:b/>
          <w:bCs/>
        </w:rPr>
        <w:t>Ceiling (0.67):</w:t>
      </w:r>
      <w:r>
        <w:t xml:space="preserve"> </w:t>
      </w:r>
      <w:r w:rsidR="00C46C5B" w:rsidRPr="00C46C5B">
        <w:t>Near-term trajectory. Deloitte projects inference at two-thirds by 2026. McKinsey's base case projects inference reaching ~43% of total sector compute by 2030 (93 GW of 219 GW), but inference-specialized facilities skew much higher.</w:t>
      </w:r>
    </w:p>
    <w:p w14:paraId="509F8FD0" w14:textId="77777777" w:rsidR="005C00BD" w:rsidRDefault="00000000">
      <w:pPr>
        <w:pStyle w:val="Heading4"/>
      </w:pPr>
      <w:bookmarkStart w:id="44" w:name="why-d4-matters"/>
      <w:bookmarkEnd w:id="43"/>
      <w:r>
        <w:t>Why D4 Matters</w:t>
      </w:r>
    </w:p>
    <w:p w14:paraId="509F8FD1" w14:textId="77777777" w:rsidR="005C00BD" w:rsidRDefault="00000000">
      <w:pPr>
        <w:pStyle w:val="FirstParagraph"/>
      </w:pPr>
      <w:r>
        <w:t xml:space="preserve">D4 is the second-largest variance contributor (28%) and captures a structural trend: as the industry shifts from training-dominant to inference-dominant, D4 increases over time. This means the cascade product improves naturally without any policy intervention — the </w:t>
      </w:r>
      <w:r>
        <w:lastRenderedPageBreak/>
        <w:t>destination pool’s ability to absorb migrated inference grows as more facilities specialize in inference.</w:t>
      </w:r>
    </w:p>
    <w:p w14:paraId="509F8FD2" w14:textId="77777777" w:rsidR="005C00BD" w:rsidRDefault="00000000">
      <w:pPr>
        <w:pStyle w:val="BodyText"/>
      </w:pPr>
      <w:r>
        <w:t>D4 is not directly observable in public data. The inference-to-training ratio at specific destination facilities is an operational detail that operators do not disclose.</w:t>
      </w:r>
    </w:p>
    <w:p w14:paraId="509F8FD3" w14:textId="77777777" w:rsidR="005C00BD" w:rsidRDefault="00000000">
      <w:r>
        <w:pict w14:anchorId="509F91AC">
          <v:rect id="_x0000_i1391" style="width:0;height:1.5pt" o:hralign="center" o:hrstd="t" o:hr="t"/>
        </w:pict>
      </w:r>
    </w:p>
    <w:p w14:paraId="509F8FD4" w14:textId="77777777" w:rsidR="005C00BD" w:rsidRDefault="00000000">
      <w:pPr>
        <w:pStyle w:val="Heading3"/>
      </w:pPr>
      <w:bookmarkStart w:id="45" w:name="d5-pre-staging-readiness"/>
      <w:bookmarkEnd w:id="40"/>
      <w:bookmarkEnd w:id="44"/>
      <w:commentRangeStart w:id="46"/>
      <w:r>
        <w:t>D5: Pre-Staging Readiness</w:t>
      </w:r>
      <w:commentRangeEnd w:id="46"/>
      <w:r w:rsidR="00A05ABB">
        <w:rPr>
          <w:rStyle w:val="CommentReference"/>
          <w:rFonts w:asciiTheme="minorHAnsi" w:eastAsiaTheme="minorHAnsi" w:hAnsiTheme="minorHAnsi" w:cstheme="minorBidi"/>
          <w:b w:val="0"/>
          <w:bCs w:val="0"/>
          <w:color w:val="auto"/>
        </w:rPr>
        <w:commentReference w:id="46"/>
      </w:r>
    </w:p>
    <w:tbl>
      <w:tblPr>
        <w:tblStyle w:val="Table"/>
        <w:tblW w:w="0" w:type="auto"/>
        <w:tblLook w:val="0020" w:firstRow="1" w:lastRow="0" w:firstColumn="0" w:lastColumn="0" w:noHBand="0" w:noVBand="0"/>
      </w:tblPr>
      <w:tblGrid>
        <w:gridCol w:w="2459"/>
        <w:gridCol w:w="2284"/>
      </w:tblGrid>
      <w:tr w:rsidR="005C00BD" w14:paraId="509F8FD7"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D5" w14:textId="77777777" w:rsidR="005C00BD" w:rsidRDefault="00000000">
            <w:pPr>
              <w:pStyle w:val="Compact"/>
            </w:pPr>
            <w:r>
              <w:t>Attribute</w:t>
            </w:r>
          </w:p>
        </w:tc>
        <w:tc>
          <w:tcPr>
            <w:tcW w:w="0" w:type="auto"/>
          </w:tcPr>
          <w:p w14:paraId="509F8FD6" w14:textId="77777777" w:rsidR="005C00BD" w:rsidRDefault="00000000">
            <w:pPr>
              <w:pStyle w:val="Compact"/>
            </w:pPr>
            <w:r>
              <w:t>Value</w:t>
            </w:r>
          </w:p>
        </w:tc>
      </w:tr>
      <w:tr w:rsidR="005C00BD" w14:paraId="509F8FDA" w14:textId="77777777">
        <w:tc>
          <w:tcPr>
            <w:tcW w:w="0" w:type="auto"/>
          </w:tcPr>
          <w:p w14:paraId="509F8FD8" w14:textId="77777777" w:rsidR="005C00BD" w:rsidRDefault="00000000">
            <w:pPr>
              <w:pStyle w:val="Compact"/>
            </w:pPr>
            <w:r>
              <w:t>Central value</w:t>
            </w:r>
          </w:p>
        </w:tc>
        <w:tc>
          <w:tcPr>
            <w:tcW w:w="0" w:type="auto"/>
          </w:tcPr>
          <w:p w14:paraId="509F8FD9" w14:textId="77777777" w:rsidR="005C00BD" w:rsidRDefault="00000000">
            <w:pPr>
              <w:pStyle w:val="Compact"/>
            </w:pPr>
            <w:r>
              <w:t>0.65</w:t>
            </w:r>
          </w:p>
        </w:tc>
      </w:tr>
      <w:tr w:rsidR="005C00BD" w14:paraId="509F8FDD" w14:textId="77777777">
        <w:tc>
          <w:tcPr>
            <w:tcW w:w="0" w:type="auto"/>
          </w:tcPr>
          <w:p w14:paraId="509F8FDB" w14:textId="77777777" w:rsidR="005C00BD" w:rsidRDefault="00000000">
            <w:pPr>
              <w:pStyle w:val="Compact"/>
            </w:pPr>
            <w:r>
              <w:t>Range</w:t>
            </w:r>
          </w:p>
        </w:tc>
        <w:tc>
          <w:tcPr>
            <w:tcW w:w="0" w:type="auto"/>
          </w:tcPr>
          <w:p w14:paraId="509F8FDC" w14:textId="77777777" w:rsidR="005C00BD" w:rsidRDefault="00000000">
            <w:pPr>
              <w:pStyle w:val="Compact"/>
            </w:pPr>
            <w:proofErr w:type="gramStart"/>
            <w:r>
              <w:t>Uniform[</w:t>
            </w:r>
            <w:proofErr w:type="gramEnd"/>
            <w:r>
              <w:t>0.50, 0.80]</w:t>
            </w:r>
          </w:p>
        </w:tc>
      </w:tr>
      <w:tr w:rsidR="005C00BD" w14:paraId="509F8FE0" w14:textId="77777777">
        <w:tc>
          <w:tcPr>
            <w:tcW w:w="0" w:type="auto"/>
          </w:tcPr>
          <w:p w14:paraId="509F8FDE" w14:textId="77777777" w:rsidR="005C00BD" w:rsidRDefault="00000000">
            <w:pPr>
              <w:pStyle w:val="Compact"/>
            </w:pPr>
            <w:r>
              <w:t>Grounding quality</w:t>
            </w:r>
          </w:p>
        </w:tc>
        <w:tc>
          <w:tcPr>
            <w:tcW w:w="0" w:type="auto"/>
          </w:tcPr>
          <w:p w14:paraId="509F8FDF" w14:textId="77777777" w:rsidR="005C00BD" w:rsidRDefault="00000000">
            <w:pPr>
              <w:pStyle w:val="Compact"/>
            </w:pPr>
            <w:r>
              <w:t>ESTIMATED-WEAK</w:t>
            </w:r>
          </w:p>
        </w:tc>
      </w:tr>
      <w:tr w:rsidR="005C00BD" w14:paraId="509F8FE3" w14:textId="77777777">
        <w:tc>
          <w:tcPr>
            <w:tcW w:w="0" w:type="auto"/>
          </w:tcPr>
          <w:p w14:paraId="509F8FE1" w14:textId="77777777" w:rsidR="005C00BD" w:rsidRDefault="00000000">
            <w:pPr>
              <w:pStyle w:val="Compact"/>
            </w:pPr>
            <w:r>
              <w:t>Variance contribution</w:t>
            </w:r>
          </w:p>
        </w:tc>
        <w:tc>
          <w:tcPr>
            <w:tcW w:w="0" w:type="auto"/>
          </w:tcPr>
          <w:p w14:paraId="509F8FE2" w14:textId="77777777" w:rsidR="005C00BD" w:rsidRDefault="00000000">
            <w:pPr>
              <w:pStyle w:val="Compact"/>
            </w:pPr>
            <w:r>
              <w:t>12.9% (3rd highest)</w:t>
            </w:r>
          </w:p>
        </w:tc>
      </w:tr>
    </w:tbl>
    <w:p w14:paraId="509F8FE4" w14:textId="77777777" w:rsidR="005C00BD" w:rsidRDefault="00000000">
      <w:pPr>
        <w:pStyle w:val="Heading4"/>
      </w:pPr>
      <w:bookmarkStart w:id="47" w:name="what-d5-measures"/>
      <w:r>
        <w:t>What D5 Measures</w:t>
      </w:r>
    </w:p>
    <w:p w14:paraId="509F8FE5" w14:textId="77777777" w:rsidR="005C00BD" w:rsidRDefault="00000000">
      <w:pPr>
        <w:pStyle w:val="FirstParagraph"/>
      </w:pPr>
      <w:r>
        <w:t xml:space="preserve">D5 answers: </w:t>
      </w:r>
      <w:r>
        <w:rPr>
          <w:i/>
          <w:iCs/>
        </w:rPr>
        <w:t>at destination facilities with available inference capacity and compatible hardware, what fraction has the necessary model weights pre-staged and serving infrastructure warm to accept migrated requests immediately?</w:t>
      </w:r>
    </w:p>
    <w:p w14:paraId="509F8FE6" w14:textId="77777777" w:rsidR="005C00BD" w:rsidRDefault="00000000">
      <w:pPr>
        <w:pStyle w:val="Heading4"/>
      </w:pPr>
      <w:bookmarkStart w:id="48" w:name="why-pre-staging-matters"/>
      <w:bookmarkEnd w:id="47"/>
      <w:r>
        <w:t>Why Pre-Staging Matters</w:t>
      </w:r>
    </w:p>
    <w:p w14:paraId="0355A171" w14:textId="77777777" w:rsidR="00FC1101" w:rsidRPr="00FC1101" w:rsidRDefault="00FC1101" w:rsidP="00FC1101">
      <w:pPr>
        <w:pStyle w:val="Heading4"/>
        <w:rPr>
          <w:rFonts w:ascii="Times New Roman" w:hAnsi="Times New Roman" w:cs="Times New Roman"/>
          <w:i w:val="0"/>
          <w:color w:val="auto"/>
        </w:rPr>
      </w:pPr>
      <w:bookmarkStart w:id="49" w:name="range-justification-3"/>
      <w:bookmarkEnd w:id="48"/>
      <w:r w:rsidRPr="00FC1101">
        <w:rPr>
          <w:rFonts w:ascii="Times New Roman" w:hAnsi="Times New Roman" w:cs="Times New Roman"/>
          <w:i w:val="0"/>
          <w:color w:val="auto"/>
        </w:rPr>
        <w:t>For inference spatial migration, model weights must already be loaded at the destination. Without pre-staging, three frictions apply:</w:t>
      </w:r>
    </w:p>
    <w:p w14:paraId="071F1424"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 xml:space="preserve">Frontier </w:t>
      </w:r>
      <w:proofErr w:type="gramStart"/>
      <w:r w:rsidRPr="00FC1101">
        <w:rPr>
          <w:rFonts w:ascii="Times New Roman" w:hAnsi="Times New Roman" w:cs="Times New Roman"/>
          <w:i w:val="0"/>
          <w:color w:val="auto"/>
        </w:rPr>
        <w:t>model weights</w:t>
      </w:r>
      <w:proofErr w:type="gramEnd"/>
      <w:r w:rsidRPr="00FC1101">
        <w:rPr>
          <w:rFonts w:ascii="Times New Roman" w:hAnsi="Times New Roman" w:cs="Times New Roman"/>
          <w:i w:val="0"/>
          <w:color w:val="auto"/>
        </w:rPr>
        <w:t xml:space="preserve"> are large. A 70B-parameter model in FP16 is approximately 140 GB; a 405B-parameter model is approximately 810 GB (</w:t>
      </w:r>
      <w:proofErr w:type="spellStart"/>
      <w:r w:rsidRPr="00FC1101">
        <w:rPr>
          <w:rFonts w:ascii="Times New Roman" w:hAnsi="Times New Roman" w:cs="Times New Roman"/>
          <w:i w:val="0"/>
          <w:color w:val="auto"/>
        </w:rPr>
        <w:t>Grattafiori</w:t>
      </w:r>
      <w:proofErr w:type="spellEnd"/>
      <w:r w:rsidRPr="00FC1101">
        <w:rPr>
          <w:rFonts w:ascii="Times New Roman" w:hAnsi="Times New Roman" w:cs="Times New Roman"/>
          <w:i w:val="0"/>
          <w:color w:val="auto"/>
        </w:rPr>
        <w:t xml:space="preserve"> et al. 2024).</w:t>
      </w:r>
    </w:p>
    <w:p w14:paraId="4E54635F"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Transferring 810 GB over a 100 Gbps link takes approximately 65 seconds as an arithmetic lower bound, adding latency and consuming WAN capacity that would otherwise serve user traffic.</w:t>
      </w:r>
    </w:p>
    <w:p w14:paraId="1675197E" w14:textId="77777777" w:rsidR="00FC1101" w:rsidRPr="00FC1101" w:rsidRDefault="00FC1101" w:rsidP="00FC1101">
      <w:pPr>
        <w:pStyle w:val="Heading4"/>
        <w:numPr>
          <w:ilvl w:val="0"/>
          <w:numId w:val="32"/>
        </w:numPr>
        <w:rPr>
          <w:rFonts w:ascii="Times New Roman" w:hAnsi="Times New Roman" w:cs="Times New Roman"/>
          <w:i w:val="0"/>
          <w:color w:val="auto"/>
        </w:rPr>
      </w:pPr>
      <w:r w:rsidRPr="00FC1101">
        <w:rPr>
          <w:rFonts w:ascii="Times New Roman" w:hAnsi="Times New Roman" w:cs="Times New Roman"/>
          <w:i w:val="0"/>
          <w:color w:val="auto"/>
        </w:rPr>
        <w:t xml:space="preserve">Cold-start latency — loading weights from storage into GPU memory and initializing the serving runtime — adds additional time ranging from tens of seconds for moderately sized models on high-throughput storage to several minutes for frontier-scale deployments (Dayan et al. 2025; Fu et al. 2024). Recent work including NVIDIA's </w:t>
      </w:r>
      <w:proofErr w:type="spellStart"/>
      <w:r w:rsidRPr="00FC1101">
        <w:rPr>
          <w:rFonts w:ascii="Times New Roman" w:hAnsi="Times New Roman" w:cs="Times New Roman"/>
          <w:i w:val="0"/>
          <w:color w:val="auto"/>
        </w:rPr>
        <w:t>Run:ai</w:t>
      </w:r>
      <w:proofErr w:type="spellEnd"/>
      <w:r w:rsidRPr="00FC1101">
        <w:rPr>
          <w:rFonts w:ascii="Times New Roman" w:hAnsi="Times New Roman" w:cs="Times New Roman"/>
          <w:i w:val="0"/>
          <w:color w:val="auto"/>
        </w:rPr>
        <w:t xml:space="preserve"> Model Streamer reduces but does not eliminate this cost.</w:t>
      </w:r>
    </w:p>
    <w:p w14:paraId="23EE3128" w14:textId="77777777" w:rsidR="00FC1101" w:rsidRDefault="00FC1101" w:rsidP="00A05ABB">
      <w:pPr>
        <w:pStyle w:val="Heading4"/>
        <w:rPr>
          <w:rFonts w:ascii="Times New Roman" w:hAnsi="Times New Roman" w:cs="Times New Roman"/>
          <w:i w:val="0"/>
          <w:iCs/>
          <w:color w:val="auto"/>
        </w:rPr>
      </w:pPr>
      <w:r w:rsidRPr="00FC1101">
        <w:rPr>
          <w:rFonts w:ascii="Times New Roman" w:hAnsi="Times New Roman" w:cs="Times New Roman"/>
          <w:i w:val="0"/>
          <w:iCs/>
          <w:color w:val="auto"/>
        </w:rPr>
        <w:t>With pre-staging, model weights are already resident at destination GPUs, migration reduces to a request-routing operation at the load balancer (millisecond-scale), and no WAN bandwidth is consumed for weight transfer during the stress event.</w:t>
      </w:r>
    </w:p>
    <w:p w14:paraId="30920BA5" w14:textId="7E33CA8B" w:rsidR="00A05ABB" w:rsidRDefault="00000000" w:rsidP="00A05ABB">
      <w:pPr>
        <w:pStyle w:val="Heading4"/>
        <w:rPr>
          <w:i w:val="0"/>
          <w:iCs/>
        </w:rPr>
      </w:pPr>
      <w:r w:rsidRPr="00A05ABB">
        <w:rPr>
          <w:i w:val="0"/>
          <w:iCs/>
        </w:rPr>
        <w:t>Range Justification</w:t>
      </w:r>
    </w:p>
    <w:p w14:paraId="647A2176" w14:textId="77777777" w:rsidR="00FC1101" w:rsidRDefault="00FC1101" w:rsidP="00A05ABB">
      <w:pPr>
        <w:pStyle w:val="BodyText"/>
      </w:pPr>
      <w:r w:rsidRPr="00FC1101">
        <w:t xml:space="preserve">D5 is the cascade parameter with the weakest public empirical grounding. No authoritative public dataset reports the fraction of AI-inference destination capacity with pre-staged weights and warm serving infrastructure at any given time. We therefore treat D5 as </w:t>
      </w:r>
      <w:r w:rsidRPr="00FC1101">
        <w:lastRenderedPageBreak/>
        <w:t xml:space="preserve">uniformly distributed over [0.50, 0.80], adopting the maximum-entropy specification given bound-only knowledge and reporting results across this range. The 12.9% variance contribution — the </w:t>
      </w:r>
      <w:proofErr w:type="gramStart"/>
      <w:r w:rsidRPr="00FC1101">
        <w:t>third-highest</w:t>
      </w:r>
      <w:proofErr w:type="gramEnd"/>
      <w:r w:rsidRPr="00FC1101">
        <w:t xml:space="preserve"> in the cascade — reflects this uncertainty rather than concealing it behind a point estimate.</w:t>
      </w:r>
    </w:p>
    <w:p w14:paraId="3598D048" w14:textId="28446F9A" w:rsidR="00A05ABB" w:rsidRPr="00A05ABB" w:rsidRDefault="00A05ABB" w:rsidP="00A05ABB">
      <w:pPr>
        <w:pStyle w:val="BodyText"/>
      </w:pPr>
      <w:r w:rsidRPr="00A05ABB">
        <w:t>The range endpoints are anchored as follows:</w:t>
      </w:r>
    </w:p>
    <w:p w14:paraId="427B2C0E" w14:textId="4757DE7E" w:rsidR="00A05ABB" w:rsidRPr="00A05ABB" w:rsidRDefault="00A05ABB" w:rsidP="00FC1101">
      <w:pPr>
        <w:pStyle w:val="BodyText"/>
        <w:numPr>
          <w:ilvl w:val="0"/>
          <w:numId w:val="30"/>
        </w:numPr>
      </w:pPr>
      <w:r w:rsidRPr="00A05ABB">
        <w:rPr>
          <w:b/>
          <w:bCs/>
          <w:i/>
          <w:iCs/>
        </w:rPr>
        <w:t>Floor (0.50)</w:t>
      </w:r>
      <w:r w:rsidRPr="00A05ABB">
        <w:rPr>
          <w:b/>
          <w:bCs/>
        </w:rPr>
        <w:t>:</w:t>
      </w:r>
      <w:r w:rsidRPr="00A05ABB">
        <w:t xml:space="preserve"> </w:t>
      </w:r>
      <w:r w:rsidR="00FC1101" w:rsidRPr="00FC1101">
        <w:t>The Microsoft Azure public serverless trace shows that approximately 40% of functions experience cold-start rates exceeding 25% within a 5-minute keep-alive window, with the longest-tail quartile exceeding 60% cold-start rates (Fu et al. 2024, analyzing Azure Public Dataset). Destinations serving only the most-requested models would exhibit pre-</w:t>
      </w:r>
      <w:proofErr w:type="gramStart"/>
      <w:r w:rsidR="00FC1101" w:rsidRPr="00FC1101">
        <w:t>staging</w:t>
      </w:r>
      <w:proofErr w:type="gramEnd"/>
      <w:r w:rsidR="00FC1101" w:rsidRPr="00FC1101">
        <w:t xml:space="preserve"> coverage near this floor. Note that the Azure data reflects serverless functions broadly rather than LLM inference specifically; because frontier model weights are substantially larger than typical function containers, general-function warm rates likely overstate LLM-specific warm rates, which makes the 0.50 floor conservative in the direction relevant for this paper.   </w:t>
      </w:r>
    </w:p>
    <w:p w14:paraId="0A55DD05" w14:textId="5B2754E6" w:rsidR="00A05ABB" w:rsidRPr="00A05ABB" w:rsidRDefault="00A05ABB" w:rsidP="00A05ABB">
      <w:pPr>
        <w:pStyle w:val="BodyText"/>
        <w:numPr>
          <w:ilvl w:val="0"/>
          <w:numId w:val="30"/>
        </w:numPr>
      </w:pPr>
      <w:r w:rsidRPr="00A05ABB">
        <w:rPr>
          <w:b/>
          <w:bCs/>
          <w:i/>
          <w:iCs/>
        </w:rPr>
        <w:t>Ceiling (0.80)</w:t>
      </w:r>
      <w:r w:rsidRPr="00A05ABB">
        <w:rPr>
          <w:b/>
          <w:bCs/>
        </w:rPr>
        <w:t>:</w:t>
      </w:r>
      <w:r w:rsidRPr="00A05ABB">
        <w:t xml:space="preserve"> </w:t>
      </w:r>
      <w:r w:rsidR="00FC1101" w:rsidRPr="00FC1101">
        <w:t>Commercial inference providers currently maintain 200+ popular open-source models in continuously warm serverless pools for best-effort serving (Together AI 2026; Fireworks AI 2026), establishing that coverage at this level is technically and commercially feasible today for the subset of models that dominate inference traffic. The 0.80 ceiling reflects heterogeneity across destination facility types and the fraction of frontier workload models covered rather than a technical constraint.</w:t>
      </w:r>
    </w:p>
    <w:p w14:paraId="1B0CCAAE" w14:textId="56A9968B" w:rsidR="00A05ABB" w:rsidRPr="00A05ABB" w:rsidRDefault="00A05ABB" w:rsidP="00A05ABB">
      <w:pPr>
        <w:pStyle w:val="BodyText"/>
        <w:numPr>
          <w:ilvl w:val="0"/>
          <w:numId w:val="30"/>
        </w:numPr>
      </w:pPr>
      <w:r w:rsidRPr="00A05ABB">
        <w:rPr>
          <w:b/>
          <w:bCs/>
          <w:i/>
          <w:iCs/>
        </w:rPr>
        <w:t>Midpoint (0.65)</w:t>
      </w:r>
      <w:r w:rsidRPr="00A05ABB">
        <w:rPr>
          <w:b/>
          <w:bCs/>
        </w:rPr>
        <w:t>:</w:t>
      </w:r>
      <w:r w:rsidRPr="00A05ABB">
        <w:t xml:space="preserve"> </w:t>
      </w:r>
      <w:r w:rsidR="00FC1101" w:rsidRPr="00FC1101">
        <w:t>The expected value under the uniform prior. We do not claim independent empirical support for this specific value.</w:t>
      </w:r>
    </w:p>
    <w:p w14:paraId="1AF23BD0" w14:textId="77777777" w:rsidR="00FC1101" w:rsidRDefault="00000000" w:rsidP="00FC1101">
      <w:pPr>
        <w:pStyle w:val="Heading4"/>
      </w:pPr>
      <w:bookmarkStart w:id="50" w:name="d5-is-the-most-actionable-parameter"/>
      <w:bookmarkEnd w:id="49"/>
      <w:r>
        <w:t>D5 Is the Most Actionable Parameter</w:t>
      </w:r>
    </w:p>
    <w:p w14:paraId="046F526A" w14:textId="77777777" w:rsidR="00FC1101" w:rsidRPr="006C1726" w:rsidRDefault="00FC1101" w:rsidP="00FC1101">
      <w:pPr>
        <w:pStyle w:val="Heading4"/>
        <w:rPr>
          <w:rFonts w:ascii="Times New Roman" w:hAnsi="Times New Roman" w:cs="Times New Roman"/>
          <w:i w:val="0"/>
          <w:iCs/>
          <w:color w:val="auto"/>
        </w:rPr>
      </w:pPr>
      <w:r w:rsidRPr="006C1726">
        <w:rPr>
          <w:rFonts w:ascii="Times New Roman" w:hAnsi="Times New Roman" w:cs="Times New Roman"/>
          <w:i w:val="0"/>
          <w:iCs/>
          <w:color w:val="auto"/>
        </w:rPr>
        <w:t xml:space="preserve">The weak grounding of D5 is not a liability for the policy argument — it is the policy argument. Precisely because D5 is the </w:t>
      </w:r>
      <w:proofErr w:type="gramStart"/>
      <w:r w:rsidRPr="006C1726">
        <w:rPr>
          <w:rFonts w:ascii="Times New Roman" w:hAnsi="Times New Roman" w:cs="Times New Roman"/>
          <w:i w:val="0"/>
          <w:iCs/>
          <w:color w:val="auto"/>
        </w:rPr>
        <w:t>highest-uncertainty</w:t>
      </w:r>
      <w:proofErr w:type="gramEnd"/>
      <w:r w:rsidRPr="006C1726">
        <w:rPr>
          <w:rFonts w:ascii="Times New Roman" w:hAnsi="Times New Roman" w:cs="Times New Roman"/>
          <w:i w:val="0"/>
          <w:iCs/>
          <w:color w:val="auto"/>
        </w:rPr>
        <w:t xml:space="preserve"> cascade parameter with the largest operational leverage, it is also the parameter where regulatory intervention has the greatest marginal effect:</w:t>
      </w:r>
    </w:p>
    <w:p w14:paraId="40EBA69D" w14:textId="77777777" w:rsidR="00B2206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No hardware change is required. Pre-staging uses existing GPU memory and storage at destination facilities.</w:t>
      </w:r>
    </w:p>
    <w:p w14:paraId="6DB9BB7C" w14:textId="77777777" w:rsidR="00B2206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No workload composition change is required. Unlike D4, which depends on the industry-wide mix of training versus inference load, D5 is a pure operational investment decision under operator control</w:t>
      </w:r>
    </w:p>
    <w:p w14:paraId="3E8FC62B" w14:textId="0B8E50AD" w:rsidR="00A05ABB" w:rsidRPr="00B2206B" w:rsidRDefault="00A05ABB" w:rsidP="00A05ABB">
      <w:pPr>
        <w:pStyle w:val="Heading4"/>
        <w:numPr>
          <w:ilvl w:val="0"/>
          <w:numId w:val="31"/>
        </w:numPr>
        <w:rPr>
          <w:rFonts w:ascii="Times New Roman" w:hAnsi="Times New Roman" w:cs="Times New Roman"/>
          <w:i w:val="0"/>
          <w:color w:val="auto"/>
        </w:rPr>
      </w:pPr>
      <w:r w:rsidRPr="00B2206B">
        <w:rPr>
          <w:rFonts w:ascii="Times New Roman" w:hAnsi="Times New Roman" w:cs="Times New Roman"/>
          <w:i w:val="0"/>
          <w:color w:val="auto"/>
        </w:rPr>
        <w:t>The incremental cost is low. The marginal cost is storage capacity and periodic weight synchronization, amortized across the approximately 50–100 stress hours per year when spatial migration would be triggered.</w:t>
      </w:r>
    </w:p>
    <w:p w14:paraId="6FB5E6D3" w14:textId="77777777" w:rsidR="00B2206B" w:rsidRDefault="00B2206B" w:rsidP="00A05ABB"/>
    <w:p w14:paraId="12CB9451" w14:textId="77777777" w:rsidR="00A01C26" w:rsidRDefault="00A01C26">
      <w:r w:rsidRPr="00A01C26">
        <w:t xml:space="preserve">The policy implication is direct: a regulatory framework that conditions interconnection acceleration on demonstrated pre-staging readiness would target the most actionable </w:t>
      </w:r>
      <w:r w:rsidRPr="00A01C26">
        <w:lastRenderedPageBreak/>
        <w:t xml:space="preserve">parameter in the </w:t>
      </w:r>
      <w:proofErr w:type="gramStart"/>
      <w:r w:rsidRPr="00A01C26">
        <w:t>cascade, and</w:t>
      </w:r>
      <w:proofErr w:type="gramEnd"/>
      <w:r w:rsidRPr="00A01C26">
        <w:t xml:space="preserve"> would convert the current empirical uncertainty about D5 into operator-level accountability.</w:t>
      </w:r>
    </w:p>
    <w:p w14:paraId="509F8FF7" w14:textId="710D7C83" w:rsidR="005C00BD" w:rsidRDefault="00A01C26">
      <w:r w:rsidRPr="00A01C26">
        <w:t>The cascade's upstream filters (D1–D3) restrict the destination population to facilities with available inference-capable capacity; within that filtered set, the relevant base rate for pre-staging is likely higher than the all-serverless Azure figure, further supporting the 0.50 floor as conservative.</w:t>
      </w:r>
      <w:r w:rsidR="00000000">
        <w:pict w14:anchorId="509F91AD">
          <v:rect id="_x0000_i1392" style="width:0;height:1.5pt" o:hralign="center" o:hrstd="t" o:hr="t"/>
        </w:pict>
      </w:r>
    </w:p>
    <w:p w14:paraId="509F8FF8" w14:textId="77777777" w:rsidR="005C00BD" w:rsidRDefault="00000000">
      <w:pPr>
        <w:pStyle w:val="Heading2"/>
      </w:pPr>
      <w:bookmarkStart w:id="51" w:name="execution-parameters"/>
      <w:bookmarkEnd w:id="24"/>
      <w:bookmarkEnd w:id="45"/>
      <w:bookmarkEnd w:id="50"/>
      <w:r>
        <w:t>4. Execution Parameters</w:t>
      </w:r>
    </w:p>
    <w:p w14:paraId="509F8FF9" w14:textId="77777777" w:rsidR="005C00BD" w:rsidRDefault="00000000">
      <w:pPr>
        <w:pStyle w:val="Heading3"/>
      </w:pPr>
      <w:bookmarkStart w:id="52" w:name="e1-routing-completion"/>
      <w:r>
        <w:t>E1: Routing Completion</w:t>
      </w:r>
    </w:p>
    <w:tbl>
      <w:tblPr>
        <w:tblStyle w:val="Table"/>
        <w:tblW w:w="0" w:type="auto"/>
        <w:tblLook w:val="0020" w:firstRow="1" w:lastRow="0" w:firstColumn="0" w:lastColumn="0" w:noHBand="0" w:noVBand="0"/>
      </w:tblPr>
      <w:tblGrid>
        <w:gridCol w:w="2459"/>
        <w:gridCol w:w="1478"/>
      </w:tblGrid>
      <w:tr w:rsidR="005C00BD" w14:paraId="509F8FFC"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8FFA" w14:textId="77777777" w:rsidR="005C00BD" w:rsidRDefault="00000000">
            <w:pPr>
              <w:pStyle w:val="Compact"/>
            </w:pPr>
            <w:r>
              <w:t>Attribute</w:t>
            </w:r>
          </w:p>
        </w:tc>
        <w:tc>
          <w:tcPr>
            <w:tcW w:w="0" w:type="auto"/>
          </w:tcPr>
          <w:p w14:paraId="509F8FFB" w14:textId="77777777" w:rsidR="005C00BD" w:rsidRDefault="00000000">
            <w:pPr>
              <w:pStyle w:val="Compact"/>
            </w:pPr>
            <w:r>
              <w:t>Value</w:t>
            </w:r>
          </w:p>
        </w:tc>
      </w:tr>
      <w:tr w:rsidR="005C00BD" w14:paraId="509F8FFF" w14:textId="77777777">
        <w:tc>
          <w:tcPr>
            <w:tcW w:w="0" w:type="auto"/>
          </w:tcPr>
          <w:p w14:paraId="509F8FFD" w14:textId="77777777" w:rsidR="005C00BD" w:rsidRDefault="00000000">
            <w:pPr>
              <w:pStyle w:val="Compact"/>
            </w:pPr>
            <w:r>
              <w:t>Central value</w:t>
            </w:r>
          </w:p>
        </w:tc>
        <w:tc>
          <w:tcPr>
            <w:tcW w:w="0" w:type="auto"/>
          </w:tcPr>
          <w:p w14:paraId="509F8FFE" w14:textId="77777777" w:rsidR="005C00BD" w:rsidRDefault="00000000">
            <w:pPr>
              <w:pStyle w:val="Compact"/>
            </w:pPr>
            <w:r>
              <w:t>0.95</w:t>
            </w:r>
          </w:p>
        </w:tc>
      </w:tr>
      <w:tr w:rsidR="005C00BD" w14:paraId="509F9002" w14:textId="77777777">
        <w:tc>
          <w:tcPr>
            <w:tcW w:w="0" w:type="auto"/>
          </w:tcPr>
          <w:p w14:paraId="509F9000" w14:textId="77777777" w:rsidR="005C00BD" w:rsidRDefault="00000000">
            <w:pPr>
              <w:pStyle w:val="Compact"/>
            </w:pPr>
            <w:r>
              <w:t>Range</w:t>
            </w:r>
          </w:p>
        </w:tc>
        <w:tc>
          <w:tcPr>
            <w:tcW w:w="0" w:type="auto"/>
          </w:tcPr>
          <w:p w14:paraId="509F9001" w14:textId="77777777" w:rsidR="005C00BD" w:rsidRDefault="00000000">
            <w:pPr>
              <w:pStyle w:val="Compact"/>
            </w:pPr>
            <w:r>
              <w:t>[0.90, 0.99]</w:t>
            </w:r>
          </w:p>
        </w:tc>
      </w:tr>
      <w:tr w:rsidR="005C00BD" w14:paraId="509F9005" w14:textId="77777777">
        <w:tc>
          <w:tcPr>
            <w:tcW w:w="0" w:type="auto"/>
          </w:tcPr>
          <w:p w14:paraId="509F9003" w14:textId="77777777" w:rsidR="005C00BD" w:rsidRDefault="00000000">
            <w:pPr>
              <w:pStyle w:val="Compact"/>
            </w:pPr>
            <w:r>
              <w:t>Grounding quality</w:t>
            </w:r>
          </w:p>
        </w:tc>
        <w:tc>
          <w:tcPr>
            <w:tcW w:w="0" w:type="auto"/>
          </w:tcPr>
          <w:p w14:paraId="509F9004" w14:textId="77777777" w:rsidR="005C00BD" w:rsidRDefault="00000000">
            <w:pPr>
              <w:pStyle w:val="Compact"/>
            </w:pPr>
            <w:r>
              <w:t>ESTIMATED</w:t>
            </w:r>
          </w:p>
        </w:tc>
      </w:tr>
      <w:tr w:rsidR="005C00BD" w14:paraId="509F9008" w14:textId="77777777">
        <w:tc>
          <w:tcPr>
            <w:tcW w:w="0" w:type="auto"/>
          </w:tcPr>
          <w:p w14:paraId="509F9006" w14:textId="77777777" w:rsidR="005C00BD" w:rsidRDefault="00000000">
            <w:pPr>
              <w:pStyle w:val="Compact"/>
            </w:pPr>
            <w:r>
              <w:t>Variance contribution</w:t>
            </w:r>
          </w:p>
        </w:tc>
        <w:tc>
          <w:tcPr>
            <w:tcW w:w="0" w:type="auto"/>
          </w:tcPr>
          <w:p w14:paraId="509F9007" w14:textId="77777777" w:rsidR="005C00BD" w:rsidRDefault="00000000">
            <w:pPr>
              <w:pStyle w:val="Compact"/>
            </w:pPr>
            <w:r>
              <w:t>0.5%</w:t>
            </w:r>
          </w:p>
        </w:tc>
      </w:tr>
    </w:tbl>
    <w:p w14:paraId="509F9009" w14:textId="77777777" w:rsidR="005C00BD" w:rsidRDefault="00000000">
      <w:pPr>
        <w:pStyle w:val="Heading4"/>
      </w:pPr>
      <w:bookmarkStart w:id="53" w:name="what-e1-measures"/>
      <w:r>
        <w:t>What E1 Measures</w:t>
      </w:r>
    </w:p>
    <w:p w14:paraId="509F900A" w14:textId="77777777" w:rsidR="005C00BD" w:rsidRDefault="00000000">
      <w:pPr>
        <w:pStyle w:val="FirstParagraph"/>
      </w:pPr>
      <w:r>
        <w:t xml:space="preserve">E1 answers: </w:t>
      </w:r>
      <w:r>
        <w:rPr>
          <w:i/>
          <w:iCs/>
        </w:rPr>
        <w:t>given that all source and destination conditions are met, does the routing operation succeed at the infrastructure level?</w:t>
      </w:r>
    </w:p>
    <w:p w14:paraId="509F900B" w14:textId="77777777" w:rsidR="005C00BD" w:rsidRDefault="00000000">
      <w:pPr>
        <w:pStyle w:val="Heading4"/>
      </w:pPr>
      <w:bookmarkStart w:id="54" w:name="sub-failure-mode-analysis"/>
      <w:bookmarkEnd w:id="53"/>
      <w:r>
        <w:t>Sub-Failure Mode Analysis</w:t>
      </w:r>
    </w:p>
    <w:p w14:paraId="509F900C" w14:textId="77777777" w:rsidR="005C00BD" w:rsidRDefault="00000000">
      <w:pPr>
        <w:pStyle w:val="FirstParagraph"/>
      </w:pPr>
      <w:r>
        <w:t>For inference, “routing” means the load balancer sends the next request to a different endpoint. Four candidate failure modes were analyzed:</w:t>
      </w:r>
    </w:p>
    <w:p w14:paraId="509F900D" w14:textId="77777777" w:rsidR="005C00BD" w:rsidRDefault="00000000">
      <w:pPr>
        <w:pStyle w:val="BodyText"/>
      </w:pPr>
      <w:r>
        <w:rPr>
          <w:b/>
          <w:bCs/>
        </w:rPr>
        <w:t>F1: Network failure during migration.</w:t>
      </w:r>
    </w:p>
    <w:tbl>
      <w:tblPr>
        <w:tblStyle w:val="Table"/>
        <w:tblW w:w="5000" w:type="pct"/>
        <w:tblLook w:val="0020" w:firstRow="1" w:lastRow="0" w:firstColumn="0" w:lastColumn="0" w:noHBand="0" w:noVBand="0"/>
      </w:tblPr>
      <w:tblGrid>
        <w:gridCol w:w="1480"/>
        <w:gridCol w:w="1782"/>
        <w:gridCol w:w="6098"/>
      </w:tblGrid>
      <w:tr w:rsidR="00C45327" w14:paraId="509F9011"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0E" w14:textId="77777777" w:rsidR="005C00BD" w:rsidRDefault="00000000">
            <w:pPr>
              <w:pStyle w:val="Compact"/>
            </w:pPr>
            <w:r>
              <w:t>Platform</w:t>
            </w:r>
          </w:p>
        </w:tc>
        <w:tc>
          <w:tcPr>
            <w:tcW w:w="0" w:type="auto"/>
          </w:tcPr>
          <w:p w14:paraId="509F900F" w14:textId="77777777" w:rsidR="005C00BD" w:rsidRDefault="00000000">
            <w:pPr>
              <w:pStyle w:val="Compact"/>
            </w:pPr>
            <w:r>
              <w:t>Availability SLA</w:t>
            </w:r>
          </w:p>
        </w:tc>
        <w:tc>
          <w:tcPr>
            <w:tcW w:w="0" w:type="auto"/>
          </w:tcPr>
          <w:p w14:paraId="509F9010" w14:textId="77777777" w:rsidR="005C00BD" w:rsidRDefault="00000000">
            <w:pPr>
              <w:pStyle w:val="Compact"/>
            </w:pPr>
            <w:r>
              <w:t>Source</w:t>
            </w:r>
          </w:p>
        </w:tc>
      </w:tr>
      <w:tr w:rsidR="00C45327" w14:paraId="509F9015" w14:textId="77777777">
        <w:tc>
          <w:tcPr>
            <w:tcW w:w="0" w:type="auto"/>
          </w:tcPr>
          <w:p w14:paraId="509F9012" w14:textId="77777777" w:rsidR="005C00BD" w:rsidRDefault="00000000">
            <w:pPr>
              <w:pStyle w:val="Compact"/>
            </w:pPr>
            <w:r>
              <w:t>AWS Elastic Load Balancing (multi-AZ)</w:t>
            </w:r>
          </w:p>
        </w:tc>
        <w:tc>
          <w:tcPr>
            <w:tcW w:w="0" w:type="auto"/>
          </w:tcPr>
          <w:p w14:paraId="509F9013" w14:textId="77777777" w:rsidR="005C00BD" w:rsidRDefault="00000000">
            <w:pPr>
              <w:pStyle w:val="Compact"/>
            </w:pPr>
            <w:r>
              <w:t>≥99.99% monthly</w:t>
            </w:r>
          </w:p>
        </w:tc>
        <w:tc>
          <w:tcPr>
            <w:tcW w:w="0" w:type="auto"/>
          </w:tcPr>
          <w:p w14:paraId="509F9014" w14:textId="77777777" w:rsidR="005C00BD" w:rsidRDefault="00000000">
            <w:pPr>
              <w:pStyle w:val="Compact"/>
            </w:pPr>
            <w:r>
              <w:t>AWS ELB SLA (https://aws.amazon.com/elasticloadbalancing/sla/)</w:t>
            </w:r>
          </w:p>
        </w:tc>
      </w:tr>
      <w:tr w:rsidR="00C45327" w14:paraId="509F9019" w14:textId="77777777">
        <w:tc>
          <w:tcPr>
            <w:tcW w:w="0" w:type="auto"/>
          </w:tcPr>
          <w:p w14:paraId="509F9016" w14:textId="77777777" w:rsidR="005C00BD" w:rsidRDefault="00000000">
            <w:pPr>
              <w:pStyle w:val="Compact"/>
            </w:pPr>
            <w:r>
              <w:t>Azure Standard Load Balancer</w:t>
            </w:r>
          </w:p>
        </w:tc>
        <w:tc>
          <w:tcPr>
            <w:tcW w:w="0" w:type="auto"/>
          </w:tcPr>
          <w:p w14:paraId="509F9017" w14:textId="77777777" w:rsidR="005C00BD" w:rsidRDefault="00000000">
            <w:pPr>
              <w:pStyle w:val="Compact"/>
            </w:pPr>
            <w:r>
              <w:t>≥99.99% monthly</w:t>
            </w:r>
          </w:p>
        </w:tc>
        <w:tc>
          <w:tcPr>
            <w:tcW w:w="0" w:type="auto"/>
          </w:tcPr>
          <w:p w14:paraId="509F9018" w14:textId="77777777" w:rsidR="005C00BD" w:rsidRDefault="00000000">
            <w:pPr>
              <w:pStyle w:val="Compact"/>
            </w:pPr>
            <w:r>
              <w:t>Azure SLA documentation (https://azure.microsoft.com/en-us/support/legal/sla/load-balancer/)</w:t>
            </w:r>
          </w:p>
        </w:tc>
      </w:tr>
      <w:tr w:rsidR="00C45327" w14:paraId="509F901D" w14:textId="77777777">
        <w:tc>
          <w:tcPr>
            <w:tcW w:w="0" w:type="auto"/>
          </w:tcPr>
          <w:p w14:paraId="509F901A" w14:textId="77777777" w:rsidR="005C00BD" w:rsidRDefault="00000000">
            <w:pPr>
              <w:pStyle w:val="Compact"/>
            </w:pPr>
            <w:r>
              <w:t>Azure Cross-Region Load Balancer</w:t>
            </w:r>
          </w:p>
        </w:tc>
        <w:tc>
          <w:tcPr>
            <w:tcW w:w="0" w:type="auto"/>
          </w:tcPr>
          <w:p w14:paraId="509F901B" w14:textId="77777777" w:rsidR="005C00BD" w:rsidRDefault="00000000">
            <w:pPr>
              <w:pStyle w:val="Compact"/>
            </w:pPr>
            <w:r>
              <w:t>≥99.99% monthly</w:t>
            </w:r>
          </w:p>
        </w:tc>
        <w:tc>
          <w:tcPr>
            <w:tcW w:w="0" w:type="auto"/>
          </w:tcPr>
          <w:p w14:paraId="509F901C" w14:textId="77777777" w:rsidR="005C00BD" w:rsidRDefault="00000000">
            <w:pPr>
              <w:pStyle w:val="Compact"/>
            </w:pPr>
            <w:r>
              <w:t>Microsoft GA announcement (July 2023)</w:t>
            </w:r>
          </w:p>
        </w:tc>
      </w:tr>
      <w:tr w:rsidR="00C45327" w14:paraId="509F9021" w14:textId="77777777">
        <w:tc>
          <w:tcPr>
            <w:tcW w:w="0" w:type="auto"/>
          </w:tcPr>
          <w:p w14:paraId="509F901E" w14:textId="77777777" w:rsidR="005C00BD" w:rsidRDefault="00000000">
            <w:pPr>
              <w:pStyle w:val="Compact"/>
            </w:pPr>
            <w:r>
              <w:lastRenderedPageBreak/>
              <w:t>Google internal network</w:t>
            </w:r>
          </w:p>
        </w:tc>
        <w:tc>
          <w:tcPr>
            <w:tcW w:w="0" w:type="auto"/>
          </w:tcPr>
          <w:p w14:paraId="509F901F" w14:textId="06118A62" w:rsidR="005C00BD" w:rsidRDefault="00C45327">
            <w:pPr>
              <w:pStyle w:val="Compact"/>
            </w:pPr>
            <w:r>
              <w:t>&gt;100 high-impact events across multi-year study period</w:t>
            </w:r>
          </w:p>
        </w:tc>
        <w:tc>
          <w:tcPr>
            <w:tcW w:w="0" w:type="auto"/>
          </w:tcPr>
          <w:p w14:paraId="509F9020" w14:textId="77777777" w:rsidR="005C00BD" w:rsidRDefault="00000000">
            <w:pPr>
              <w:pStyle w:val="Compact"/>
            </w:pPr>
            <w:r>
              <w:t>Govindan et al., ACM SIGCOMM 2016</w:t>
            </w:r>
          </w:p>
        </w:tc>
      </w:tr>
    </w:tbl>
    <w:p w14:paraId="509F9022" w14:textId="77777777" w:rsidR="005C00BD" w:rsidRDefault="00000000">
      <w:pPr>
        <w:pStyle w:val="BodyText"/>
      </w:pPr>
      <w:r>
        <w:rPr>
          <w:b/>
          <w:bCs/>
        </w:rPr>
        <w:t xml:space="preserve">F2: Scheduling/resource race </w:t>
      </w:r>
      <w:proofErr w:type="gramStart"/>
      <w:r>
        <w:rPr>
          <w:b/>
          <w:bCs/>
        </w:rPr>
        <w:t>condition</w:t>
      </w:r>
      <w:proofErr w:type="gramEnd"/>
      <w:r>
        <w:rPr>
          <w:b/>
          <w:bCs/>
        </w:rPr>
        <w:t>.</w:t>
      </w:r>
      <w:r>
        <w:t xml:space="preserve"> Addressed by design specification. The orchestration layer is the single authority for both DR dispatch and workload scheduling. No race condition window exists under this architecture. Structural assumption ≈ 1.0.</w:t>
      </w:r>
    </w:p>
    <w:p w14:paraId="509F9023" w14:textId="77777777" w:rsidR="005C00BD" w:rsidRDefault="00000000">
      <w:pPr>
        <w:pStyle w:val="BodyText"/>
      </w:pPr>
      <w:r>
        <w:rPr>
          <w:b/>
          <w:bCs/>
        </w:rPr>
        <w:t>F3: Timeout / SLO violation.</w:t>
      </w:r>
      <w:r>
        <w:t xml:space="preserve"> For stateless inference, network-level timeout risk is negligible. Drain times are 4.5–12.1 seconds at P99; dispatch window is 10–30 minutes. The operation completes approximately 100× faster than the available window. Structural assumption ≈ 1.0.</w:t>
      </w:r>
    </w:p>
    <w:p w14:paraId="509F9024" w14:textId="77777777" w:rsidR="005C00BD" w:rsidRDefault="00000000">
      <w:pPr>
        <w:pStyle w:val="BodyText"/>
      </w:pPr>
      <w:r>
        <w:rPr>
          <w:b/>
          <w:bCs/>
        </w:rPr>
        <w:t>F4: Checkpoint corruption / partial transfer.</w:t>
      </w:r>
      <w:r>
        <w:t xml:space="preserve"> Does not apply to inference — no checkpoint exists. New requests are </w:t>
      </w:r>
      <w:proofErr w:type="gramStart"/>
      <w:r>
        <w:t>routed;</w:t>
      </w:r>
      <w:proofErr w:type="gramEnd"/>
      <w:r>
        <w:t xml:space="preserve"> in-flight requests complete normally. Structural assumption = 1.0.</w:t>
      </w:r>
    </w:p>
    <w:p w14:paraId="509F9025" w14:textId="77777777" w:rsidR="005C00BD" w:rsidRDefault="00000000">
      <w:pPr>
        <w:pStyle w:val="Heading4"/>
      </w:pPr>
      <w:bookmarkStart w:id="55" w:name="e1-0.95"/>
      <w:bookmarkEnd w:id="54"/>
      <w:r>
        <w:t>E1 = 0.95</w:t>
      </w:r>
    </w:p>
    <w:p w14:paraId="509F9026" w14:textId="77777777" w:rsidR="005C00BD" w:rsidRDefault="00000000">
      <w:pPr>
        <w:pStyle w:val="FirstParagraph"/>
      </w:pPr>
      <w:r>
        <w:t xml:space="preserve">E1 reduces to approximately (1 − P(F1) − </w:t>
      </w:r>
      <w:proofErr w:type="spellStart"/>
      <w:r>
        <w:t>residual_orchestration_risk</w:t>
      </w:r>
      <w:proofErr w:type="spellEnd"/>
      <w:r>
        <w:t>). The 0.95 central value is deliberately conservative relative to the SLA-implied floor (~0.9999) because:</w:t>
      </w:r>
    </w:p>
    <w:p w14:paraId="509F9027" w14:textId="77777777" w:rsidR="005C00BD" w:rsidRDefault="00000000">
      <w:pPr>
        <w:pStyle w:val="Compact"/>
        <w:numPr>
          <w:ilvl w:val="0"/>
          <w:numId w:val="20"/>
        </w:numPr>
      </w:pPr>
      <w:r>
        <w:t>SLAs cover the load balancer component specifically, not the full end-to-end routing path including DNS propagation, health check lag, and configuration errors</w:t>
      </w:r>
    </w:p>
    <w:p w14:paraId="509F9028" w14:textId="77777777" w:rsidR="005C00BD" w:rsidRDefault="00000000">
      <w:pPr>
        <w:pStyle w:val="Compact"/>
        <w:numPr>
          <w:ilvl w:val="0"/>
          <w:numId w:val="20"/>
        </w:numPr>
      </w:pPr>
      <w:r>
        <w:t xml:space="preserve">The orchestration layer translating grid dispatch signals to compute routing </w:t>
      </w:r>
      <w:r>
        <w:rPr>
          <w:b/>
          <w:bCs/>
        </w:rPr>
        <w:t>does not yet exist as a production system</w:t>
      </w:r>
      <w:r>
        <w:t xml:space="preserve"> — E1 must account for software that has not been built or tested</w:t>
      </w:r>
    </w:p>
    <w:p w14:paraId="509F9029" w14:textId="77777777" w:rsidR="005C00BD" w:rsidRDefault="00000000">
      <w:pPr>
        <w:pStyle w:val="Compact"/>
        <w:numPr>
          <w:ilvl w:val="0"/>
          <w:numId w:val="20"/>
        </w:numPr>
      </w:pPr>
      <w:r>
        <w:t>Edge cases in multi-cluster routing (stale DNS cache, misconfigured health check, orchestrator logic errors) are not captured by component-level SLAs</w:t>
      </w:r>
    </w:p>
    <w:p w14:paraId="7483EFFA" w14:textId="06B70622" w:rsidR="00E01C6C" w:rsidRDefault="00E01C6C">
      <w:pPr>
        <w:pStyle w:val="Compact"/>
        <w:numPr>
          <w:ilvl w:val="0"/>
          <w:numId w:val="20"/>
        </w:numPr>
      </w:pPr>
      <w:r w:rsidRPr="00E01C6C">
        <w:t>The detection-and-enforcement substrate for cross-facility orchestration has production precedent. Zhang et al. [2021] document a telemetry + controller pipeline at Microsoft that detects power-device overdraw events and executes throttle / shutdown actions across distributed servers in a ~10MW datacenter room, with 99.9th-percentile end-to-end latency of approximately 3.5 seconds. The grid-dispatch-signal interface and cross-facility routing logic remain novel; the distributed-enforcement mechanism does not.</w:t>
      </w:r>
    </w:p>
    <w:p w14:paraId="442BD33E" w14:textId="02B67B94" w:rsidR="00E01C6C" w:rsidRDefault="00E01C6C">
      <w:pPr>
        <w:pStyle w:val="Compact"/>
        <w:numPr>
          <w:ilvl w:val="0"/>
          <w:numId w:val="20"/>
        </w:numPr>
      </w:pPr>
      <w:r w:rsidRPr="00E01C6C">
        <w:t xml:space="preserve">Wu et al. [2016] </w:t>
      </w:r>
      <w:proofErr w:type="gramStart"/>
      <w:r w:rsidRPr="00E01C6C">
        <w:t>provide</w:t>
      </w:r>
      <w:proofErr w:type="gramEnd"/>
      <w:r w:rsidRPr="00E01C6C">
        <w:t xml:space="preserve"> parallel production evidence from Facebook: Dynamo monitors Facebook's full power delivery hierarchy (MSB → SB → RPP → rack) and executes coordinated capping actions with 3-second sampling and sub-10-second response latency, with 18 prevented potential power outages in a 6-month observation period. The Microsoft (Flex) and Facebook (Dynamo) deployments together establish the distributed-enforcement-at-scale substrate as production-proven across two </w:t>
      </w:r>
      <w:proofErr w:type="spellStart"/>
      <w:r w:rsidRPr="00E01C6C">
        <w:t>hyperscalers</w:t>
      </w:r>
      <w:proofErr w:type="spellEnd"/>
      <w:r>
        <w:t>.</w:t>
      </w:r>
    </w:p>
    <w:p w14:paraId="775490E8" w14:textId="60F7C078" w:rsidR="00E01C6C" w:rsidRDefault="00E01C6C">
      <w:pPr>
        <w:pStyle w:val="Compact"/>
        <w:numPr>
          <w:ilvl w:val="0"/>
          <w:numId w:val="20"/>
        </w:numPr>
      </w:pPr>
      <w:r w:rsidRPr="00E01C6C">
        <w:lastRenderedPageBreak/>
        <w:t xml:space="preserve">Thunderbolt [Li et al. 2020] provides a third production deployment demonstrating distributed-enforcement infrastructure at hyperscale: two-year deployment across multiple Google clusters, with documented activation events (three reactive capping and two proactive capping in the first 130 days of 2020), 1–2 second end-to-end response time, and a fault-tolerant 2-leader-2-follower architecture per protected power domain. Across Microsoft (Flex), Facebook (Dynamo), and Google (Thunderbolt), the enforcement substrate is production-proven at three independent </w:t>
      </w:r>
      <w:proofErr w:type="spellStart"/>
      <w:r w:rsidRPr="00E01C6C">
        <w:t>hyperscalers</w:t>
      </w:r>
      <w:proofErr w:type="spellEnd"/>
      <w:r w:rsidRPr="00E01C6C">
        <w:t>.</w:t>
      </w:r>
    </w:p>
    <w:p w14:paraId="509F902A" w14:textId="77777777" w:rsidR="005C00BD" w:rsidRDefault="00000000">
      <w:pPr>
        <w:pStyle w:val="FirstParagraph"/>
      </w:pPr>
      <w:r>
        <w:t>The [0.90, 0.99] range reflects uncertainty about the end-to-end system reliability of an orchestration stack that does not yet exist. As production systems are built and tested, E1 would be expected to converge toward the SLA-implied values (&gt;0.999).</w:t>
      </w:r>
    </w:p>
    <w:p w14:paraId="509F902B" w14:textId="77777777" w:rsidR="005C00BD" w:rsidRDefault="00000000">
      <w:r>
        <w:pict w14:anchorId="509F91AE">
          <v:rect id="_x0000_i1393" style="width:0;height:1.5pt" o:hralign="center" o:hrstd="t" o:hr="t"/>
        </w:pict>
      </w:r>
    </w:p>
    <w:p w14:paraId="509F902C" w14:textId="77777777" w:rsidR="005C00BD" w:rsidRDefault="00000000">
      <w:pPr>
        <w:pStyle w:val="Heading3"/>
      </w:pPr>
      <w:bookmarkStart w:id="56" w:name="e2-bandwidth-adequacy"/>
      <w:bookmarkEnd w:id="52"/>
      <w:bookmarkEnd w:id="55"/>
      <w:r>
        <w:t>E2: Bandwidth Adequacy</w:t>
      </w:r>
    </w:p>
    <w:tbl>
      <w:tblPr>
        <w:tblStyle w:val="Table"/>
        <w:tblW w:w="0" w:type="auto"/>
        <w:tblLook w:val="0020" w:firstRow="1" w:lastRow="0" w:firstColumn="0" w:lastColumn="0" w:noHBand="0" w:noVBand="0"/>
      </w:tblPr>
      <w:tblGrid>
        <w:gridCol w:w="2459"/>
        <w:gridCol w:w="1382"/>
      </w:tblGrid>
      <w:tr w:rsidR="005C00BD" w14:paraId="509F902F"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2D" w14:textId="77777777" w:rsidR="005C00BD" w:rsidRDefault="00000000">
            <w:pPr>
              <w:pStyle w:val="Compact"/>
            </w:pPr>
            <w:r>
              <w:t>Attribute</w:t>
            </w:r>
          </w:p>
        </w:tc>
        <w:tc>
          <w:tcPr>
            <w:tcW w:w="0" w:type="auto"/>
          </w:tcPr>
          <w:p w14:paraId="509F902E" w14:textId="77777777" w:rsidR="005C00BD" w:rsidRDefault="00000000">
            <w:pPr>
              <w:pStyle w:val="Compact"/>
            </w:pPr>
            <w:r>
              <w:t>Value</w:t>
            </w:r>
          </w:p>
        </w:tc>
      </w:tr>
      <w:tr w:rsidR="005C00BD" w14:paraId="509F9032" w14:textId="77777777">
        <w:tc>
          <w:tcPr>
            <w:tcW w:w="0" w:type="auto"/>
          </w:tcPr>
          <w:p w14:paraId="509F9030" w14:textId="77777777" w:rsidR="005C00BD" w:rsidRDefault="00000000">
            <w:pPr>
              <w:pStyle w:val="Compact"/>
            </w:pPr>
            <w:r>
              <w:t>Central value</w:t>
            </w:r>
          </w:p>
        </w:tc>
        <w:tc>
          <w:tcPr>
            <w:tcW w:w="0" w:type="auto"/>
          </w:tcPr>
          <w:p w14:paraId="509F9031" w14:textId="77777777" w:rsidR="005C00BD" w:rsidRDefault="00000000">
            <w:pPr>
              <w:pStyle w:val="Compact"/>
            </w:pPr>
            <w:r>
              <w:t>0.98</w:t>
            </w:r>
          </w:p>
        </w:tc>
      </w:tr>
      <w:tr w:rsidR="005C00BD" w14:paraId="509F9035" w14:textId="77777777">
        <w:tc>
          <w:tcPr>
            <w:tcW w:w="0" w:type="auto"/>
          </w:tcPr>
          <w:p w14:paraId="509F9033" w14:textId="77777777" w:rsidR="005C00BD" w:rsidRDefault="00000000">
            <w:pPr>
              <w:pStyle w:val="Compact"/>
            </w:pPr>
            <w:r>
              <w:t>Range</w:t>
            </w:r>
          </w:p>
        </w:tc>
        <w:tc>
          <w:tcPr>
            <w:tcW w:w="0" w:type="auto"/>
          </w:tcPr>
          <w:p w14:paraId="509F9034" w14:textId="77777777" w:rsidR="005C00BD" w:rsidRDefault="00000000">
            <w:pPr>
              <w:pStyle w:val="Compact"/>
            </w:pPr>
            <w:r>
              <w:t>[0.95, 1.00]</w:t>
            </w:r>
          </w:p>
        </w:tc>
      </w:tr>
      <w:tr w:rsidR="005C00BD" w14:paraId="509F9038" w14:textId="77777777">
        <w:tc>
          <w:tcPr>
            <w:tcW w:w="0" w:type="auto"/>
          </w:tcPr>
          <w:p w14:paraId="509F9036" w14:textId="77777777" w:rsidR="005C00BD" w:rsidRDefault="00000000">
            <w:pPr>
              <w:pStyle w:val="Compact"/>
            </w:pPr>
            <w:r>
              <w:t>Grounding quality</w:t>
            </w:r>
          </w:p>
        </w:tc>
        <w:tc>
          <w:tcPr>
            <w:tcW w:w="0" w:type="auto"/>
          </w:tcPr>
          <w:p w14:paraId="509F9037" w14:textId="77777777" w:rsidR="005C00BD" w:rsidRDefault="00000000">
            <w:pPr>
              <w:pStyle w:val="Compact"/>
            </w:pPr>
            <w:r>
              <w:t>DATA</w:t>
            </w:r>
          </w:p>
        </w:tc>
      </w:tr>
      <w:tr w:rsidR="005C00BD" w14:paraId="509F903B" w14:textId="77777777">
        <w:tc>
          <w:tcPr>
            <w:tcW w:w="0" w:type="auto"/>
          </w:tcPr>
          <w:p w14:paraId="509F9039" w14:textId="77777777" w:rsidR="005C00BD" w:rsidRDefault="00000000">
            <w:pPr>
              <w:pStyle w:val="Compact"/>
            </w:pPr>
            <w:r>
              <w:t>Variance contribution</w:t>
            </w:r>
          </w:p>
        </w:tc>
        <w:tc>
          <w:tcPr>
            <w:tcW w:w="0" w:type="auto"/>
          </w:tcPr>
          <w:p w14:paraId="509F903A" w14:textId="77777777" w:rsidR="005C00BD" w:rsidRDefault="00000000">
            <w:pPr>
              <w:pStyle w:val="Compact"/>
            </w:pPr>
            <w:r>
              <w:t>0.2%</w:t>
            </w:r>
          </w:p>
        </w:tc>
      </w:tr>
    </w:tbl>
    <w:p w14:paraId="509F903C" w14:textId="77777777" w:rsidR="005C00BD" w:rsidRDefault="00000000">
      <w:pPr>
        <w:pStyle w:val="Heading4"/>
      </w:pPr>
      <w:bookmarkStart w:id="57" w:name="what-e2-measures"/>
      <w:r>
        <w:t>What E2 Measures</w:t>
      </w:r>
    </w:p>
    <w:p w14:paraId="509F903D" w14:textId="77777777" w:rsidR="005C00BD" w:rsidRDefault="00000000">
      <w:pPr>
        <w:pStyle w:val="FirstParagraph"/>
      </w:pPr>
      <w:r>
        <w:t xml:space="preserve">E2 answers: </w:t>
      </w:r>
      <w:r>
        <w:rPr>
          <w:i/>
          <w:iCs/>
        </w:rPr>
        <w:t>is there sufficient network bandwidth to execute the migration operation?</w:t>
      </w:r>
    </w:p>
    <w:p w14:paraId="509F903E" w14:textId="77777777" w:rsidR="005C00BD" w:rsidRDefault="00000000">
      <w:pPr>
        <w:pStyle w:val="Heading4"/>
      </w:pPr>
      <w:bookmarkStart w:id="58" w:name="the-bandwidth-math"/>
      <w:bookmarkEnd w:id="57"/>
      <w:proofErr w:type="gramStart"/>
      <w:r>
        <w:t>The Bandwidth</w:t>
      </w:r>
      <w:proofErr w:type="gramEnd"/>
      <w:r>
        <w:t xml:space="preserve"> Math</w:t>
      </w:r>
    </w:p>
    <w:p w14:paraId="509F903F" w14:textId="77777777" w:rsidR="005C00BD" w:rsidRDefault="00000000">
      <w:pPr>
        <w:pStyle w:val="FirstParagraph"/>
      </w:pPr>
      <w:r>
        <w:t xml:space="preserve">For </w:t>
      </w:r>
      <w:proofErr w:type="gramStart"/>
      <w:r>
        <w:t>inference</w:t>
      </w:r>
      <w:proofErr w:type="gramEnd"/>
      <w:r>
        <w:t>, the data transferred per request is trivially small:</w:t>
      </w:r>
    </w:p>
    <w:p w14:paraId="509F9040" w14:textId="77777777" w:rsidR="005C00BD" w:rsidRDefault="00000000">
      <w:pPr>
        <w:pStyle w:val="Compact"/>
        <w:numPr>
          <w:ilvl w:val="0"/>
          <w:numId w:val="21"/>
        </w:numPr>
      </w:pPr>
      <w:r>
        <w:t>Typical inference request: 500–2,000 input tokens, 500–2,000 output tokens</w:t>
      </w:r>
    </w:p>
    <w:p w14:paraId="509F9041" w14:textId="77777777" w:rsidR="005C00BD" w:rsidRDefault="00000000">
      <w:pPr>
        <w:pStyle w:val="Compact"/>
        <w:numPr>
          <w:ilvl w:val="0"/>
          <w:numId w:val="21"/>
        </w:numPr>
      </w:pPr>
      <w:r>
        <w:t>At approximately 4 bytes per token: single request-response pair ≈ 16 KB</w:t>
      </w:r>
    </w:p>
    <w:p w14:paraId="509F9042" w14:textId="77777777" w:rsidR="005C00BD" w:rsidRDefault="00000000">
      <w:pPr>
        <w:pStyle w:val="Compact"/>
        <w:numPr>
          <w:ilvl w:val="0"/>
          <w:numId w:val="21"/>
        </w:numPr>
      </w:pPr>
      <w:r>
        <w:t>Large request (128K context window): approximately 512 KB</w:t>
      </w:r>
    </w:p>
    <w:p w14:paraId="509F9043" w14:textId="77777777" w:rsidR="005C00BD" w:rsidRDefault="00000000">
      <w:pPr>
        <w:pStyle w:val="Compact"/>
        <w:numPr>
          <w:ilvl w:val="0"/>
          <w:numId w:val="21"/>
        </w:numPr>
      </w:pPr>
      <w:r>
        <w:t>A single 100 Gbps link can carry approximately 780,000 inference requests per second</w:t>
      </w:r>
    </w:p>
    <w:p w14:paraId="509F9044" w14:textId="77777777" w:rsidR="005C00BD" w:rsidRDefault="00000000">
      <w:pPr>
        <w:pStyle w:val="FirstParagraph"/>
      </w:pPr>
      <w:r>
        <w:t>Modern hyperscale WAN capacity is enormous:</w:t>
      </w:r>
    </w:p>
    <w:p w14:paraId="509F9045" w14:textId="77777777" w:rsidR="005C00BD" w:rsidRDefault="00000000">
      <w:pPr>
        <w:pStyle w:val="Compact"/>
        <w:numPr>
          <w:ilvl w:val="0"/>
          <w:numId w:val="22"/>
        </w:numPr>
      </w:pPr>
      <w:r>
        <w:t>Links operate at 100–800 Gbps per link</w:t>
      </w:r>
    </w:p>
    <w:p w14:paraId="34AB7AD8" w14:textId="3ECEBAA8" w:rsidR="00DE2175" w:rsidRDefault="00DE2175" w:rsidP="00DE2175">
      <w:pPr>
        <w:pStyle w:val="Compact"/>
        <w:numPr>
          <w:ilvl w:val="0"/>
          <w:numId w:val="22"/>
        </w:numPr>
      </w:pPr>
      <w:proofErr w:type="spellStart"/>
      <w:r>
        <w:t>Hyperscaler</w:t>
      </w:r>
      <w:proofErr w:type="spellEnd"/>
      <w:r>
        <w:t xml:space="preserve"> bandwidth purchases on Zayo’s network reached 42.4 Tb cumulatively from 2020–2024, a 133% increase over the period (Zayo Bandwidth Report 2025, via Data Center Knowledge, November 2025), reflecting the network-side buildout supporting interconnect between AI training clusters</w:t>
      </w:r>
    </w:p>
    <w:p w14:paraId="509F9047" w14:textId="77777777" w:rsidR="005C00BD" w:rsidRDefault="00000000">
      <w:pPr>
        <w:pStyle w:val="Compact"/>
        <w:numPr>
          <w:ilvl w:val="0"/>
          <w:numId w:val="22"/>
        </w:numPr>
      </w:pPr>
      <w:r>
        <w:t>Metro dark fiber purchases rose 268% year-over-year in 2024</w:t>
      </w:r>
    </w:p>
    <w:p w14:paraId="509F9048" w14:textId="77777777" w:rsidR="005C00BD" w:rsidRDefault="00000000">
      <w:pPr>
        <w:pStyle w:val="Compact"/>
        <w:numPr>
          <w:ilvl w:val="0"/>
          <w:numId w:val="22"/>
        </w:numPr>
      </w:pPr>
      <w:r>
        <w:t xml:space="preserve">Google’s B4 WAN (Jain et al., ACM SIGCOMM 2013) demonstrated a </w:t>
      </w:r>
      <w:proofErr w:type="gramStart"/>
      <w:r>
        <w:t>globally-deployed</w:t>
      </w:r>
      <w:proofErr w:type="gramEnd"/>
      <w:r>
        <w:t xml:space="preserve"> software-defined WAN operating at </w:t>
      </w:r>
      <w:proofErr w:type="gramStart"/>
      <w:r>
        <w:t>near</w:t>
      </w:r>
      <w:proofErr w:type="gramEnd"/>
      <w:r>
        <w:t>-100% utilization through centralized traffic engineering over a decade ago</w:t>
      </w:r>
    </w:p>
    <w:p w14:paraId="509F9049" w14:textId="77777777" w:rsidR="005C00BD" w:rsidRDefault="00000000">
      <w:pPr>
        <w:pStyle w:val="Heading4"/>
      </w:pPr>
      <w:bookmarkStart w:id="59" w:name="X983202301dc488169b50552b0f452bd102ce514"/>
      <w:bookmarkEnd w:id="58"/>
      <w:r>
        <w:lastRenderedPageBreak/>
        <w:t>Pre-Staged Weights Eliminate the Bottleneck</w:t>
      </w:r>
    </w:p>
    <w:p w14:paraId="509F904A" w14:textId="77777777" w:rsidR="005C00BD" w:rsidRDefault="00000000">
      <w:pPr>
        <w:pStyle w:val="FirstParagraph"/>
      </w:pPr>
      <w:r>
        <w:t>The bandwidth-intensive operation in a naive migration would be transferring model weights. For frontier models (405B parameters, ~810 GB in FP16), on-demand transfer over a 100 Gbps link takes ~65 seconds. But as established in D5, weights are pre-staged at destinations. Inference spatial migration transfers only request/response payloads, which are negligible relative to available WAN capacity.</w:t>
      </w:r>
    </w:p>
    <w:p w14:paraId="509F904B" w14:textId="77777777" w:rsidR="005C00BD" w:rsidRDefault="00000000">
      <w:pPr>
        <w:pStyle w:val="Heading4"/>
      </w:pPr>
      <w:bookmarkStart w:id="60" w:name="e2-0.98"/>
      <w:bookmarkEnd w:id="59"/>
      <w:r>
        <w:t>E2 = 0.98</w:t>
      </w:r>
    </w:p>
    <w:p w14:paraId="509F904C" w14:textId="77777777" w:rsidR="005C00BD" w:rsidRDefault="00000000">
      <w:pPr>
        <w:pStyle w:val="FirstParagraph"/>
      </w:pPr>
      <w:r>
        <w:t>The reduction from 1.0 accounts for: - Transient WAN congestion during extreme events (when multiple operators may simultaneously attempt migration) - Smaller facilities with less redundant WAN connectivity than hyperscale campuses - The possibility of correlated network stress during grid emergencies (ice storms that damage both power lines and fiber)</w:t>
      </w:r>
    </w:p>
    <w:p w14:paraId="509F904D" w14:textId="77777777" w:rsidR="005C00BD" w:rsidRDefault="00000000">
      <w:r>
        <w:pict w14:anchorId="509F91AF">
          <v:rect id="_x0000_i1394" style="width:0;height:1.5pt" o:hralign="center" o:hrstd="t" o:hr="t"/>
        </w:pict>
      </w:r>
    </w:p>
    <w:p w14:paraId="509F904E" w14:textId="77777777" w:rsidR="005C00BD" w:rsidRDefault="00000000">
      <w:pPr>
        <w:pStyle w:val="Heading2"/>
      </w:pPr>
      <w:bookmarkStart w:id="61" w:name="cascade-product-and-commitment-depth"/>
      <w:bookmarkEnd w:id="51"/>
      <w:bookmarkEnd w:id="56"/>
      <w:bookmarkEnd w:id="60"/>
      <w:r>
        <w:t>5. Cascade Product and Commitment Depth</w:t>
      </w:r>
    </w:p>
    <w:p w14:paraId="509F904F" w14:textId="77777777" w:rsidR="005C00BD" w:rsidRDefault="00000000">
      <w:pPr>
        <w:pStyle w:val="Heading3"/>
      </w:pPr>
      <w:bookmarkStart w:id="62" w:name="full-parameter-table"/>
      <w:r>
        <w:t>Full Parameter Table</w:t>
      </w:r>
    </w:p>
    <w:tbl>
      <w:tblPr>
        <w:tblStyle w:val="Table"/>
        <w:tblW w:w="5000" w:type="pct"/>
        <w:tblLook w:val="0020" w:firstRow="1" w:lastRow="0" w:firstColumn="0" w:lastColumn="0" w:noHBand="0" w:noVBand="0"/>
      </w:tblPr>
      <w:tblGrid>
        <w:gridCol w:w="1702"/>
        <w:gridCol w:w="1905"/>
        <w:gridCol w:w="1556"/>
        <w:gridCol w:w="983"/>
        <w:gridCol w:w="1278"/>
        <w:gridCol w:w="1936"/>
      </w:tblGrid>
      <w:tr w:rsidR="005C00BD" w14:paraId="509F9056"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50" w14:textId="77777777" w:rsidR="005C00BD" w:rsidRDefault="00000000">
            <w:pPr>
              <w:pStyle w:val="Compact"/>
            </w:pPr>
            <w:r>
              <w:t>Parameter</w:t>
            </w:r>
          </w:p>
        </w:tc>
        <w:tc>
          <w:tcPr>
            <w:tcW w:w="0" w:type="auto"/>
          </w:tcPr>
          <w:p w14:paraId="509F9051" w14:textId="77777777" w:rsidR="005C00BD" w:rsidRDefault="00000000">
            <w:pPr>
              <w:pStyle w:val="Compact"/>
            </w:pPr>
            <w:r>
              <w:t>Measures</w:t>
            </w:r>
          </w:p>
        </w:tc>
        <w:tc>
          <w:tcPr>
            <w:tcW w:w="0" w:type="auto"/>
          </w:tcPr>
          <w:p w14:paraId="509F9052" w14:textId="77777777" w:rsidR="005C00BD" w:rsidRDefault="00000000">
            <w:pPr>
              <w:pStyle w:val="Compact"/>
            </w:pPr>
            <w:r>
              <w:t>Conservative</w:t>
            </w:r>
          </w:p>
        </w:tc>
        <w:tc>
          <w:tcPr>
            <w:tcW w:w="0" w:type="auto"/>
          </w:tcPr>
          <w:p w14:paraId="509F9053" w14:textId="77777777" w:rsidR="005C00BD" w:rsidRDefault="00000000">
            <w:pPr>
              <w:pStyle w:val="Compact"/>
            </w:pPr>
            <w:r>
              <w:t>Central</w:t>
            </w:r>
          </w:p>
        </w:tc>
        <w:tc>
          <w:tcPr>
            <w:tcW w:w="0" w:type="auto"/>
          </w:tcPr>
          <w:p w14:paraId="509F9054" w14:textId="77777777" w:rsidR="005C00BD" w:rsidRDefault="00000000">
            <w:pPr>
              <w:pStyle w:val="Compact"/>
            </w:pPr>
            <w:r>
              <w:t>Optimistic</w:t>
            </w:r>
          </w:p>
        </w:tc>
        <w:tc>
          <w:tcPr>
            <w:tcW w:w="0" w:type="auto"/>
          </w:tcPr>
          <w:p w14:paraId="509F9055" w14:textId="77777777" w:rsidR="005C00BD" w:rsidRDefault="00000000">
            <w:pPr>
              <w:pStyle w:val="Compact"/>
            </w:pPr>
            <w:r>
              <w:t>Grounding</w:t>
            </w:r>
          </w:p>
        </w:tc>
      </w:tr>
      <w:tr w:rsidR="005C00BD" w14:paraId="509F905D" w14:textId="77777777">
        <w:tc>
          <w:tcPr>
            <w:tcW w:w="0" w:type="auto"/>
          </w:tcPr>
          <w:p w14:paraId="509F9057" w14:textId="77777777" w:rsidR="005C00BD" w:rsidRDefault="00000000">
            <w:pPr>
              <w:pStyle w:val="Compact"/>
            </w:pPr>
            <w:r>
              <w:rPr>
                <w:b/>
                <w:bCs/>
              </w:rPr>
              <w:t>Source-side</w:t>
            </w:r>
          </w:p>
        </w:tc>
        <w:tc>
          <w:tcPr>
            <w:tcW w:w="0" w:type="auto"/>
          </w:tcPr>
          <w:p w14:paraId="509F9058" w14:textId="77777777" w:rsidR="005C00BD" w:rsidRDefault="005C00BD">
            <w:pPr>
              <w:pStyle w:val="Compact"/>
            </w:pPr>
          </w:p>
        </w:tc>
        <w:tc>
          <w:tcPr>
            <w:tcW w:w="0" w:type="auto"/>
          </w:tcPr>
          <w:p w14:paraId="509F9059" w14:textId="77777777" w:rsidR="005C00BD" w:rsidRDefault="005C00BD">
            <w:pPr>
              <w:pStyle w:val="Compact"/>
            </w:pPr>
          </w:p>
        </w:tc>
        <w:tc>
          <w:tcPr>
            <w:tcW w:w="0" w:type="auto"/>
          </w:tcPr>
          <w:p w14:paraId="509F905A" w14:textId="77777777" w:rsidR="005C00BD" w:rsidRDefault="005C00BD">
            <w:pPr>
              <w:pStyle w:val="Compact"/>
            </w:pPr>
          </w:p>
        </w:tc>
        <w:tc>
          <w:tcPr>
            <w:tcW w:w="0" w:type="auto"/>
          </w:tcPr>
          <w:p w14:paraId="509F905B" w14:textId="77777777" w:rsidR="005C00BD" w:rsidRDefault="005C00BD">
            <w:pPr>
              <w:pStyle w:val="Compact"/>
            </w:pPr>
          </w:p>
        </w:tc>
        <w:tc>
          <w:tcPr>
            <w:tcW w:w="0" w:type="auto"/>
          </w:tcPr>
          <w:p w14:paraId="509F905C" w14:textId="77777777" w:rsidR="005C00BD" w:rsidRDefault="005C00BD">
            <w:pPr>
              <w:pStyle w:val="Compact"/>
            </w:pPr>
          </w:p>
        </w:tc>
      </w:tr>
      <w:tr w:rsidR="005C00BD" w14:paraId="509F9064" w14:textId="77777777">
        <w:tc>
          <w:tcPr>
            <w:tcW w:w="0" w:type="auto"/>
          </w:tcPr>
          <w:p w14:paraId="509F905E" w14:textId="77777777" w:rsidR="005C00BD" w:rsidRDefault="00000000">
            <w:pPr>
              <w:pStyle w:val="Compact"/>
            </w:pPr>
            <w:r>
              <w:t>S1</w:t>
            </w:r>
          </w:p>
        </w:tc>
        <w:tc>
          <w:tcPr>
            <w:tcW w:w="0" w:type="auto"/>
          </w:tcPr>
          <w:p w14:paraId="509F905F" w14:textId="77777777" w:rsidR="005C00BD" w:rsidRDefault="00000000">
            <w:pPr>
              <w:pStyle w:val="Compact"/>
            </w:pPr>
            <w:r>
              <w:t>Workload candidacy</w:t>
            </w:r>
          </w:p>
        </w:tc>
        <w:tc>
          <w:tcPr>
            <w:tcW w:w="0" w:type="auto"/>
          </w:tcPr>
          <w:p w14:paraId="509F9060" w14:textId="77777777" w:rsidR="005C00BD" w:rsidRDefault="00000000">
            <w:pPr>
              <w:pStyle w:val="Compact"/>
            </w:pPr>
            <w:r>
              <w:t>0.70</w:t>
            </w:r>
          </w:p>
        </w:tc>
        <w:tc>
          <w:tcPr>
            <w:tcW w:w="0" w:type="auto"/>
          </w:tcPr>
          <w:p w14:paraId="509F9061" w14:textId="77777777" w:rsidR="005C00BD" w:rsidRDefault="00000000">
            <w:pPr>
              <w:pStyle w:val="Compact"/>
            </w:pPr>
            <w:r>
              <w:t>0.70</w:t>
            </w:r>
          </w:p>
        </w:tc>
        <w:tc>
          <w:tcPr>
            <w:tcW w:w="0" w:type="auto"/>
          </w:tcPr>
          <w:p w14:paraId="509F9062" w14:textId="77777777" w:rsidR="005C00BD" w:rsidRDefault="00000000">
            <w:pPr>
              <w:pStyle w:val="Compact"/>
            </w:pPr>
            <w:r>
              <w:t>0.70</w:t>
            </w:r>
          </w:p>
        </w:tc>
        <w:tc>
          <w:tcPr>
            <w:tcW w:w="0" w:type="auto"/>
          </w:tcPr>
          <w:p w14:paraId="509F9063" w14:textId="77777777" w:rsidR="005C00BD" w:rsidRDefault="00000000">
            <w:pPr>
              <w:pStyle w:val="Compact"/>
            </w:pPr>
            <w:r>
              <w:t>STRUCTURAL</w:t>
            </w:r>
          </w:p>
        </w:tc>
      </w:tr>
      <w:tr w:rsidR="005C00BD" w14:paraId="509F906B" w14:textId="77777777">
        <w:tc>
          <w:tcPr>
            <w:tcW w:w="0" w:type="auto"/>
          </w:tcPr>
          <w:p w14:paraId="509F9065" w14:textId="77777777" w:rsidR="005C00BD" w:rsidRDefault="00000000">
            <w:pPr>
              <w:pStyle w:val="Compact"/>
            </w:pPr>
            <w:r>
              <w:t>S2</w:t>
            </w:r>
          </w:p>
        </w:tc>
        <w:tc>
          <w:tcPr>
            <w:tcW w:w="0" w:type="auto"/>
          </w:tcPr>
          <w:p w14:paraId="509F9066" w14:textId="77777777" w:rsidR="005C00BD" w:rsidRDefault="00000000">
            <w:pPr>
              <w:pStyle w:val="Compact"/>
            </w:pPr>
            <w:r>
              <w:t>Data locality</w:t>
            </w:r>
          </w:p>
        </w:tc>
        <w:tc>
          <w:tcPr>
            <w:tcW w:w="0" w:type="auto"/>
          </w:tcPr>
          <w:p w14:paraId="509F9067" w14:textId="77777777" w:rsidR="005C00BD" w:rsidRDefault="00000000">
            <w:pPr>
              <w:pStyle w:val="Compact"/>
            </w:pPr>
            <w:r>
              <w:t>0.60</w:t>
            </w:r>
          </w:p>
        </w:tc>
        <w:tc>
          <w:tcPr>
            <w:tcW w:w="0" w:type="auto"/>
          </w:tcPr>
          <w:p w14:paraId="509F9068" w14:textId="77777777" w:rsidR="005C00BD" w:rsidRDefault="00000000">
            <w:pPr>
              <w:pStyle w:val="Compact"/>
            </w:pPr>
            <w:r>
              <w:t>0.70</w:t>
            </w:r>
          </w:p>
        </w:tc>
        <w:tc>
          <w:tcPr>
            <w:tcW w:w="0" w:type="auto"/>
          </w:tcPr>
          <w:p w14:paraId="509F9069" w14:textId="77777777" w:rsidR="005C00BD" w:rsidRDefault="00000000">
            <w:pPr>
              <w:pStyle w:val="Compact"/>
            </w:pPr>
            <w:r>
              <w:t>0.95</w:t>
            </w:r>
          </w:p>
        </w:tc>
        <w:tc>
          <w:tcPr>
            <w:tcW w:w="0" w:type="auto"/>
          </w:tcPr>
          <w:p w14:paraId="509F906A" w14:textId="77777777" w:rsidR="005C00BD" w:rsidRDefault="00000000">
            <w:pPr>
              <w:pStyle w:val="Compact"/>
            </w:pPr>
            <w:r>
              <w:t>ESTIMATED-WEAK</w:t>
            </w:r>
          </w:p>
        </w:tc>
      </w:tr>
      <w:tr w:rsidR="005C00BD" w14:paraId="509F9072" w14:textId="77777777">
        <w:tc>
          <w:tcPr>
            <w:tcW w:w="0" w:type="auto"/>
          </w:tcPr>
          <w:p w14:paraId="509F906C" w14:textId="77777777" w:rsidR="005C00BD" w:rsidRDefault="00000000">
            <w:pPr>
              <w:pStyle w:val="Compact"/>
            </w:pPr>
            <w:r>
              <w:t>S3</w:t>
            </w:r>
          </w:p>
        </w:tc>
        <w:tc>
          <w:tcPr>
            <w:tcW w:w="0" w:type="auto"/>
          </w:tcPr>
          <w:p w14:paraId="509F906D" w14:textId="77777777" w:rsidR="005C00BD" w:rsidRDefault="00000000">
            <w:pPr>
              <w:pStyle w:val="Compact"/>
            </w:pPr>
            <w:r>
              <w:t>Operational timing</w:t>
            </w:r>
          </w:p>
        </w:tc>
        <w:tc>
          <w:tcPr>
            <w:tcW w:w="0" w:type="auto"/>
          </w:tcPr>
          <w:p w14:paraId="509F906E" w14:textId="77777777" w:rsidR="005C00BD" w:rsidRDefault="00000000">
            <w:pPr>
              <w:pStyle w:val="Compact"/>
            </w:pPr>
            <w:r>
              <w:t>0.85</w:t>
            </w:r>
          </w:p>
        </w:tc>
        <w:tc>
          <w:tcPr>
            <w:tcW w:w="0" w:type="auto"/>
          </w:tcPr>
          <w:p w14:paraId="509F906F" w14:textId="77777777" w:rsidR="005C00BD" w:rsidRDefault="00000000">
            <w:pPr>
              <w:pStyle w:val="Compact"/>
            </w:pPr>
            <w:r>
              <w:t>0.90</w:t>
            </w:r>
          </w:p>
        </w:tc>
        <w:tc>
          <w:tcPr>
            <w:tcW w:w="0" w:type="auto"/>
          </w:tcPr>
          <w:p w14:paraId="509F9070" w14:textId="77777777" w:rsidR="005C00BD" w:rsidRDefault="00000000">
            <w:pPr>
              <w:pStyle w:val="Compact"/>
            </w:pPr>
            <w:r>
              <w:t>0.95</w:t>
            </w:r>
          </w:p>
        </w:tc>
        <w:tc>
          <w:tcPr>
            <w:tcW w:w="0" w:type="auto"/>
          </w:tcPr>
          <w:p w14:paraId="509F9071" w14:textId="77777777" w:rsidR="005C00BD" w:rsidRDefault="00000000">
            <w:pPr>
              <w:pStyle w:val="Compact"/>
            </w:pPr>
            <w:r>
              <w:t>DATA</w:t>
            </w:r>
          </w:p>
        </w:tc>
      </w:tr>
      <w:tr w:rsidR="005C00BD" w14:paraId="509F9079" w14:textId="77777777">
        <w:tc>
          <w:tcPr>
            <w:tcW w:w="0" w:type="auto"/>
          </w:tcPr>
          <w:p w14:paraId="509F9073" w14:textId="77777777" w:rsidR="005C00BD" w:rsidRDefault="00000000">
            <w:pPr>
              <w:pStyle w:val="Compact"/>
            </w:pPr>
            <w:r>
              <w:rPr>
                <w:b/>
                <w:bCs/>
              </w:rPr>
              <w:t>Destination-side</w:t>
            </w:r>
          </w:p>
        </w:tc>
        <w:tc>
          <w:tcPr>
            <w:tcW w:w="0" w:type="auto"/>
          </w:tcPr>
          <w:p w14:paraId="509F9074" w14:textId="77777777" w:rsidR="005C00BD" w:rsidRDefault="005C00BD">
            <w:pPr>
              <w:pStyle w:val="Compact"/>
            </w:pPr>
          </w:p>
        </w:tc>
        <w:tc>
          <w:tcPr>
            <w:tcW w:w="0" w:type="auto"/>
          </w:tcPr>
          <w:p w14:paraId="509F9075" w14:textId="77777777" w:rsidR="005C00BD" w:rsidRDefault="005C00BD">
            <w:pPr>
              <w:pStyle w:val="Compact"/>
            </w:pPr>
          </w:p>
        </w:tc>
        <w:tc>
          <w:tcPr>
            <w:tcW w:w="0" w:type="auto"/>
          </w:tcPr>
          <w:p w14:paraId="509F9076" w14:textId="77777777" w:rsidR="005C00BD" w:rsidRDefault="005C00BD">
            <w:pPr>
              <w:pStyle w:val="Compact"/>
            </w:pPr>
          </w:p>
        </w:tc>
        <w:tc>
          <w:tcPr>
            <w:tcW w:w="0" w:type="auto"/>
          </w:tcPr>
          <w:p w14:paraId="509F9077" w14:textId="77777777" w:rsidR="005C00BD" w:rsidRDefault="005C00BD">
            <w:pPr>
              <w:pStyle w:val="Compact"/>
            </w:pPr>
          </w:p>
        </w:tc>
        <w:tc>
          <w:tcPr>
            <w:tcW w:w="0" w:type="auto"/>
          </w:tcPr>
          <w:p w14:paraId="509F9078" w14:textId="77777777" w:rsidR="005C00BD" w:rsidRDefault="005C00BD">
            <w:pPr>
              <w:pStyle w:val="Compact"/>
            </w:pPr>
          </w:p>
        </w:tc>
      </w:tr>
      <w:tr w:rsidR="005C00BD" w14:paraId="509F9080" w14:textId="77777777">
        <w:tc>
          <w:tcPr>
            <w:tcW w:w="0" w:type="auto"/>
          </w:tcPr>
          <w:p w14:paraId="509F907A" w14:textId="77777777" w:rsidR="005C00BD" w:rsidRDefault="00000000">
            <w:pPr>
              <w:pStyle w:val="Compact"/>
            </w:pPr>
            <w:r>
              <w:t>D1</w:t>
            </w:r>
          </w:p>
        </w:tc>
        <w:tc>
          <w:tcPr>
            <w:tcW w:w="0" w:type="auto"/>
          </w:tcPr>
          <w:p w14:paraId="509F907B" w14:textId="77777777" w:rsidR="005C00BD" w:rsidRDefault="00000000">
            <w:pPr>
              <w:pStyle w:val="Compact"/>
            </w:pPr>
            <w:r>
              <w:t>Cross-region availability</w:t>
            </w:r>
          </w:p>
        </w:tc>
        <w:tc>
          <w:tcPr>
            <w:tcW w:w="0" w:type="auto"/>
          </w:tcPr>
          <w:p w14:paraId="509F907C" w14:textId="77777777" w:rsidR="005C00BD" w:rsidRDefault="00000000">
            <w:pPr>
              <w:pStyle w:val="Compact"/>
            </w:pPr>
            <w:r>
              <w:t>0.945</w:t>
            </w:r>
          </w:p>
        </w:tc>
        <w:tc>
          <w:tcPr>
            <w:tcW w:w="0" w:type="auto"/>
          </w:tcPr>
          <w:p w14:paraId="509F907D" w14:textId="77777777" w:rsidR="005C00BD" w:rsidRDefault="00000000">
            <w:pPr>
              <w:pStyle w:val="Compact"/>
            </w:pPr>
            <w:r>
              <w:t>0.99</w:t>
            </w:r>
          </w:p>
        </w:tc>
        <w:tc>
          <w:tcPr>
            <w:tcW w:w="0" w:type="auto"/>
          </w:tcPr>
          <w:p w14:paraId="509F907E" w14:textId="77777777" w:rsidR="005C00BD" w:rsidRDefault="00000000">
            <w:pPr>
              <w:pStyle w:val="Compact"/>
            </w:pPr>
            <w:r>
              <w:t>0.995</w:t>
            </w:r>
          </w:p>
        </w:tc>
        <w:tc>
          <w:tcPr>
            <w:tcW w:w="0" w:type="auto"/>
          </w:tcPr>
          <w:p w14:paraId="509F907F" w14:textId="77777777" w:rsidR="005C00BD" w:rsidRDefault="00000000">
            <w:pPr>
              <w:pStyle w:val="Compact"/>
            </w:pPr>
            <w:r>
              <w:t>DATA</w:t>
            </w:r>
          </w:p>
        </w:tc>
      </w:tr>
      <w:tr w:rsidR="005C00BD" w14:paraId="509F9087" w14:textId="77777777">
        <w:tc>
          <w:tcPr>
            <w:tcW w:w="0" w:type="auto"/>
          </w:tcPr>
          <w:p w14:paraId="509F9081" w14:textId="77777777" w:rsidR="005C00BD" w:rsidRDefault="00000000">
            <w:pPr>
              <w:pStyle w:val="Compact"/>
            </w:pPr>
            <w:r>
              <w:t>D2</w:t>
            </w:r>
          </w:p>
        </w:tc>
        <w:tc>
          <w:tcPr>
            <w:tcW w:w="0" w:type="auto"/>
          </w:tcPr>
          <w:p w14:paraId="509F9082" w14:textId="77777777" w:rsidR="005C00BD" w:rsidRDefault="00000000">
            <w:pPr>
              <w:pStyle w:val="Compact"/>
            </w:pPr>
            <w:r>
              <w:t>Utilization headroom</w:t>
            </w:r>
          </w:p>
        </w:tc>
        <w:tc>
          <w:tcPr>
            <w:tcW w:w="0" w:type="auto"/>
          </w:tcPr>
          <w:p w14:paraId="509F9083" w14:textId="77777777" w:rsidR="005C00BD" w:rsidRDefault="00000000">
            <w:pPr>
              <w:pStyle w:val="Compact"/>
            </w:pPr>
            <w:r>
              <w:t>0.20</w:t>
            </w:r>
          </w:p>
        </w:tc>
        <w:tc>
          <w:tcPr>
            <w:tcW w:w="0" w:type="auto"/>
          </w:tcPr>
          <w:p w14:paraId="509F9084" w14:textId="77777777" w:rsidR="005C00BD" w:rsidRDefault="00000000">
            <w:pPr>
              <w:pStyle w:val="Compact"/>
            </w:pPr>
            <w:r>
              <w:t>0.33</w:t>
            </w:r>
          </w:p>
        </w:tc>
        <w:tc>
          <w:tcPr>
            <w:tcW w:w="0" w:type="auto"/>
          </w:tcPr>
          <w:p w14:paraId="509F9085" w14:textId="77777777" w:rsidR="005C00BD" w:rsidRDefault="00000000">
            <w:pPr>
              <w:pStyle w:val="Compact"/>
            </w:pPr>
            <w:r>
              <w:t>0.50</w:t>
            </w:r>
          </w:p>
        </w:tc>
        <w:tc>
          <w:tcPr>
            <w:tcW w:w="0" w:type="auto"/>
          </w:tcPr>
          <w:p w14:paraId="509F9086" w14:textId="77777777" w:rsidR="005C00BD" w:rsidRDefault="00000000">
            <w:pPr>
              <w:pStyle w:val="Compact"/>
            </w:pPr>
            <w:r>
              <w:t>ESTIMATED-WEAK</w:t>
            </w:r>
          </w:p>
        </w:tc>
      </w:tr>
      <w:tr w:rsidR="005C00BD" w14:paraId="509F908E" w14:textId="77777777">
        <w:tc>
          <w:tcPr>
            <w:tcW w:w="0" w:type="auto"/>
          </w:tcPr>
          <w:p w14:paraId="509F9088" w14:textId="77777777" w:rsidR="005C00BD" w:rsidRDefault="00000000">
            <w:pPr>
              <w:pStyle w:val="Compact"/>
            </w:pPr>
            <w:r>
              <w:t>D3</w:t>
            </w:r>
          </w:p>
        </w:tc>
        <w:tc>
          <w:tcPr>
            <w:tcW w:w="0" w:type="auto"/>
          </w:tcPr>
          <w:p w14:paraId="509F9089" w14:textId="77777777" w:rsidR="005C00BD" w:rsidRDefault="00000000">
            <w:pPr>
              <w:pStyle w:val="Compact"/>
            </w:pPr>
            <w:r>
              <w:t>Hardware compatibility</w:t>
            </w:r>
          </w:p>
        </w:tc>
        <w:tc>
          <w:tcPr>
            <w:tcW w:w="0" w:type="auto"/>
          </w:tcPr>
          <w:p w14:paraId="509F908A" w14:textId="77777777" w:rsidR="005C00BD" w:rsidRDefault="00000000">
            <w:pPr>
              <w:pStyle w:val="Compact"/>
            </w:pPr>
            <w:r>
              <w:t>0.80</w:t>
            </w:r>
          </w:p>
        </w:tc>
        <w:tc>
          <w:tcPr>
            <w:tcW w:w="0" w:type="auto"/>
          </w:tcPr>
          <w:p w14:paraId="509F908B" w14:textId="77777777" w:rsidR="005C00BD" w:rsidRDefault="00000000">
            <w:pPr>
              <w:pStyle w:val="Compact"/>
            </w:pPr>
            <w:r>
              <w:t>0.88</w:t>
            </w:r>
          </w:p>
        </w:tc>
        <w:tc>
          <w:tcPr>
            <w:tcW w:w="0" w:type="auto"/>
          </w:tcPr>
          <w:p w14:paraId="509F908C" w14:textId="77777777" w:rsidR="005C00BD" w:rsidRDefault="00000000">
            <w:pPr>
              <w:pStyle w:val="Compact"/>
            </w:pPr>
            <w:r>
              <w:t>0.92</w:t>
            </w:r>
          </w:p>
        </w:tc>
        <w:tc>
          <w:tcPr>
            <w:tcW w:w="0" w:type="auto"/>
          </w:tcPr>
          <w:p w14:paraId="509F908D" w14:textId="77777777" w:rsidR="005C00BD" w:rsidRDefault="00000000">
            <w:pPr>
              <w:pStyle w:val="Compact"/>
            </w:pPr>
            <w:r>
              <w:t>ESTIMATED-MODERATE</w:t>
            </w:r>
          </w:p>
        </w:tc>
      </w:tr>
      <w:tr w:rsidR="005C00BD" w14:paraId="509F9095" w14:textId="77777777">
        <w:tc>
          <w:tcPr>
            <w:tcW w:w="0" w:type="auto"/>
          </w:tcPr>
          <w:p w14:paraId="509F908F" w14:textId="77777777" w:rsidR="005C00BD" w:rsidRDefault="00000000">
            <w:pPr>
              <w:pStyle w:val="Compact"/>
            </w:pPr>
            <w:r>
              <w:t>D4</w:t>
            </w:r>
          </w:p>
        </w:tc>
        <w:tc>
          <w:tcPr>
            <w:tcW w:w="0" w:type="auto"/>
          </w:tcPr>
          <w:p w14:paraId="509F9090" w14:textId="77777777" w:rsidR="005C00BD" w:rsidRDefault="00000000">
            <w:pPr>
              <w:pStyle w:val="Compact"/>
            </w:pPr>
            <w:r>
              <w:t>Inference workload share</w:t>
            </w:r>
          </w:p>
        </w:tc>
        <w:tc>
          <w:tcPr>
            <w:tcW w:w="0" w:type="auto"/>
          </w:tcPr>
          <w:p w14:paraId="509F9091" w14:textId="77777777" w:rsidR="005C00BD" w:rsidRDefault="00000000">
            <w:pPr>
              <w:pStyle w:val="Compact"/>
            </w:pPr>
            <w:r>
              <w:t>0.33</w:t>
            </w:r>
          </w:p>
        </w:tc>
        <w:tc>
          <w:tcPr>
            <w:tcW w:w="0" w:type="auto"/>
          </w:tcPr>
          <w:p w14:paraId="509F9092" w14:textId="77777777" w:rsidR="005C00BD" w:rsidRDefault="00000000">
            <w:pPr>
              <w:pStyle w:val="Compact"/>
            </w:pPr>
            <w:r>
              <w:t>0.50</w:t>
            </w:r>
          </w:p>
        </w:tc>
        <w:tc>
          <w:tcPr>
            <w:tcW w:w="0" w:type="auto"/>
          </w:tcPr>
          <w:p w14:paraId="509F9093" w14:textId="77777777" w:rsidR="005C00BD" w:rsidRDefault="00000000">
            <w:pPr>
              <w:pStyle w:val="Compact"/>
            </w:pPr>
            <w:r>
              <w:t>0.67</w:t>
            </w:r>
          </w:p>
        </w:tc>
        <w:tc>
          <w:tcPr>
            <w:tcW w:w="0" w:type="auto"/>
          </w:tcPr>
          <w:p w14:paraId="509F9094" w14:textId="77777777" w:rsidR="005C00BD" w:rsidRDefault="00000000">
            <w:pPr>
              <w:pStyle w:val="Compact"/>
            </w:pPr>
            <w:r>
              <w:t>ESTIMATED-MODERATE</w:t>
            </w:r>
          </w:p>
        </w:tc>
      </w:tr>
      <w:tr w:rsidR="005C00BD" w14:paraId="509F909C" w14:textId="77777777">
        <w:tc>
          <w:tcPr>
            <w:tcW w:w="0" w:type="auto"/>
          </w:tcPr>
          <w:p w14:paraId="509F9096" w14:textId="77777777" w:rsidR="005C00BD" w:rsidRDefault="00000000">
            <w:pPr>
              <w:pStyle w:val="Compact"/>
            </w:pPr>
            <w:r>
              <w:t>D5</w:t>
            </w:r>
          </w:p>
        </w:tc>
        <w:tc>
          <w:tcPr>
            <w:tcW w:w="0" w:type="auto"/>
          </w:tcPr>
          <w:p w14:paraId="509F9097" w14:textId="77777777" w:rsidR="005C00BD" w:rsidRDefault="00000000">
            <w:pPr>
              <w:pStyle w:val="Compact"/>
            </w:pPr>
            <w:r>
              <w:t>Pre-staging readiness</w:t>
            </w:r>
          </w:p>
        </w:tc>
        <w:tc>
          <w:tcPr>
            <w:tcW w:w="0" w:type="auto"/>
          </w:tcPr>
          <w:p w14:paraId="509F9098" w14:textId="77777777" w:rsidR="005C00BD" w:rsidRDefault="00000000">
            <w:pPr>
              <w:pStyle w:val="Compact"/>
            </w:pPr>
            <w:r>
              <w:t>0.50</w:t>
            </w:r>
          </w:p>
        </w:tc>
        <w:tc>
          <w:tcPr>
            <w:tcW w:w="0" w:type="auto"/>
          </w:tcPr>
          <w:p w14:paraId="509F9099" w14:textId="77777777" w:rsidR="005C00BD" w:rsidRDefault="00000000">
            <w:pPr>
              <w:pStyle w:val="Compact"/>
            </w:pPr>
            <w:r>
              <w:t>0.65</w:t>
            </w:r>
          </w:p>
        </w:tc>
        <w:tc>
          <w:tcPr>
            <w:tcW w:w="0" w:type="auto"/>
          </w:tcPr>
          <w:p w14:paraId="509F909A" w14:textId="77777777" w:rsidR="005C00BD" w:rsidRDefault="00000000">
            <w:pPr>
              <w:pStyle w:val="Compact"/>
            </w:pPr>
            <w:r>
              <w:t>0.80</w:t>
            </w:r>
          </w:p>
        </w:tc>
        <w:tc>
          <w:tcPr>
            <w:tcW w:w="0" w:type="auto"/>
          </w:tcPr>
          <w:p w14:paraId="509F909B" w14:textId="77777777" w:rsidR="005C00BD" w:rsidRDefault="00000000">
            <w:pPr>
              <w:pStyle w:val="Compact"/>
            </w:pPr>
            <w:r>
              <w:t>ESTIMATED-WEAK</w:t>
            </w:r>
          </w:p>
        </w:tc>
      </w:tr>
      <w:tr w:rsidR="005C00BD" w14:paraId="509F90A3" w14:textId="77777777">
        <w:tc>
          <w:tcPr>
            <w:tcW w:w="0" w:type="auto"/>
          </w:tcPr>
          <w:p w14:paraId="509F909D" w14:textId="77777777" w:rsidR="005C00BD" w:rsidRDefault="00000000">
            <w:pPr>
              <w:pStyle w:val="Compact"/>
            </w:pPr>
            <w:r>
              <w:rPr>
                <w:b/>
                <w:bCs/>
              </w:rPr>
              <w:t>Execution</w:t>
            </w:r>
          </w:p>
        </w:tc>
        <w:tc>
          <w:tcPr>
            <w:tcW w:w="0" w:type="auto"/>
          </w:tcPr>
          <w:p w14:paraId="509F909E" w14:textId="77777777" w:rsidR="005C00BD" w:rsidRDefault="005C00BD">
            <w:pPr>
              <w:pStyle w:val="Compact"/>
            </w:pPr>
          </w:p>
        </w:tc>
        <w:tc>
          <w:tcPr>
            <w:tcW w:w="0" w:type="auto"/>
          </w:tcPr>
          <w:p w14:paraId="509F909F" w14:textId="77777777" w:rsidR="005C00BD" w:rsidRDefault="005C00BD">
            <w:pPr>
              <w:pStyle w:val="Compact"/>
            </w:pPr>
          </w:p>
        </w:tc>
        <w:tc>
          <w:tcPr>
            <w:tcW w:w="0" w:type="auto"/>
          </w:tcPr>
          <w:p w14:paraId="509F90A0" w14:textId="77777777" w:rsidR="005C00BD" w:rsidRDefault="005C00BD">
            <w:pPr>
              <w:pStyle w:val="Compact"/>
            </w:pPr>
          </w:p>
        </w:tc>
        <w:tc>
          <w:tcPr>
            <w:tcW w:w="0" w:type="auto"/>
          </w:tcPr>
          <w:p w14:paraId="509F90A1" w14:textId="77777777" w:rsidR="005C00BD" w:rsidRDefault="005C00BD">
            <w:pPr>
              <w:pStyle w:val="Compact"/>
            </w:pPr>
          </w:p>
        </w:tc>
        <w:tc>
          <w:tcPr>
            <w:tcW w:w="0" w:type="auto"/>
          </w:tcPr>
          <w:p w14:paraId="509F90A2" w14:textId="77777777" w:rsidR="005C00BD" w:rsidRDefault="005C00BD">
            <w:pPr>
              <w:pStyle w:val="Compact"/>
            </w:pPr>
          </w:p>
        </w:tc>
      </w:tr>
      <w:tr w:rsidR="005C00BD" w14:paraId="509F90AA" w14:textId="77777777">
        <w:tc>
          <w:tcPr>
            <w:tcW w:w="0" w:type="auto"/>
          </w:tcPr>
          <w:p w14:paraId="509F90A4" w14:textId="77777777" w:rsidR="005C00BD" w:rsidRDefault="00000000">
            <w:pPr>
              <w:pStyle w:val="Compact"/>
            </w:pPr>
            <w:r>
              <w:t>E1</w:t>
            </w:r>
          </w:p>
        </w:tc>
        <w:tc>
          <w:tcPr>
            <w:tcW w:w="0" w:type="auto"/>
          </w:tcPr>
          <w:p w14:paraId="509F90A5" w14:textId="77777777" w:rsidR="005C00BD" w:rsidRDefault="00000000">
            <w:pPr>
              <w:pStyle w:val="Compact"/>
            </w:pPr>
            <w:r>
              <w:t>Routing completion</w:t>
            </w:r>
          </w:p>
        </w:tc>
        <w:tc>
          <w:tcPr>
            <w:tcW w:w="0" w:type="auto"/>
          </w:tcPr>
          <w:p w14:paraId="509F90A6" w14:textId="77777777" w:rsidR="005C00BD" w:rsidRDefault="00000000">
            <w:pPr>
              <w:pStyle w:val="Compact"/>
            </w:pPr>
            <w:r>
              <w:t>0.90</w:t>
            </w:r>
          </w:p>
        </w:tc>
        <w:tc>
          <w:tcPr>
            <w:tcW w:w="0" w:type="auto"/>
          </w:tcPr>
          <w:p w14:paraId="509F90A7" w14:textId="77777777" w:rsidR="005C00BD" w:rsidRDefault="00000000">
            <w:pPr>
              <w:pStyle w:val="Compact"/>
            </w:pPr>
            <w:r>
              <w:t>0.95</w:t>
            </w:r>
          </w:p>
        </w:tc>
        <w:tc>
          <w:tcPr>
            <w:tcW w:w="0" w:type="auto"/>
          </w:tcPr>
          <w:p w14:paraId="509F90A8" w14:textId="77777777" w:rsidR="005C00BD" w:rsidRDefault="00000000">
            <w:pPr>
              <w:pStyle w:val="Compact"/>
            </w:pPr>
            <w:r>
              <w:t>0.99</w:t>
            </w:r>
          </w:p>
        </w:tc>
        <w:tc>
          <w:tcPr>
            <w:tcW w:w="0" w:type="auto"/>
          </w:tcPr>
          <w:p w14:paraId="509F90A9" w14:textId="77777777" w:rsidR="005C00BD" w:rsidRDefault="00000000">
            <w:pPr>
              <w:pStyle w:val="Compact"/>
            </w:pPr>
            <w:r>
              <w:t>ESTIMATED</w:t>
            </w:r>
          </w:p>
        </w:tc>
      </w:tr>
      <w:tr w:rsidR="005C00BD" w14:paraId="509F90B1" w14:textId="77777777">
        <w:tc>
          <w:tcPr>
            <w:tcW w:w="0" w:type="auto"/>
          </w:tcPr>
          <w:p w14:paraId="509F90AB" w14:textId="77777777" w:rsidR="005C00BD" w:rsidRDefault="00000000">
            <w:pPr>
              <w:pStyle w:val="Compact"/>
            </w:pPr>
            <w:r>
              <w:lastRenderedPageBreak/>
              <w:t>E2</w:t>
            </w:r>
          </w:p>
        </w:tc>
        <w:tc>
          <w:tcPr>
            <w:tcW w:w="0" w:type="auto"/>
          </w:tcPr>
          <w:p w14:paraId="509F90AC" w14:textId="77777777" w:rsidR="005C00BD" w:rsidRDefault="00000000">
            <w:pPr>
              <w:pStyle w:val="Compact"/>
            </w:pPr>
            <w:r>
              <w:t>Bandwidth adequacy</w:t>
            </w:r>
          </w:p>
        </w:tc>
        <w:tc>
          <w:tcPr>
            <w:tcW w:w="0" w:type="auto"/>
          </w:tcPr>
          <w:p w14:paraId="509F90AD" w14:textId="77777777" w:rsidR="005C00BD" w:rsidRDefault="00000000">
            <w:pPr>
              <w:pStyle w:val="Compact"/>
            </w:pPr>
            <w:r>
              <w:t>0.95</w:t>
            </w:r>
          </w:p>
        </w:tc>
        <w:tc>
          <w:tcPr>
            <w:tcW w:w="0" w:type="auto"/>
          </w:tcPr>
          <w:p w14:paraId="509F90AE" w14:textId="77777777" w:rsidR="005C00BD" w:rsidRDefault="00000000">
            <w:pPr>
              <w:pStyle w:val="Compact"/>
            </w:pPr>
            <w:r>
              <w:t>0.98</w:t>
            </w:r>
          </w:p>
        </w:tc>
        <w:tc>
          <w:tcPr>
            <w:tcW w:w="0" w:type="auto"/>
          </w:tcPr>
          <w:p w14:paraId="509F90AF" w14:textId="77777777" w:rsidR="005C00BD" w:rsidRDefault="00000000">
            <w:pPr>
              <w:pStyle w:val="Compact"/>
            </w:pPr>
            <w:r>
              <w:t>1.00</w:t>
            </w:r>
          </w:p>
        </w:tc>
        <w:tc>
          <w:tcPr>
            <w:tcW w:w="0" w:type="auto"/>
          </w:tcPr>
          <w:p w14:paraId="509F90B0" w14:textId="77777777" w:rsidR="005C00BD" w:rsidRDefault="00000000">
            <w:pPr>
              <w:pStyle w:val="Compact"/>
            </w:pPr>
            <w:r>
              <w:t>DATA</w:t>
            </w:r>
          </w:p>
        </w:tc>
      </w:tr>
      <w:tr w:rsidR="005C00BD" w14:paraId="509F90B8" w14:textId="77777777">
        <w:tc>
          <w:tcPr>
            <w:tcW w:w="0" w:type="auto"/>
          </w:tcPr>
          <w:p w14:paraId="509F90B2" w14:textId="77777777" w:rsidR="005C00BD" w:rsidRDefault="00000000">
            <w:pPr>
              <w:pStyle w:val="Compact"/>
            </w:pPr>
            <w:r>
              <w:rPr>
                <w:b/>
                <w:bCs/>
              </w:rPr>
              <w:t>PRODUCT</w:t>
            </w:r>
          </w:p>
        </w:tc>
        <w:tc>
          <w:tcPr>
            <w:tcW w:w="0" w:type="auto"/>
          </w:tcPr>
          <w:p w14:paraId="509F90B3" w14:textId="77777777" w:rsidR="005C00BD" w:rsidRDefault="00000000">
            <w:pPr>
              <w:pStyle w:val="Compact"/>
            </w:pPr>
            <w:r>
              <w:t>Eff. spatial fraction</w:t>
            </w:r>
          </w:p>
        </w:tc>
        <w:tc>
          <w:tcPr>
            <w:tcW w:w="0" w:type="auto"/>
          </w:tcPr>
          <w:p w14:paraId="509F90B4" w14:textId="77777777" w:rsidR="005C00BD" w:rsidRDefault="00000000">
            <w:pPr>
              <w:pStyle w:val="Compact"/>
            </w:pPr>
            <w:r>
              <w:rPr>
                <w:b/>
                <w:bCs/>
              </w:rPr>
              <w:t>0.0076</w:t>
            </w:r>
          </w:p>
        </w:tc>
        <w:tc>
          <w:tcPr>
            <w:tcW w:w="0" w:type="auto"/>
          </w:tcPr>
          <w:p w14:paraId="509F90B5" w14:textId="77777777" w:rsidR="005C00BD" w:rsidRDefault="00000000">
            <w:pPr>
              <w:pStyle w:val="Compact"/>
            </w:pPr>
            <w:r>
              <w:rPr>
                <w:b/>
                <w:bCs/>
              </w:rPr>
              <w:t>0.0384</w:t>
            </w:r>
          </w:p>
        </w:tc>
        <w:tc>
          <w:tcPr>
            <w:tcW w:w="0" w:type="auto"/>
          </w:tcPr>
          <w:p w14:paraId="509F90B6" w14:textId="77777777" w:rsidR="005C00BD" w:rsidRDefault="00000000">
            <w:pPr>
              <w:pStyle w:val="Compact"/>
            </w:pPr>
            <w:r>
              <w:rPr>
                <w:b/>
                <w:bCs/>
              </w:rPr>
              <w:t>0.1527</w:t>
            </w:r>
          </w:p>
        </w:tc>
        <w:tc>
          <w:tcPr>
            <w:tcW w:w="0" w:type="auto"/>
          </w:tcPr>
          <w:p w14:paraId="509F90B7" w14:textId="77777777" w:rsidR="005C00BD" w:rsidRDefault="005C00BD">
            <w:pPr>
              <w:pStyle w:val="Compact"/>
            </w:pPr>
          </w:p>
        </w:tc>
      </w:tr>
    </w:tbl>
    <w:p w14:paraId="509F90B9" w14:textId="77777777" w:rsidR="005C00BD" w:rsidRDefault="00000000">
      <w:pPr>
        <w:pStyle w:val="Heading3"/>
      </w:pPr>
      <w:bookmarkStart w:id="63" w:name="commitment-depth"/>
      <w:bookmarkEnd w:id="62"/>
      <w:r>
        <w:t>Commitment Depth</w:t>
      </w:r>
    </w:p>
    <w:tbl>
      <w:tblPr>
        <w:tblStyle w:val="Table"/>
        <w:tblW w:w="0" w:type="auto"/>
        <w:tblLook w:val="0020" w:firstRow="1" w:lastRow="0" w:firstColumn="0" w:lastColumn="0" w:noHBand="0" w:noVBand="0"/>
      </w:tblPr>
      <w:tblGrid>
        <w:gridCol w:w="3074"/>
        <w:gridCol w:w="1830"/>
        <w:gridCol w:w="2234"/>
      </w:tblGrid>
      <w:tr w:rsidR="005C00BD" w14:paraId="509F90B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BA" w14:textId="77777777" w:rsidR="005C00BD" w:rsidRDefault="00000000">
            <w:pPr>
              <w:pStyle w:val="Compact"/>
            </w:pPr>
            <w:r>
              <w:t>Scenario</w:t>
            </w:r>
          </w:p>
        </w:tc>
        <w:tc>
          <w:tcPr>
            <w:tcW w:w="0" w:type="auto"/>
          </w:tcPr>
          <w:p w14:paraId="509F90BB" w14:textId="77777777" w:rsidR="005C00BD" w:rsidRDefault="00000000">
            <w:pPr>
              <w:pStyle w:val="Compact"/>
            </w:pPr>
            <w:r>
              <w:t>Spatial Fraction</w:t>
            </w:r>
          </w:p>
        </w:tc>
        <w:tc>
          <w:tcPr>
            <w:tcW w:w="0" w:type="auto"/>
          </w:tcPr>
          <w:p w14:paraId="509F90BC" w14:textId="77777777" w:rsidR="005C00BD" w:rsidRDefault="00000000">
            <w:pPr>
              <w:pStyle w:val="Compact"/>
            </w:pPr>
            <w:r>
              <w:t>Commitment Depth</w:t>
            </w:r>
          </w:p>
        </w:tc>
      </w:tr>
      <w:tr w:rsidR="005C00BD" w14:paraId="509F90C1" w14:textId="77777777">
        <w:tc>
          <w:tcPr>
            <w:tcW w:w="0" w:type="auto"/>
          </w:tcPr>
          <w:p w14:paraId="509F90BE" w14:textId="77777777" w:rsidR="005C00BD" w:rsidRDefault="00000000">
            <w:pPr>
              <w:pStyle w:val="Compact"/>
            </w:pPr>
            <w:r>
              <w:t>DVFS-only floor (no spatial)</w:t>
            </w:r>
          </w:p>
        </w:tc>
        <w:tc>
          <w:tcPr>
            <w:tcW w:w="0" w:type="auto"/>
          </w:tcPr>
          <w:p w14:paraId="509F90BF" w14:textId="77777777" w:rsidR="005C00BD" w:rsidRDefault="00000000">
            <w:pPr>
              <w:pStyle w:val="Compact"/>
            </w:pPr>
            <w:r>
              <w:t>0.000</w:t>
            </w:r>
          </w:p>
        </w:tc>
        <w:tc>
          <w:tcPr>
            <w:tcW w:w="0" w:type="auto"/>
          </w:tcPr>
          <w:p w14:paraId="509F90C0" w14:textId="77777777" w:rsidR="005C00BD" w:rsidRDefault="00000000">
            <w:pPr>
              <w:pStyle w:val="Compact"/>
            </w:pPr>
            <w:r>
              <w:t>17.5%</w:t>
            </w:r>
          </w:p>
        </w:tc>
      </w:tr>
      <w:tr w:rsidR="005C00BD" w14:paraId="509F90C5" w14:textId="77777777">
        <w:tc>
          <w:tcPr>
            <w:tcW w:w="0" w:type="auto"/>
          </w:tcPr>
          <w:p w14:paraId="509F90C2" w14:textId="77777777" w:rsidR="005C00BD" w:rsidRDefault="00000000">
            <w:pPr>
              <w:pStyle w:val="Compact"/>
            </w:pPr>
            <w:r>
              <w:t>Conservative</w:t>
            </w:r>
          </w:p>
        </w:tc>
        <w:tc>
          <w:tcPr>
            <w:tcW w:w="0" w:type="auto"/>
          </w:tcPr>
          <w:p w14:paraId="509F90C3" w14:textId="77777777" w:rsidR="005C00BD" w:rsidRDefault="00000000">
            <w:pPr>
              <w:pStyle w:val="Compact"/>
            </w:pPr>
            <w:r>
              <w:t>0.0076</w:t>
            </w:r>
          </w:p>
        </w:tc>
        <w:tc>
          <w:tcPr>
            <w:tcW w:w="0" w:type="auto"/>
          </w:tcPr>
          <w:p w14:paraId="509F90C4" w14:textId="77777777" w:rsidR="005C00BD" w:rsidRDefault="00000000">
            <w:pPr>
              <w:pStyle w:val="Compact"/>
            </w:pPr>
            <w:r>
              <w:t>18.1%</w:t>
            </w:r>
          </w:p>
        </w:tc>
      </w:tr>
      <w:tr w:rsidR="005C00BD" w14:paraId="509F90C9" w14:textId="77777777">
        <w:tc>
          <w:tcPr>
            <w:tcW w:w="0" w:type="auto"/>
          </w:tcPr>
          <w:p w14:paraId="509F90C6" w14:textId="77777777" w:rsidR="005C00BD" w:rsidRDefault="00000000">
            <w:pPr>
              <w:pStyle w:val="Compact"/>
            </w:pPr>
            <w:r>
              <w:t>Central</w:t>
            </w:r>
          </w:p>
        </w:tc>
        <w:tc>
          <w:tcPr>
            <w:tcW w:w="0" w:type="auto"/>
          </w:tcPr>
          <w:p w14:paraId="509F90C7" w14:textId="77777777" w:rsidR="005C00BD" w:rsidRDefault="00000000">
            <w:pPr>
              <w:pStyle w:val="Compact"/>
            </w:pPr>
            <w:r>
              <w:t>0.0384</w:t>
            </w:r>
          </w:p>
        </w:tc>
        <w:tc>
          <w:tcPr>
            <w:tcW w:w="0" w:type="auto"/>
          </w:tcPr>
          <w:p w14:paraId="509F90C8" w14:textId="77777777" w:rsidR="005C00BD" w:rsidRDefault="00000000">
            <w:pPr>
              <w:pStyle w:val="Compact"/>
            </w:pPr>
            <w:r>
              <w:t>20.4%</w:t>
            </w:r>
          </w:p>
        </w:tc>
      </w:tr>
      <w:tr w:rsidR="005C00BD" w14:paraId="509F90CD" w14:textId="77777777">
        <w:tc>
          <w:tcPr>
            <w:tcW w:w="0" w:type="auto"/>
          </w:tcPr>
          <w:p w14:paraId="509F90CA" w14:textId="77777777" w:rsidR="005C00BD" w:rsidRDefault="00000000">
            <w:pPr>
              <w:pStyle w:val="Compact"/>
            </w:pPr>
            <w:r>
              <w:t>Optimistic</w:t>
            </w:r>
          </w:p>
        </w:tc>
        <w:tc>
          <w:tcPr>
            <w:tcW w:w="0" w:type="auto"/>
          </w:tcPr>
          <w:p w14:paraId="509F90CB" w14:textId="77777777" w:rsidR="005C00BD" w:rsidRDefault="00000000">
            <w:pPr>
              <w:pStyle w:val="Compact"/>
            </w:pPr>
            <w:r>
              <w:t>0.1527</w:t>
            </w:r>
          </w:p>
        </w:tc>
        <w:tc>
          <w:tcPr>
            <w:tcW w:w="0" w:type="auto"/>
          </w:tcPr>
          <w:p w14:paraId="509F90CC" w14:textId="77777777" w:rsidR="005C00BD" w:rsidRDefault="00000000">
            <w:pPr>
              <w:pStyle w:val="Compact"/>
            </w:pPr>
            <w:r>
              <w:t>29.0%</w:t>
            </w:r>
          </w:p>
        </w:tc>
      </w:tr>
    </w:tbl>
    <w:p w14:paraId="509F90CE" w14:textId="77777777" w:rsidR="005C00BD" w:rsidRDefault="00000000">
      <w:pPr>
        <w:pStyle w:val="Heading3"/>
      </w:pPr>
      <w:bookmarkStart w:id="64" w:name="relationship-to-conditional-monte-carlo"/>
      <w:bookmarkEnd w:id="63"/>
      <w:r>
        <w:t xml:space="preserve">Relationship </w:t>
      </w:r>
      <w:proofErr w:type="gramStart"/>
      <w:r>
        <w:t>to</w:t>
      </w:r>
      <w:proofErr w:type="gramEnd"/>
      <w:r>
        <w:t xml:space="preserve"> Conditional Monte Carlo</w:t>
      </w:r>
    </w:p>
    <w:p w14:paraId="509F90CF" w14:textId="77777777" w:rsidR="005C00BD" w:rsidRDefault="00000000">
      <w:pPr>
        <w:pStyle w:val="FirstParagraph"/>
      </w:pPr>
      <w:r>
        <w:t>The unconditional cascade product (0.0384) and commitment depth (20.4%) represent the expected spatial fraction if all ten parameters are independent and at central values. The conditional Monte Carlo (NE paper §5) replaces parametric D1 with observed per-hour grid states, revealing that the cascade is conservative at small scale and converges at fleet scale:</w:t>
      </w:r>
    </w:p>
    <w:tbl>
      <w:tblPr>
        <w:tblStyle w:val="Table"/>
        <w:tblW w:w="0" w:type="auto"/>
        <w:tblLook w:val="0020" w:firstRow="1" w:lastRow="0" w:firstColumn="0" w:lastColumn="0" w:noHBand="0" w:noVBand="0"/>
      </w:tblPr>
      <w:tblGrid>
        <w:gridCol w:w="2675"/>
        <w:gridCol w:w="2405"/>
        <w:gridCol w:w="1965"/>
        <w:gridCol w:w="1064"/>
      </w:tblGrid>
      <w:tr w:rsidR="005C00BD" w14:paraId="509F90D4"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D0" w14:textId="77777777" w:rsidR="005C00BD" w:rsidRDefault="00000000">
            <w:pPr>
              <w:pStyle w:val="Compact"/>
            </w:pPr>
            <w:r>
              <w:t>Scale</w:t>
            </w:r>
          </w:p>
        </w:tc>
        <w:tc>
          <w:tcPr>
            <w:tcW w:w="0" w:type="auto"/>
          </w:tcPr>
          <w:p w14:paraId="509F90D1" w14:textId="77777777" w:rsidR="005C00BD" w:rsidRDefault="00000000">
            <w:pPr>
              <w:pStyle w:val="Compact"/>
            </w:pPr>
            <w:r>
              <w:t>Conditional MC Mean</w:t>
            </w:r>
          </w:p>
        </w:tc>
        <w:tc>
          <w:tcPr>
            <w:tcW w:w="0" w:type="auto"/>
          </w:tcPr>
          <w:p w14:paraId="509F90D2" w14:textId="77777777" w:rsidR="005C00BD" w:rsidRDefault="00000000">
            <w:pPr>
              <w:pStyle w:val="Compact"/>
            </w:pPr>
            <w:r>
              <w:t>Cascade Baseline</w:t>
            </w:r>
          </w:p>
        </w:tc>
        <w:tc>
          <w:tcPr>
            <w:tcW w:w="0" w:type="auto"/>
          </w:tcPr>
          <w:p w14:paraId="509F90D3" w14:textId="77777777" w:rsidR="005C00BD" w:rsidRDefault="00000000">
            <w:pPr>
              <w:pStyle w:val="Compact"/>
            </w:pPr>
            <w:r>
              <w:t>Gap</w:t>
            </w:r>
          </w:p>
        </w:tc>
      </w:tr>
      <w:tr w:rsidR="005C00BD" w14:paraId="509F90D9" w14:textId="77777777">
        <w:tc>
          <w:tcPr>
            <w:tcW w:w="0" w:type="auto"/>
          </w:tcPr>
          <w:p w14:paraId="509F90D5" w14:textId="77777777" w:rsidR="005C00BD" w:rsidRDefault="00000000">
            <w:pPr>
              <w:pStyle w:val="Compact"/>
            </w:pPr>
            <w:r>
              <w:t>500 MW single facility</w:t>
            </w:r>
          </w:p>
        </w:tc>
        <w:tc>
          <w:tcPr>
            <w:tcW w:w="0" w:type="auto"/>
          </w:tcPr>
          <w:p w14:paraId="509F90D6" w14:textId="77777777" w:rsidR="005C00BD" w:rsidRDefault="00000000">
            <w:pPr>
              <w:pStyle w:val="Compact"/>
            </w:pPr>
            <w:r>
              <w:t>46.9%</w:t>
            </w:r>
          </w:p>
        </w:tc>
        <w:tc>
          <w:tcPr>
            <w:tcW w:w="0" w:type="auto"/>
          </w:tcPr>
          <w:p w14:paraId="509F90D7" w14:textId="77777777" w:rsidR="005C00BD" w:rsidRDefault="00000000">
            <w:pPr>
              <w:pStyle w:val="Compact"/>
            </w:pPr>
            <w:r>
              <w:t>20.4%</w:t>
            </w:r>
          </w:p>
        </w:tc>
        <w:tc>
          <w:tcPr>
            <w:tcW w:w="0" w:type="auto"/>
          </w:tcPr>
          <w:p w14:paraId="509F90D8" w14:textId="77777777" w:rsidR="005C00BD" w:rsidRDefault="00000000">
            <w:pPr>
              <w:pStyle w:val="Compact"/>
            </w:pPr>
            <w:r>
              <w:t>+26.5pp</w:t>
            </w:r>
          </w:p>
        </w:tc>
      </w:tr>
      <w:tr w:rsidR="005C00BD" w14:paraId="509F90DE" w14:textId="77777777">
        <w:tc>
          <w:tcPr>
            <w:tcW w:w="0" w:type="auto"/>
          </w:tcPr>
          <w:p w14:paraId="509F90DA" w14:textId="77777777" w:rsidR="005C00BD" w:rsidRDefault="00000000">
            <w:pPr>
              <w:pStyle w:val="Compact"/>
            </w:pPr>
            <w:r>
              <w:t>Empirical fleet (~3 GW)</w:t>
            </w:r>
          </w:p>
        </w:tc>
        <w:tc>
          <w:tcPr>
            <w:tcW w:w="0" w:type="auto"/>
          </w:tcPr>
          <w:p w14:paraId="509F90DB" w14:textId="77777777" w:rsidR="005C00BD" w:rsidRDefault="00000000">
            <w:pPr>
              <w:pStyle w:val="Compact"/>
            </w:pPr>
            <w:r>
              <w:t>28.9%</w:t>
            </w:r>
          </w:p>
        </w:tc>
        <w:tc>
          <w:tcPr>
            <w:tcW w:w="0" w:type="auto"/>
          </w:tcPr>
          <w:p w14:paraId="509F90DC" w14:textId="77777777" w:rsidR="005C00BD" w:rsidRDefault="00000000">
            <w:pPr>
              <w:pStyle w:val="Compact"/>
            </w:pPr>
            <w:r>
              <w:t>20.4%</w:t>
            </w:r>
          </w:p>
        </w:tc>
        <w:tc>
          <w:tcPr>
            <w:tcW w:w="0" w:type="auto"/>
          </w:tcPr>
          <w:p w14:paraId="509F90DD" w14:textId="77777777" w:rsidR="005C00BD" w:rsidRDefault="00000000">
            <w:pPr>
              <w:pStyle w:val="Compact"/>
            </w:pPr>
            <w:r>
              <w:t>+8.5pp</w:t>
            </w:r>
          </w:p>
        </w:tc>
      </w:tr>
      <w:tr w:rsidR="005C00BD" w14:paraId="509F90E3" w14:textId="77777777">
        <w:tc>
          <w:tcPr>
            <w:tcW w:w="0" w:type="auto"/>
          </w:tcPr>
          <w:p w14:paraId="509F90DF" w14:textId="77777777" w:rsidR="005C00BD" w:rsidRDefault="00000000">
            <w:pPr>
              <w:pStyle w:val="Compact"/>
            </w:pPr>
            <w:r>
              <w:t>10 GW fleet</w:t>
            </w:r>
          </w:p>
        </w:tc>
        <w:tc>
          <w:tcPr>
            <w:tcW w:w="0" w:type="auto"/>
          </w:tcPr>
          <w:p w14:paraId="509F90E0" w14:textId="77777777" w:rsidR="005C00BD" w:rsidRDefault="00000000">
            <w:pPr>
              <w:pStyle w:val="Compact"/>
            </w:pPr>
            <w:r>
              <w:t>26.9%</w:t>
            </w:r>
          </w:p>
        </w:tc>
        <w:tc>
          <w:tcPr>
            <w:tcW w:w="0" w:type="auto"/>
          </w:tcPr>
          <w:p w14:paraId="509F90E1" w14:textId="77777777" w:rsidR="005C00BD" w:rsidRDefault="00000000">
            <w:pPr>
              <w:pStyle w:val="Compact"/>
            </w:pPr>
            <w:r>
              <w:t>20.4%</w:t>
            </w:r>
          </w:p>
        </w:tc>
        <w:tc>
          <w:tcPr>
            <w:tcW w:w="0" w:type="auto"/>
          </w:tcPr>
          <w:p w14:paraId="509F90E2" w14:textId="77777777" w:rsidR="005C00BD" w:rsidRDefault="00000000">
            <w:pPr>
              <w:pStyle w:val="Compact"/>
            </w:pPr>
            <w:r>
              <w:t>+6.5pp</w:t>
            </w:r>
          </w:p>
        </w:tc>
      </w:tr>
    </w:tbl>
    <w:p w14:paraId="509F90E4" w14:textId="77777777" w:rsidR="005C00BD" w:rsidRDefault="00000000">
      <w:pPr>
        <w:pStyle w:val="BodyText"/>
      </w:pPr>
      <w:r>
        <w:t xml:space="preserve">At single-facility scale, the cascade is highly conservative because aggregate destination headroom substantially exceeds single-facility demand in </w:t>
      </w:r>
      <w:proofErr w:type="gramStart"/>
      <w:r>
        <w:t>the large majority of</w:t>
      </w:r>
      <w:proofErr w:type="gramEnd"/>
      <w:r>
        <w:t xml:space="preserve"> stress hours. At fleet scale, the estimates converge as destination contention absorbs the additional headroom. At the 5th percentile for a 10 GW fleet, commitment depth equals the DVFS floor (17.5%), meaning spatial migration contributes zero incremental flexibility in the worst tail outcomes.</w:t>
      </w:r>
    </w:p>
    <w:p w14:paraId="509F90E5" w14:textId="77777777" w:rsidR="005C00BD" w:rsidRDefault="00000000">
      <w:pPr>
        <w:pStyle w:val="BodyText"/>
      </w:pPr>
      <w:r>
        <w:t xml:space="preserve">The cascade’s primary value is as a </w:t>
      </w:r>
      <w:r>
        <w:rPr>
          <w:b/>
          <w:bCs/>
        </w:rPr>
        <w:t>decomposition tool</w:t>
      </w:r>
      <w:r>
        <w:t>, not a point estimator. It identifies which parameters matter and where empirical investment would most reduce uncertainty.</w:t>
      </w:r>
    </w:p>
    <w:p w14:paraId="509F90E6" w14:textId="77777777" w:rsidR="005C00BD" w:rsidRDefault="00000000">
      <w:r>
        <w:pict w14:anchorId="509F91B0">
          <v:rect id="_x0000_i1395" style="width:0;height:1.5pt" o:hralign="center" o:hrstd="t" o:hr="t"/>
        </w:pict>
      </w:r>
    </w:p>
    <w:p w14:paraId="509F90E7" w14:textId="77777777" w:rsidR="005C00BD" w:rsidRDefault="00000000">
      <w:pPr>
        <w:pStyle w:val="Heading2"/>
      </w:pPr>
      <w:bookmarkStart w:id="65" w:name="variance-decomposition"/>
      <w:bookmarkEnd w:id="61"/>
      <w:bookmarkEnd w:id="64"/>
      <w:r>
        <w:t>6. Variance Decomposition</w:t>
      </w:r>
    </w:p>
    <w:p w14:paraId="509F90E8" w14:textId="77777777" w:rsidR="005C00BD" w:rsidRDefault="00000000">
      <w:pPr>
        <w:pStyle w:val="FirstParagraph"/>
      </w:pPr>
      <w:r>
        <w:t>Monte Carlo variance decomposition (N = 50,000, first-order Sobol-style η²) with S1 fixed at 0.70:</w:t>
      </w:r>
    </w:p>
    <w:tbl>
      <w:tblPr>
        <w:tblStyle w:val="Table"/>
        <w:tblW w:w="0" w:type="auto"/>
        <w:tblLook w:val="0020" w:firstRow="1" w:lastRow="0" w:firstColumn="0" w:lastColumn="0" w:noHBand="0" w:noVBand="0"/>
      </w:tblPr>
      <w:tblGrid>
        <w:gridCol w:w="2898"/>
        <w:gridCol w:w="841"/>
        <w:gridCol w:w="1148"/>
        <w:gridCol w:w="2786"/>
      </w:tblGrid>
      <w:tr w:rsidR="005C00BD" w14:paraId="509F90ED"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0E9" w14:textId="77777777" w:rsidR="005C00BD" w:rsidRDefault="00000000">
            <w:pPr>
              <w:pStyle w:val="Compact"/>
            </w:pPr>
            <w:r>
              <w:t>Parameter</w:t>
            </w:r>
          </w:p>
        </w:tc>
        <w:tc>
          <w:tcPr>
            <w:tcW w:w="0" w:type="auto"/>
          </w:tcPr>
          <w:p w14:paraId="509F90EA" w14:textId="77777777" w:rsidR="005C00BD" w:rsidRDefault="00000000">
            <w:pPr>
              <w:pStyle w:val="Compact"/>
            </w:pPr>
            <w:r>
              <w:t>η²</w:t>
            </w:r>
          </w:p>
        </w:tc>
        <w:tc>
          <w:tcPr>
            <w:tcW w:w="0" w:type="auto"/>
          </w:tcPr>
          <w:p w14:paraId="509F90EB" w14:textId="77777777" w:rsidR="005C00BD" w:rsidRDefault="00000000">
            <w:pPr>
              <w:pStyle w:val="Compact"/>
            </w:pPr>
            <w:r>
              <w:t>% of Σ η²</w:t>
            </w:r>
          </w:p>
        </w:tc>
        <w:tc>
          <w:tcPr>
            <w:tcW w:w="0" w:type="auto"/>
          </w:tcPr>
          <w:p w14:paraId="509F90EC" w14:textId="77777777" w:rsidR="005C00BD" w:rsidRDefault="00000000">
            <w:pPr>
              <w:pStyle w:val="Compact"/>
            </w:pPr>
            <w:r>
              <w:t>Grounding</w:t>
            </w:r>
          </w:p>
        </w:tc>
      </w:tr>
      <w:tr w:rsidR="005C00BD" w14:paraId="509F90F2" w14:textId="77777777">
        <w:tc>
          <w:tcPr>
            <w:tcW w:w="0" w:type="auto"/>
          </w:tcPr>
          <w:p w14:paraId="509F90EE" w14:textId="77777777" w:rsidR="005C00BD" w:rsidRDefault="00000000">
            <w:pPr>
              <w:pStyle w:val="Compact"/>
            </w:pPr>
            <w:r>
              <w:t>D2 (utilization headroom)</w:t>
            </w:r>
          </w:p>
        </w:tc>
        <w:tc>
          <w:tcPr>
            <w:tcW w:w="0" w:type="auto"/>
          </w:tcPr>
          <w:p w14:paraId="509F90EF" w14:textId="77777777" w:rsidR="005C00BD" w:rsidRDefault="00000000">
            <w:pPr>
              <w:pStyle w:val="Compact"/>
            </w:pPr>
            <w:r>
              <w:t>0.421</w:t>
            </w:r>
          </w:p>
        </w:tc>
        <w:tc>
          <w:tcPr>
            <w:tcW w:w="0" w:type="auto"/>
          </w:tcPr>
          <w:p w14:paraId="509F90F0" w14:textId="77777777" w:rsidR="005C00BD" w:rsidRDefault="00000000">
            <w:pPr>
              <w:pStyle w:val="Compact"/>
            </w:pPr>
            <w:r>
              <w:t>43.9%</w:t>
            </w:r>
          </w:p>
        </w:tc>
        <w:tc>
          <w:tcPr>
            <w:tcW w:w="0" w:type="auto"/>
          </w:tcPr>
          <w:p w14:paraId="509F90F1" w14:textId="77777777" w:rsidR="005C00BD" w:rsidRDefault="00000000">
            <w:pPr>
              <w:pStyle w:val="Compact"/>
            </w:pPr>
            <w:r>
              <w:t>ESTIMATED-WEAK</w:t>
            </w:r>
          </w:p>
        </w:tc>
      </w:tr>
      <w:tr w:rsidR="005C00BD" w14:paraId="509F90F7" w14:textId="77777777">
        <w:tc>
          <w:tcPr>
            <w:tcW w:w="0" w:type="auto"/>
          </w:tcPr>
          <w:p w14:paraId="509F90F3" w14:textId="77777777" w:rsidR="005C00BD" w:rsidRDefault="00000000">
            <w:pPr>
              <w:pStyle w:val="Compact"/>
            </w:pPr>
            <w:r>
              <w:lastRenderedPageBreak/>
              <w:t>D4 (inference share)</w:t>
            </w:r>
          </w:p>
        </w:tc>
        <w:tc>
          <w:tcPr>
            <w:tcW w:w="0" w:type="auto"/>
          </w:tcPr>
          <w:p w14:paraId="509F90F4" w14:textId="77777777" w:rsidR="005C00BD" w:rsidRDefault="00000000">
            <w:pPr>
              <w:pStyle w:val="Compact"/>
            </w:pPr>
            <w:r>
              <w:t>0.267</w:t>
            </w:r>
          </w:p>
        </w:tc>
        <w:tc>
          <w:tcPr>
            <w:tcW w:w="0" w:type="auto"/>
          </w:tcPr>
          <w:p w14:paraId="509F90F5" w14:textId="77777777" w:rsidR="005C00BD" w:rsidRDefault="00000000">
            <w:pPr>
              <w:pStyle w:val="Compact"/>
            </w:pPr>
            <w:r>
              <w:t>27.9%</w:t>
            </w:r>
          </w:p>
        </w:tc>
        <w:tc>
          <w:tcPr>
            <w:tcW w:w="0" w:type="auto"/>
          </w:tcPr>
          <w:p w14:paraId="509F90F6" w14:textId="77777777" w:rsidR="005C00BD" w:rsidRDefault="00000000">
            <w:pPr>
              <w:pStyle w:val="Compact"/>
            </w:pPr>
            <w:r>
              <w:t>ESTIMATED-MODERATE</w:t>
            </w:r>
          </w:p>
        </w:tc>
      </w:tr>
      <w:tr w:rsidR="005C00BD" w14:paraId="509F90FC" w14:textId="77777777">
        <w:tc>
          <w:tcPr>
            <w:tcW w:w="0" w:type="auto"/>
          </w:tcPr>
          <w:p w14:paraId="509F90F8" w14:textId="77777777" w:rsidR="005C00BD" w:rsidRDefault="00000000">
            <w:pPr>
              <w:pStyle w:val="Compact"/>
            </w:pPr>
            <w:r>
              <w:t>D5 (pre-staging)</w:t>
            </w:r>
          </w:p>
        </w:tc>
        <w:tc>
          <w:tcPr>
            <w:tcW w:w="0" w:type="auto"/>
          </w:tcPr>
          <w:p w14:paraId="509F90F9" w14:textId="77777777" w:rsidR="005C00BD" w:rsidRDefault="00000000">
            <w:pPr>
              <w:pStyle w:val="Compact"/>
            </w:pPr>
            <w:r>
              <w:t>0.124</w:t>
            </w:r>
          </w:p>
        </w:tc>
        <w:tc>
          <w:tcPr>
            <w:tcW w:w="0" w:type="auto"/>
          </w:tcPr>
          <w:p w14:paraId="509F90FA" w14:textId="77777777" w:rsidR="005C00BD" w:rsidRDefault="00000000">
            <w:pPr>
              <w:pStyle w:val="Compact"/>
            </w:pPr>
            <w:r>
              <w:t>12.9%</w:t>
            </w:r>
          </w:p>
        </w:tc>
        <w:tc>
          <w:tcPr>
            <w:tcW w:w="0" w:type="auto"/>
          </w:tcPr>
          <w:p w14:paraId="509F90FB" w14:textId="77777777" w:rsidR="005C00BD" w:rsidRDefault="00000000">
            <w:pPr>
              <w:pStyle w:val="Compact"/>
            </w:pPr>
            <w:r>
              <w:t>ESTIMATED-WEAK</w:t>
            </w:r>
          </w:p>
        </w:tc>
      </w:tr>
      <w:tr w:rsidR="005C00BD" w14:paraId="509F9101" w14:textId="77777777">
        <w:tc>
          <w:tcPr>
            <w:tcW w:w="0" w:type="auto"/>
          </w:tcPr>
          <w:p w14:paraId="509F90FD" w14:textId="77777777" w:rsidR="005C00BD" w:rsidRDefault="00000000">
            <w:pPr>
              <w:pStyle w:val="Compact"/>
            </w:pPr>
            <w:r>
              <w:t>S2 (data locality)</w:t>
            </w:r>
          </w:p>
        </w:tc>
        <w:tc>
          <w:tcPr>
            <w:tcW w:w="0" w:type="auto"/>
          </w:tcPr>
          <w:p w14:paraId="509F90FE" w14:textId="77777777" w:rsidR="005C00BD" w:rsidRDefault="00000000">
            <w:pPr>
              <w:pStyle w:val="Compact"/>
            </w:pPr>
            <w:r>
              <w:t>0.120</w:t>
            </w:r>
          </w:p>
        </w:tc>
        <w:tc>
          <w:tcPr>
            <w:tcW w:w="0" w:type="auto"/>
          </w:tcPr>
          <w:p w14:paraId="509F90FF" w14:textId="77777777" w:rsidR="005C00BD" w:rsidRDefault="00000000">
            <w:pPr>
              <w:pStyle w:val="Compact"/>
            </w:pPr>
            <w:r>
              <w:t>12.5%</w:t>
            </w:r>
          </w:p>
        </w:tc>
        <w:tc>
          <w:tcPr>
            <w:tcW w:w="0" w:type="auto"/>
          </w:tcPr>
          <w:p w14:paraId="509F9100" w14:textId="77777777" w:rsidR="005C00BD" w:rsidRDefault="00000000">
            <w:pPr>
              <w:pStyle w:val="Compact"/>
            </w:pPr>
            <w:r>
              <w:t>ESTIMATED-WEAK</w:t>
            </w:r>
          </w:p>
        </w:tc>
      </w:tr>
      <w:tr w:rsidR="005C00BD" w14:paraId="509F9106" w14:textId="77777777">
        <w:tc>
          <w:tcPr>
            <w:tcW w:w="0" w:type="auto"/>
          </w:tcPr>
          <w:p w14:paraId="509F9102" w14:textId="77777777" w:rsidR="005C00BD" w:rsidRDefault="00000000">
            <w:pPr>
              <w:pStyle w:val="Compact"/>
            </w:pPr>
            <w:r>
              <w:t>D3 (HW compatibility)</w:t>
            </w:r>
          </w:p>
        </w:tc>
        <w:tc>
          <w:tcPr>
            <w:tcW w:w="0" w:type="auto"/>
          </w:tcPr>
          <w:p w14:paraId="509F9103" w14:textId="77777777" w:rsidR="005C00BD" w:rsidRDefault="00000000">
            <w:pPr>
              <w:pStyle w:val="Compact"/>
            </w:pPr>
            <w:r>
              <w:t>0.010</w:t>
            </w:r>
          </w:p>
        </w:tc>
        <w:tc>
          <w:tcPr>
            <w:tcW w:w="0" w:type="auto"/>
          </w:tcPr>
          <w:p w14:paraId="509F9104" w14:textId="77777777" w:rsidR="005C00BD" w:rsidRDefault="00000000">
            <w:pPr>
              <w:pStyle w:val="Compact"/>
            </w:pPr>
            <w:r>
              <w:t>1.0%</w:t>
            </w:r>
          </w:p>
        </w:tc>
        <w:tc>
          <w:tcPr>
            <w:tcW w:w="0" w:type="auto"/>
          </w:tcPr>
          <w:p w14:paraId="509F9105" w14:textId="77777777" w:rsidR="005C00BD" w:rsidRDefault="00000000">
            <w:pPr>
              <w:pStyle w:val="Compact"/>
            </w:pPr>
            <w:r>
              <w:t>ESTIMATED-MODERATE</w:t>
            </w:r>
          </w:p>
        </w:tc>
      </w:tr>
      <w:tr w:rsidR="005C00BD" w14:paraId="509F910B" w14:textId="77777777">
        <w:tc>
          <w:tcPr>
            <w:tcW w:w="0" w:type="auto"/>
          </w:tcPr>
          <w:p w14:paraId="509F9107" w14:textId="77777777" w:rsidR="005C00BD" w:rsidRDefault="00000000">
            <w:pPr>
              <w:pStyle w:val="Compact"/>
            </w:pPr>
            <w:r>
              <w:t>S3 (operational timing)</w:t>
            </w:r>
          </w:p>
        </w:tc>
        <w:tc>
          <w:tcPr>
            <w:tcW w:w="0" w:type="auto"/>
          </w:tcPr>
          <w:p w14:paraId="509F9108" w14:textId="77777777" w:rsidR="005C00BD" w:rsidRDefault="00000000">
            <w:pPr>
              <w:pStyle w:val="Compact"/>
            </w:pPr>
            <w:r>
              <w:t>0.008</w:t>
            </w:r>
          </w:p>
        </w:tc>
        <w:tc>
          <w:tcPr>
            <w:tcW w:w="0" w:type="auto"/>
          </w:tcPr>
          <w:p w14:paraId="509F9109" w14:textId="77777777" w:rsidR="005C00BD" w:rsidRDefault="00000000">
            <w:pPr>
              <w:pStyle w:val="Compact"/>
            </w:pPr>
            <w:r>
              <w:t>0.9%</w:t>
            </w:r>
          </w:p>
        </w:tc>
        <w:tc>
          <w:tcPr>
            <w:tcW w:w="0" w:type="auto"/>
          </w:tcPr>
          <w:p w14:paraId="509F910A" w14:textId="77777777" w:rsidR="005C00BD" w:rsidRDefault="00000000">
            <w:pPr>
              <w:pStyle w:val="Compact"/>
            </w:pPr>
            <w:r>
              <w:t>DATA</w:t>
            </w:r>
          </w:p>
        </w:tc>
      </w:tr>
      <w:tr w:rsidR="005C00BD" w14:paraId="509F9110" w14:textId="77777777">
        <w:tc>
          <w:tcPr>
            <w:tcW w:w="0" w:type="auto"/>
          </w:tcPr>
          <w:p w14:paraId="509F910C" w14:textId="77777777" w:rsidR="005C00BD" w:rsidRDefault="00000000">
            <w:pPr>
              <w:pStyle w:val="Compact"/>
            </w:pPr>
            <w:r>
              <w:t>E1 (routing completion)</w:t>
            </w:r>
          </w:p>
        </w:tc>
        <w:tc>
          <w:tcPr>
            <w:tcW w:w="0" w:type="auto"/>
          </w:tcPr>
          <w:p w14:paraId="509F910D" w14:textId="77777777" w:rsidR="005C00BD" w:rsidRDefault="00000000">
            <w:pPr>
              <w:pStyle w:val="Compact"/>
            </w:pPr>
            <w:r>
              <w:t>0.005</w:t>
            </w:r>
          </w:p>
        </w:tc>
        <w:tc>
          <w:tcPr>
            <w:tcW w:w="0" w:type="auto"/>
          </w:tcPr>
          <w:p w14:paraId="509F910E" w14:textId="77777777" w:rsidR="005C00BD" w:rsidRDefault="00000000">
            <w:pPr>
              <w:pStyle w:val="Compact"/>
            </w:pPr>
            <w:r>
              <w:t>0.5%</w:t>
            </w:r>
          </w:p>
        </w:tc>
        <w:tc>
          <w:tcPr>
            <w:tcW w:w="0" w:type="auto"/>
          </w:tcPr>
          <w:p w14:paraId="509F910F" w14:textId="77777777" w:rsidR="005C00BD" w:rsidRDefault="00000000">
            <w:pPr>
              <w:pStyle w:val="Compact"/>
            </w:pPr>
            <w:r>
              <w:t>ESTIMATED</w:t>
            </w:r>
          </w:p>
        </w:tc>
      </w:tr>
      <w:tr w:rsidR="005C00BD" w14:paraId="509F9115" w14:textId="77777777">
        <w:tc>
          <w:tcPr>
            <w:tcW w:w="0" w:type="auto"/>
          </w:tcPr>
          <w:p w14:paraId="509F9111" w14:textId="77777777" w:rsidR="005C00BD" w:rsidRDefault="00000000">
            <w:pPr>
              <w:pStyle w:val="Compact"/>
            </w:pPr>
            <w:r>
              <w:t>E2 (bandwidth)</w:t>
            </w:r>
          </w:p>
        </w:tc>
        <w:tc>
          <w:tcPr>
            <w:tcW w:w="0" w:type="auto"/>
          </w:tcPr>
          <w:p w14:paraId="509F9112" w14:textId="77777777" w:rsidR="005C00BD" w:rsidRDefault="00000000">
            <w:pPr>
              <w:pStyle w:val="Compact"/>
            </w:pPr>
            <w:r>
              <w:t>0.002</w:t>
            </w:r>
          </w:p>
        </w:tc>
        <w:tc>
          <w:tcPr>
            <w:tcW w:w="0" w:type="auto"/>
          </w:tcPr>
          <w:p w14:paraId="509F9113" w14:textId="77777777" w:rsidR="005C00BD" w:rsidRDefault="00000000">
            <w:pPr>
              <w:pStyle w:val="Compact"/>
            </w:pPr>
            <w:r>
              <w:t>0.2%</w:t>
            </w:r>
          </w:p>
        </w:tc>
        <w:tc>
          <w:tcPr>
            <w:tcW w:w="0" w:type="auto"/>
          </w:tcPr>
          <w:p w14:paraId="509F9114" w14:textId="77777777" w:rsidR="005C00BD" w:rsidRDefault="00000000">
            <w:pPr>
              <w:pStyle w:val="Compact"/>
            </w:pPr>
            <w:r>
              <w:t>DATA</w:t>
            </w:r>
          </w:p>
        </w:tc>
      </w:tr>
      <w:tr w:rsidR="005C00BD" w14:paraId="509F911A" w14:textId="77777777">
        <w:tc>
          <w:tcPr>
            <w:tcW w:w="0" w:type="auto"/>
          </w:tcPr>
          <w:p w14:paraId="509F9116" w14:textId="77777777" w:rsidR="005C00BD" w:rsidRDefault="00000000">
            <w:pPr>
              <w:pStyle w:val="Compact"/>
            </w:pPr>
            <w:r>
              <w:t>D1 (availability)</w:t>
            </w:r>
          </w:p>
        </w:tc>
        <w:tc>
          <w:tcPr>
            <w:tcW w:w="0" w:type="auto"/>
          </w:tcPr>
          <w:p w14:paraId="509F9117" w14:textId="77777777" w:rsidR="005C00BD" w:rsidRDefault="00000000">
            <w:pPr>
              <w:pStyle w:val="Compact"/>
            </w:pPr>
            <w:r>
              <w:t>0.001</w:t>
            </w:r>
          </w:p>
        </w:tc>
        <w:tc>
          <w:tcPr>
            <w:tcW w:w="0" w:type="auto"/>
          </w:tcPr>
          <w:p w14:paraId="509F9118" w14:textId="77777777" w:rsidR="005C00BD" w:rsidRDefault="00000000">
            <w:pPr>
              <w:pStyle w:val="Compact"/>
            </w:pPr>
            <w:r>
              <w:t>0.1%</w:t>
            </w:r>
          </w:p>
        </w:tc>
        <w:tc>
          <w:tcPr>
            <w:tcW w:w="0" w:type="auto"/>
          </w:tcPr>
          <w:p w14:paraId="509F9119" w14:textId="77777777" w:rsidR="005C00BD" w:rsidRDefault="00000000">
            <w:pPr>
              <w:pStyle w:val="Compact"/>
            </w:pPr>
            <w:r>
              <w:t>DATA</w:t>
            </w:r>
          </w:p>
        </w:tc>
      </w:tr>
      <w:tr w:rsidR="005C00BD" w14:paraId="509F911F" w14:textId="77777777">
        <w:tc>
          <w:tcPr>
            <w:tcW w:w="0" w:type="auto"/>
          </w:tcPr>
          <w:p w14:paraId="509F911B" w14:textId="77777777" w:rsidR="005C00BD" w:rsidRDefault="00000000">
            <w:pPr>
              <w:pStyle w:val="Compact"/>
            </w:pPr>
            <w:r>
              <w:rPr>
                <w:b/>
                <w:bCs/>
              </w:rPr>
              <w:t>Σ η²</w:t>
            </w:r>
          </w:p>
        </w:tc>
        <w:tc>
          <w:tcPr>
            <w:tcW w:w="0" w:type="auto"/>
          </w:tcPr>
          <w:p w14:paraId="509F911C" w14:textId="77777777" w:rsidR="005C00BD" w:rsidRDefault="00000000">
            <w:pPr>
              <w:pStyle w:val="Compact"/>
            </w:pPr>
            <w:r>
              <w:rPr>
                <w:b/>
                <w:bCs/>
              </w:rPr>
              <w:t>0.957</w:t>
            </w:r>
          </w:p>
        </w:tc>
        <w:tc>
          <w:tcPr>
            <w:tcW w:w="0" w:type="auto"/>
          </w:tcPr>
          <w:p w14:paraId="509F911D" w14:textId="77777777" w:rsidR="005C00BD" w:rsidRDefault="005C00BD">
            <w:pPr>
              <w:pStyle w:val="Compact"/>
            </w:pPr>
          </w:p>
        </w:tc>
        <w:tc>
          <w:tcPr>
            <w:tcW w:w="0" w:type="auto"/>
          </w:tcPr>
          <w:p w14:paraId="509F911E" w14:textId="77777777" w:rsidR="005C00BD" w:rsidRDefault="005C00BD">
            <w:pPr>
              <w:pStyle w:val="Compact"/>
            </w:pPr>
          </w:p>
        </w:tc>
      </w:tr>
    </w:tbl>
    <w:p w14:paraId="509F9120" w14:textId="77777777" w:rsidR="005C00BD" w:rsidRDefault="00000000">
      <w:pPr>
        <w:pStyle w:val="BodyText"/>
      </w:pPr>
      <w:r>
        <w:t>The Σ η² ≈ 1.0 confirms negligible parameter interactions, validating the multiplicative independence assumption.</w:t>
      </w:r>
    </w:p>
    <w:p w14:paraId="509F9121" w14:textId="77777777" w:rsidR="005C00BD" w:rsidRDefault="00000000">
      <w:pPr>
        <w:pStyle w:val="Heading3"/>
      </w:pPr>
      <w:bookmarkStart w:id="66" w:name="key-findings"/>
      <w:r>
        <w:t>Key Findings</w:t>
      </w:r>
    </w:p>
    <w:p w14:paraId="509F9122" w14:textId="77777777" w:rsidR="005C00BD" w:rsidRDefault="00000000">
      <w:pPr>
        <w:numPr>
          <w:ilvl w:val="0"/>
          <w:numId w:val="23"/>
        </w:numPr>
      </w:pPr>
      <w:r>
        <w:rPr>
          <w:b/>
          <w:bCs/>
        </w:rPr>
        <w:t>Three destination-side parameters dominate:</w:t>
      </w:r>
      <w:r>
        <w:t xml:space="preserve"> D2, D4, and D5 together account for 85% of cascade variance. All three are operationally actionable choices, not physical constraints.</w:t>
      </w:r>
    </w:p>
    <w:p w14:paraId="509F9123" w14:textId="77777777" w:rsidR="005C00BD" w:rsidRDefault="00000000">
      <w:pPr>
        <w:numPr>
          <w:ilvl w:val="0"/>
          <w:numId w:val="23"/>
        </w:numPr>
      </w:pPr>
      <w:r>
        <w:rPr>
          <w:b/>
          <w:bCs/>
        </w:rPr>
        <w:t>Source-side parameters contribute minimally after S2:</w:t>
      </w:r>
      <w:r>
        <w:t xml:space="preserve"> S3 contributes less than 1% because the drain time evidence is tight. S2 contributes 13% because the data locality range is wide.</w:t>
      </w:r>
    </w:p>
    <w:p w14:paraId="509F9124" w14:textId="77777777" w:rsidR="005C00BD" w:rsidRDefault="00000000">
      <w:pPr>
        <w:numPr>
          <w:ilvl w:val="0"/>
          <w:numId w:val="23"/>
        </w:numPr>
      </w:pPr>
      <w:r>
        <w:rPr>
          <w:b/>
          <w:bCs/>
        </w:rPr>
        <w:t>Empirically grounded parameters contribute least:</w:t>
      </w:r>
      <w:r>
        <w:t xml:space="preserve"> D1 (0.1%), S3 (0.9%), and E2 (0.2%) have tight ranges derived from real data, confirming that the things we can measure are not the things that drive uncertainty.</w:t>
      </w:r>
    </w:p>
    <w:p w14:paraId="509F9125" w14:textId="77777777" w:rsidR="005C00BD" w:rsidRDefault="00000000">
      <w:pPr>
        <w:numPr>
          <w:ilvl w:val="0"/>
          <w:numId w:val="23"/>
        </w:numPr>
      </w:pPr>
      <w:r>
        <w:rPr>
          <w:b/>
          <w:bCs/>
        </w:rPr>
        <w:t>At fleet scale, source-side parameters have zero sensitivity.</w:t>
      </w:r>
      <w:r>
        <w:t xml:space="preserve"> The tornado analysis (NE paper Fig. 3b) shows that sweeping S2 and S3 across their full ranges produces zero change in 10 GW fleet commitment depth. At fleet scale, the fleet is entirely destination-constrained — how much </w:t>
      </w:r>
      <w:r>
        <w:rPr>
          <w:i/>
          <w:iCs/>
        </w:rPr>
        <w:t>wants to migrate</w:t>
      </w:r>
      <w:r>
        <w:t xml:space="preserve"> is irrelevant; what matters is how much the destination pool </w:t>
      </w:r>
      <w:r>
        <w:rPr>
          <w:i/>
          <w:iCs/>
        </w:rPr>
        <w:t>can absorb</w:t>
      </w:r>
      <w:r>
        <w:t>.</w:t>
      </w:r>
    </w:p>
    <w:p w14:paraId="509F9126" w14:textId="77777777" w:rsidR="005C00BD" w:rsidRDefault="00000000">
      <w:pPr>
        <w:pStyle w:val="Heading3"/>
      </w:pPr>
      <w:bookmarkStart w:id="67" w:name="X29c5d547a5ada85ac2865cc6059e409480a9578"/>
      <w:bookmarkEnd w:id="66"/>
      <w:r>
        <w:t>Policy Implication of the Variance Structure</w:t>
      </w:r>
    </w:p>
    <w:p w14:paraId="509F9127" w14:textId="77777777" w:rsidR="005C00BD" w:rsidRDefault="00000000">
      <w:pPr>
        <w:pStyle w:val="FirstParagraph"/>
      </w:pPr>
      <w:r>
        <w:t>The variance concentration identifies precisely where different interventions would have impact:</w:t>
      </w:r>
    </w:p>
    <w:tbl>
      <w:tblPr>
        <w:tblStyle w:val="Table"/>
        <w:tblW w:w="5000" w:type="pct"/>
        <w:tblLook w:val="0020" w:firstRow="1" w:lastRow="0" w:firstColumn="0" w:lastColumn="0" w:noHBand="0" w:noVBand="0"/>
      </w:tblPr>
      <w:tblGrid>
        <w:gridCol w:w="1301"/>
        <w:gridCol w:w="4265"/>
        <w:gridCol w:w="2229"/>
        <w:gridCol w:w="1565"/>
      </w:tblGrid>
      <w:tr w:rsidR="005C00BD" w14:paraId="509F912C"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128" w14:textId="77777777" w:rsidR="005C00BD" w:rsidRDefault="00000000">
            <w:pPr>
              <w:pStyle w:val="Compact"/>
            </w:pPr>
            <w:r>
              <w:t>Parameter</w:t>
            </w:r>
          </w:p>
        </w:tc>
        <w:tc>
          <w:tcPr>
            <w:tcW w:w="0" w:type="auto"/>
          </w:tcPr>
          <w:p w14:paraId="509F9129" w14:textId="77777777" w:rsidR="005C00BD" w:rsidRDefault="00000000">
            <w:pPr>
              <w:pStyle w:val="Compact"/>
            </w:pPr>
            <w:r>
              <w:t>Intervention</w:t>
            </w:r>
          </w:p>
        </w:tc>
        <w:tc>
          <w:tcPr>
            <w:tcW w:w="0" w:type="auto"/>
          </w:tcPr>
          <w:p w14:paraId="509F912A" w14:textId="77777777" w:rsidR="005C00BD" w:rsidRDefault="00000000">
            <w:pPr>
              <w:pStyle w:val="Compact"/>
            </w:pPr>
            <w:r>
              <w:t>Individual-facility effect</w:t>
            </w:r>
          </w:p>
        </w:tc>
        <w:tc>
          <w:tcPr>
            <w:tcW w:w="0" w:type="auto"/>
          </w:tcPr>
          <w:p w14:paraId="509F912B" w14:textId="77777777" w:rsidR="005C00BD" w:rsidRDefault="00000000">
            <w:pPr>
              <w:pStyle w:val="Compact"/>
            </w:pPr>
            <w:r>
              <w:t>Fleet-scale effect</w:t>
            </w:r>
          </w:p>
        </w:tc>
      </w:tr>
      <w:tr w:rsidR="005C00BD" w14:paraId="509F9131" w14:textId="77777777">
        <w:tc>
          <w:tcPr>
            <w:tcW w:w="0" w:type="auto"/>
          </w:tcPr>
          <w:p w14:paraId="509F912D" w14:textId="77777777" w:rsidR="005C00BD" w:rsidRDefault="00000000">
            <w:pPr>
              <w:pStyle w:val="Compact"/>
            </w:pPr>
            <w:r>
              <w:t>D2</w:t>
            </w:r>
          </w:p>
        </w:tc>
        <w:tc>
          <w:tcPr>
            <w:tcW w:w="0" w:type="auto"/>
          </w:tcPr>
          <w:p w14:paraId="509F912E" w14:textId="77777777" w:rsidR="005C00BD" w:rsidRDefault="00000000">
            <w:pPr>
              <w:pStyle w:val="Compact"/>
            </w:pPr>
            <w:r>
              <w:t>Encourage destination headroom maintenance</w:t>
            </w:r>
          </w:p>
        </w:tc>
        <w:tc>
          <w:tcPr>
            <w:tcW w:w="0" w:type="auto"/>
          </w:tcPr>
          <w:p w14:paraId="509F912F" w14:textId="77777777" w:rsidR="005C00BD" w:rsidRDefault="00000000">
            <w:pPr>
              <w:pStyle w:val="Compact"/>
            </w:pPr>
            <w:r>
              <w:t>Moderate</w:t>
            </w:r>
          </w:p>
        </w:tc>
        <w:tc>
          <w:tcPr>
            <w:tcW w:w="0" w:type="auto"/>
          </w:tcPr>
          <w:p w14:paraId="509F9130" w14:textId="77777777" w:rsidR="005C00BD" w:rsidRDefault="00000000">
            <w:pPr>
              <w:pStyle w:val="Compact"/>
            </w:pPr>
            <w:r>
              <w:t>High</w:t>
            </w:r>
          </w:p>
        </w:tc>
      </w:tr>
      <w:tr w:rsidR="005C00BD" w14:paraId="509F9136" w14:textId="77777777">
        <w:tc>
          <w:tcPr>
            <w:tcW w:w="0" w:type="auto"/>
          </w:tcPr>
          <w:p w14:paraId="509F9132" w14:textId="77777777" w:rsidR="005C00BD" w:rsidRDefault="00000000">
            <w:pPr>
              <w:pStyle w:val="Compact"/>
            </w:pPr>
            <w:r>
              <w:t>D4</w:t>
            </w:r>
          </w:p>
        </w:tc>
        <w:tc>
          <w:tcPr>
            <w:tcW w:w="0" w:type="auto"/>
          </w:tcPr>
          <w:p w14:paraId="509F9133" w14:textId="77777777" w:rsidR="005C00BD" w:rsidRDefault="00000000">
            <w:pPr>
              <w:pStyle w:val="Compact"/>
            </w:pPr>
            <w:r>
              <w:t>Market trends (inference growth) handle this</w:t>
            </w:r>
          </w:p>
        </w:tc>
        <w:tc>
          <w:tcPr>
            <w:tcW w:w="0" w:type="auto"/>
          </w:tcPr>
          <w:p w14:paraId="509F9134" w14:textId="77777777" w:rsidR="005C00BD" w:rsidRDefault="00000000">
            <w:pPr>
              <w:pStyle w:val="Compact"/>
            </w:pPr>
            <w:r>
              <w:t>Moderate</w:t>
            </w:r>
          </w:p>
        </w:tc>
        <w:tc>
          <w:tcPr>
            <w:tcW w:w="0" w:type="auto"/>
          </w:tcPr>
          <w:p w14:paraId="509F9135" w14:textId="77777777" w:rsidR="005C00BD" w:rsidRDefault="00000000">
            <w:pPr>
              <w:pStyle w:val="Compact"/>
            </w:pPr>
            <w:r>
              <w:t>High</w:t>
            </w:r>
          </w:p>
        </w:tc>
      </w:tr>
      <w:tr w:rsidR="005C00BD" w14:paraId="509F913B" w14:textId="77777777">
        <w:tc>
          <w:tcPr>
            <w:tcW w:w="0" w:type="auto"/>
          </w:tcPr>
          <w:p w14:paraId="509F9137" w14:textId="77777777" w:rsidR="005C00BD" w:rsidRDefault="00000000">
            <w:pPr>
              <w:pStyle w:val="Compact"/>
            </w:pPr>
            <w:r>
              <w:lastRenderedPageBreak/>
              <w:t>D5</w:t>
            </w:r>
          </w:p>
        </w:tc>
        <w:tc>
          <w:tcPr>
            <w:tcW w:w="0" w:type="auto"/>
          </w:tcPr>
          <w:p w14:paraId="509F9138" w14:textId="77777777" w:rsidR="005C00BD" w:rsidRDefault="00000000">
            <w:pPr>
              <w:pStyle w:val="Compact"/>
            </w:pPr>
            <w:r>
              <w:t>Require pre-staging as condition of DR accreditation</w:t>
            </w:r>
          </w:p>
        </w:tc>
        <w:tc>
          <w:tcPr>
            <w:tcW w:w="0" w:type="auto"/>
          </w:tcPr>
          <w:p w14:paraId="509F9139" w14:textId="77777777" w:rsidR="005C00BD" w:rsidRDefault="00000000">
            <w:pPr>
              <w:pStyle w:val="Compact"/>
            </w:pPr>
            <w:r>
              <w:t>Moderate</w:t>
            </w:r>
          </w:p>
        </w:tc>
        <w:tc>
          <w:tcPr>
            <w:tcW w:w="0" w:type="auto"/>
          </w:tcPr>
          <w:p w14:paraId="509F913A" w14:textId="77777777" w:rsidR="005C00BD" w:rsidRDefault="00000000">
            <w:pPr>
              <w:pStyle w:val="Compact"/>
            </w:pPr>
            <w:r>
              <w:t>High</w:t>
            </w:r>
          </w:p>
        </w:tc>
      </w:tr>
      <w:tr w:rsidR="005C00BD" w14:paraId="509F9140" w14:textId="77777777">
        <w:tc>
          <w:tcPr>
            <w:tcW w:w="0" w:type="auto"/>
          </w:tcPr>
          <w:p w14:paraId="509F913C" w14:textId="77777777" w:rsidR="005C00BD" w:rsidRDefault="00000000">
            <w:pPr>
              <w:pStyle w:val="Compact"/>
            </w:pPr>
            <w:r>
              <w:t>S2</w:t>
            </w:r>
          </w:p>
        </w:tc>
        <w:tc>
          <w:tcPr>
            <w:tcW w:w="0" w:type="auto"/>
          </w:tcPr>
          <w:p w14:paraId="509F913D" w14:textId="77777777" w:rsidR="005C00BD" w:rsidRDefault="00000000">
            <w:pPr>
              <w:pStyle w:val="Compact"/>
            </w:pPr>
            <w:r>
              <w:t>Data locality waivers, regulatory flexibility</w:t>
            </w:r>
          </w:p>
        </w:tc>
        <w:tc>
          <w:tcPr>
            <w:tcW w:w="0" w:type="auto"/>
          </w:tcPr>
          <w:p w14:paraId="509F913E" w14:textId="77777777" w:rsidR="005C00BD" w:rsidRDefault="00000000">
            <w:pPr>
              <w:pStyle w:val="Compact"/>
            </w:pPr>
            <w:r>
              <w:t>High</w:t>
            </w:r>
          </w:p>
        </w:tc>
        <w:tc>
          <w:tcPr>
            <w:tcW w:w="0" w:type="auto"/>
          </w:tcPr>
          <w:p w14:paraId="509F913F" w14:textId="77777777" w:rsidR="005C00BD" w:rsidRDefault="00000000">
            <w:pPr>
              <w:pStyle w:val="Compact"/>
            </w:pPr>
            <w:r>
              <w:t>Zero</w:t>
            </w:r>
          </w:p>
        </w:tc>
      </w:tr>
      <w:tr w:rsidR="005C00BD" w14:paraId="509F9145" w14:textId="77777777">
        <w:tc>
          <w:tcPr>
            <w:tcW w:w="0" w:type="auto"/>
          </w:tcPr>
          <w:p w14:paraId="509F9141" w14:textId="77777777" w:rsidR="005C00BD" w:rsidRDefault="00000000">
            <w:pPr>
              <w:pStyle w:val="Compact"/>
            </w:pPr>
            <w:r>
              <w:t>S3</w:t>
            </w:r>
          </w:p>
        </w:tc>
        <w:tc>
          <w:tcPr>
            <w:tcW w:w="0" w:type="auto"/>
          </w:tcPr>
          <w:p w14:paraId="509F9142" w14:textId="77777777" w:rsidR="005C00BD" w:rsidRDefault="00000000">
            <w:pPr>
              <w:pStyle w:val="Compact"/>
            </w:pPr>
            <w:r>
              <w:t>Already solved by physics</w:t>
            </w:r>
          </w:p>
        </w:tc>
        <w:tc>
          <w:tcPr>
            <w:tcW w:w="0" w:type="auto"/>
          </w:tcPr>
          <w:p w14:paraId="509F9143" w14:textId="77777777" w:rsidR="005C00BD" w:rsidRDefault="00000000">
            <w:pPr>
              <w:pStyle w:val="Compact"/>
            </w:pPr>
            <w:r>
              <w:t>Zero</w:t>
            </w:r>
          </w:p>
        </w:tc>
        <w:tc>
          <w:tcPr>
            <w:tcW w:w="0" w:type="auto"/>
          </w:tcPr>
          <w:p w14:paraId="509F9144" w14:textId="77777777" w:rsidR="005C00BD" w:rsidRDefault="00000000">
            <w:pPr>
              <w:pStyle w:val="Compact"/>
            </w:pPr>
            <w:r>
              <w:t>Zero</w:t>
            </w:r>
          </w:p>
        </w:tc>
      </w:tr>
    </w:tbl>
    <w:p w14:paraId="509F9146" w14:textId="77777777" w:rsidR="005C00BD" w:rsidRDefault="00000000">
      <w:r>
        <w:pict w14:anchorId="509F91B1">
          <v:rect id="_x0000_i1396" style="width:0;height:1.5pt" o:hralign="center" o:hrstd="t" o:hr="t"/>
        </w:pict>
      </w:r>
    </w:p>
    <w:p w14:paraId="509F9147" w14:textId="77777777" w:rsidR="005C00BD" w:rsidRDefault="00000000">
      <w:pPr>
        <w:pStyle w:val="Heading2"/>
      </w:pPr>
      <w:bookmarkStart w:id="68" w:name="duration-robustness"/>
      <w:bookmarkEnd w:id="65"/>
      <w:bookmarkEnd w:id="67"/>
      <w:r>
        <w:t>7. Duration Robustness</w:t>
      </w:r>
    </w:p>
    <w:p w14:paraId="509F9148" w14:textId="77777777" w:rsidR="005C00BD" w:rsidRDefault="00000000">
      <w:pPr>
        <w:pStyle w:val="FirstParagraph"/>
      </w:pPr>
      <w:r>
        <w:t xml:space="preserve">A critical distinction from battery-based DR: inference spatial migration is inherently </w:t>
      </w:r>
      <w:r>
        <w:rPr>
          <w:b/>
          <w:bCs/>
        </w:rPr>
        <w:t>indefinite-duration</w:t>
      </w:r>
      <w:r>
        <w:t>. The mechanism routes new requests to a different endpoint — it does not drain a finite energy reservoir. As long as any destination remains unstressed and the orchestrator is operational, migration continues at the same effective depth.</w:t>
      </w:r>
    </w:p>
    <w:p w14:paraId="509F9149" w14:textId="77777777" w:rsidR="005C00BD" w:rsidRDefault="00000000">
      <w:pPr>
        <w:pStyle w:val="BodyText"/>
      </w:pPr>
      <w:r>
        <w:t>This means the DVFS + Spatial portfolio faces no duration-based Non-Performance Charge exposure. A BTM battery portfolio fails during extended events — Winter Storm Elliott lasted 4+ days, with 17+ hours of continuous emergency dispatch. The spatial portfolio continues operating through hour 17 at the same effective depth, provided any destination remains unstressed. Per the Cross-BA analysis, at least one destination was available in 99.0% of observed stress hours.</w:t>
      </w:r>
    </w:p>
    <w:p w14:paraId="509F914A" w14:textId="77777777" w:rsidR="005C00BD" w:rsidRDefault="00000000">
      <w:pPr>
        <w:pStyle w:val="BodyText"/>
      </w:pPr>
      <w:r>
        <w:t>PJM’s DR model, which dispatches DR without an energy constraint and assumes indefinite availability, is a better fit for the spatial mechanism than for battery-based resources.</w:t>
      </w:r>
    </w:p>
    <w:p w14:paraId="509F914B" w14:textId="77777777" w:rsidR="005C00BD" w:rsidRDefault="00000000">
      <w:r>
        <w:pict w14:anchorId="509F91B2">
          <v:rect id="_x0000_i1397" style="width:0;height:1.5pt" o:hralign="center" o:hrstd="t" o:hr="t"/>
        </w:pict>
      </w:r>
    </w:p>
    <w:p w14:paraId="509F914C" w14:textId="77777777" w:rsidR="005C00BD" w:rsidRDefault="00000000">
      <w:pPr>
        <w:pStyle w:val="Heading2"/>
      </w:pPr>
      <w:bookmarkStart w:id="69" w:name="limitations"/>
      <w:bookmarkEnd w:id="68"/>
      <w:r>
        <w:t>8. Limitations</w:t>
      </w:r>
    </w:p>
    <w:p w14:paraId="509F914D" w14:textId="77777777" w:rsidR="005C00BD" w:rsidRDefault="00000000">
      <w:pPr>
        <w:numPr>
          <w:ilvl w:val="0"/>
          <w:numId w:val="24"/>
        </w:numPr>
      </w:pPr>
      <w:r>
        <w:rPr>
          <w:b/>
          <w:bCs/>
        </w:rPr>
        <w:t>Scope limited to stateless inference.</w:t>
      </w:r>
      <w:r>
        <w:t xml:space="preserve"> The cascade is rigorously </w:t>
      </w:r>
      <w:proofErr w:type="gramStart"/>
      <w:r>
        <w:t>bounded</w:t>
      </w:r>
      <w:proofErr w:type="gramEnd"/>
      <w:r>
        <w:t xml:space="preserve"> only for inference request routing. Training, fine-tuning, and stateful workloads are excluded from the spatial pathway and participate through DVFS only. This is an honest reflection of where empirical grounding exists, not an assertion that non-inference migration is impossible.</w:t>
      </w:r>
    </w:p>
    <w:p w14:paraId="509F914E" w14:textId="77777777" w:rsidR="005C00BD" w:rsidRDefault="00000000">
      <w:pPr>
        <w:numPr>
          <w:ilvl w:val="0"/>
          <w:numId w:val="24"/>
        </w:numPr>
      </w:pPr>
      <w:r>
        <w:rPr>
          <w:b/>
          <w:bCs/>
        </w:rPr>
        <w:t>S2 (data locality) is weakly grounded.</w:t>
      </w:r>
      <w:r>
        <w:t xml:space="preserve"> The fraction of inference workloads without hard geographic pinning is bounded at [0.60, 0.95] based on industry analysis, not production measurement. Cross-region inference is demonstrably production-ready (Amazon Bedrock, Google carbon-aware scheduling, </w:t>
      </w:r>
      <w:proofErr w:type="spellStart"/>
      <w:r>
        <w:t>SkyLB</w:t>
      </w:r>
      <w:proofErr w:type="spellEnd"/>
      <w:r>
        <w:t>), but the precise prevalence of geographic constraints has not been measured.</w:t>
      </w:r>
    </w:p>
    <w:p w14:paraId="509F914F" w14:textId="77777777" w:rsidR="005C00BD" w:rsidRDefault="00000000">
      <w:pPr>
        <w:numPr>
          <w:ilvl w:val="0"/>
          <w:numId w:val="24"/>
        </w:numPr>
      </w:pPr>
      <w:r>
        <w:rPr>
          <w:b/>
          <w:bCs/>
        </w:rPr>
        <w:t>D2 (utilization headroom) is a placeholder.</w:t>
      </w:r>
      <w:r>
        <w:t xml:space="preserve"> No published study directly measures GPU-level utilization distributions at production inference facilities. The 50–80% utilization range is estimated from industry reports. Thermal constraints (“stranded power” from cooling </w:t>
      </w:r>
      <w:proofErr w:type="gramStart"/>
      <w:r>
        <w:t>bottlenecks</w:t>
      </w:r>
      <w:proofErr w:type="gramEnd"/>
      <w:r>
        <w:t>) and regional GPU quota limitations represent additional headroom constraints not captured in this estimate.</w:t>
      </w:r>
    </w:p>
    <w:p w14:paraId="509F9150" w14:textId="77777777" w:rsidR="005C00BD" w:rsidRDefault="00000000">
      <w:pPr>
        <w:numPr>
          <w:ilvl w:val="0"/>
          <w:numId w:val="24"/>
        </w:numPr>
      </w:pPr>
      <w:r>
        <w:rPr>
          <w:b/>
          <w:bCs/>
        </w:rPr>
        <w:lastRenderedPageBreak/>
        <w:t>D1 is based on historical pricing (2022–2025).</w:t>
      </w:r>
      <w:r>
        <w:t xml:space="preserve"> Climate change may shift the frequency and geographic scope of extreme weather events. The January 2024 Arctic Blast — a continental-scale cold event that drove both all-stressed hours — may become more common. The 99.0% central availability figure should be treated as a recent-history observation, not a forward guarantee.</w:t>
      </w:r>
    </w:p>
    <w:p w14:paraId="509F9151" w14:textId="77777777" w:rsidR="005C00BD" w:rsidRDefault="00000000">
      <w:pPr>
        <w:numPr>
          <w:ilvl w:val="0"/>
          <w:numId w:val="24"/>
        </w:numPr>
      </w:pPr>
      <w:r>
        <w:rPr>
          <w:b/>
          <w:bCs/>
        </w:rPr>
        <w:t>Reflexivity.</w:t>
      </w:r>
      <w:r>
        <w:t xml:space="preserve"> If spatial migration becomes widespread, destination grids absorb migrated load during source stress, which may increase destination stress and reduce the historical independence — a reflexivity concern analogous to Goodhart’s Law applied to grid stress correlations.</w:t>
      </w:r>
    </w:p>
    <w:p w14:paraId="509F9152" w14:textId="77777777" w:rsidR="005C00BD" w:rsidRDefault="00000000">
      <w:pPr>
        <w:numPr>
          <w:ilvl w:val="0"/>
          <w:numId w:val="24"/>
        </w:numPr>
      </w:pPr>
      <w:r>
        <w:rPr>
          <w:b/>
          <w:bCs/>
        </w:rPr>
        <w:t>The orchestration layer does not exist.</w:t>
      </w:r>
      <w:r>
        <w:t xml:space="preserve"> The cascade assumes a unified orchestration system that receives grid dispatch signals and executes workload migration across sites. This capability must be built. The thesis quantifies the economic incentive to build it; it does not assume it exists.</w:t>
      </w:r>
    </w:p>
    <w:p w14:paraId="509F9153" w14:textId="77777777" w:rsidR="005C00BD" w:rsidRDefault="00000000">
      <w:pPr>
        <w:numPr>
          <w:ilvl w:val="0"/>
          <w:numId w:val="24"/>
        </w:numPr>
      </w:pPr>
      <w:r>
        <w:rPr>
          <w:b/>
          <w:bCs/>
        </w:rPr>
        <w:t>Multiplicative independence.</w:t>
      </w:r>
      <w:r>
        <w:t xml:space="preserve"> The cascade assumes parameters are independent. This approximation is weakest in the extreme tail: continental-scale weather events that reduce D1 may simultaneously degrade E1 (network reliability) and shift D4 (workload composition under stress). Σ η² ≈ 0.96 confirms small interactions centrally, but tail behavior may differ. The conditional Monte Carlo partially addresses this by conditioning on observed grid states rather than drawing D1 parametrically.</w:t>
      </w:r>
    </w:p>
    <w:p w14:paraId="509F9154" w14:textId="77777777" w:rsidR="005C00BD" w:rsidRDefault="00000000">
      <w:r>
        <w:pict w14:anchorId="509F91B3">
          <v:rect id="_x0000_i1398" style="width:0;height:1.5pt" o:hralign="center" o:hrstd="t" o:hr="t"/>
        </w:pict>
      </w:r>
    </w:p>
    <w:p w14:paraId="509F9155" w14:textId="77777777" w:rsidR="005C00BD" w:rsidRDefault="00000000">
      <w:pPr>
        <w:pStyle w:val="Heading2"/>
      </w:pPr>
      <w:bookmarkStart w:id="70" w:name="evolution-from-earlier-versions"/>
      <w:bookmarkEnd w:id="69"/>
      <w:r>
        <w:t>9. Evolution from Earlier Versions</w:t>
      </w:r>
    </w:p>
    <w:p w14:paraId="509F9156" w14:textId="77777777" w:rsidR="005C00BD" w:rsidRDefault="00000000">
      <w:pPr>
        <w:pStyle w:val="FirstParagraph"/>
      </w:pPr>
      <w:r>
        <w:t xml:space="preserve">This document supersedes the seven-parameter cascade documented in </w:t>
      </w:r>
      <w:r>
        <w:rPr>
          <w:rStyle w:val="VerbatimChar"/>
        </w:rPr>
        <w:t>archive/Pillar1.docx</w:t>
      </w:r>
      <w:r>
        <w:t>. Key changes:</w:t>
      </w:r>
    </w:p>
    <w:tbl>
      <w:tblPr>
        <w:tblStyle w:val="Table"/>
        <w:tblW w:w="5000" w:type="pct"/>
        <w:tblLook w:val="0020" w:firstRow="1" w:lastRow="0" w:firstColumn="0" w:lastColumn="0" w:noHBand="0" w:noVBand="0"/>
      </w:tblPr>
      <w:tblGrid>
        <w:gridCol w:w="2212"/>
        <w:gridCol w:w="3038"/>
        <w:gridCol w:w="4110"/>
      </w:tblGrid>
      <w:tr w:rsidR="005C00BD" w14:paraId="509F915A" w14:textId="77777777" w:rsidTr="005C00BD">
        <w:trPr>
          <w:cnfStyle w:val="100000000000" w:firstRow="1" w:lastRow="0" w:firstColumn="0" w:lastColumn="0" w:oddVBand="0" w:evenVBand="0" w:oddHBand="0" w:evenHBand="0" w:firstRowFirstColumn="0" w:firstRowLastColumn="0" w:lastRowFirstColumn="0" w:lastRowLastColumn="0"/>
          <w:tblHeader/>
        </w:trPr>
        <w:tc>
          <w:tcPr>
            <w:tcW w:w="0" w:type="auto"/>
          </w:tcPr>
          <w:p w14:paraId="509F9157" w14:textId="77777777" w:rsidR="005C00BD" w:rsidRDefault="00000000">
            <w:pPr>
              <w:pStyle w:val="Compact"/>
            </w:pPr>
            <w:r>
              <w:t>Change</w:t>
            </w:r>
          </w:p>
        </w:tc>
        <w:tc>
          <w:tcPr>
            <w:tcW w:w="0" w:type="auto"/>
          </w:tcPr>
          <w:p w14:paraId="509F9158" w14:textId="77777777" w:rsidR="005C00BD" w:rsidRDefault="00000000">
            <w:pPr>
              <w:pStyle w:val="Compact"/>
            </w:pPr>
            <w:r>
              <w:t>Old (7-parameter)</w:t>
            </w:r>
          </w:p>
        </w:tc>
        <w:tc>
          <w:tcPr>
            <w:tcW w:w="0" w:type="auto"/>
          </w:tcPr>
          <w:p w14:paraId="509F9159" w14:textId="77777777" w:rsidR="005C00BD" w:rsidRDefault="00000000">
            <w:pPr>
              <w:pStyle w:val="Compact"/>
            </w:pPr>
            <w:r>
              <w:t>New (10-parameter)</w:t>
            </w:r>
          </w:p>
        </w:tc>
      </w:tr>
      <w:tr w:rsidR="005C00BD" w14:paraId="509F915E" w14:textId="77777777">
        <w:tc>
          <w:tcPr>
            <w:tcW w:w="0" w:type="auto"/>
          </w:tcPr>
          <w:p w14:paraId="509F915B" w14:textId="77777777" w:rsidR="005C00BD" w:rsidRDefault="00000000">
            <w:pPr>
              <w:pStyle w:val="Compact"/>
            </w:pPr>
            <w:r>
              <w:t>S2 scope</w:t>
            </w:r>
          </w:p>
        </w:tc>
        <w:tc>
          <w:tcPr>
            <w:tcW w:w="0" w:type="auto"/>
          </w:tcPr>
          <w:p w14:paraId="509F915C" w14:textId="77777777" w:rsidR="005C00BD" w:rsidRDefault="00000000">
            <w:pPr>
              <w:pStyle w:val="Compact"/>
            </w:pPr>
            <w:r>
              <w:t>Combined: data locality × operational timing (central 0.72)</w:t>
            </w:r>
          </w:p>
        </w:tc>
        <w:tc>
          <w:tcPr>
            <w:tcW w:w="0" w:type="auto"/>
          </w:tcPr>
          <w:p w14:paraId="509F915D" w14:textId="77777777" w:rsidR="005C00BD" w:rsidRDefault="00000000">
            <w:pPr>
              <w:pStyle w:val="Compact"/>
            </w:pPr>
            <w:r>
              <w:t>Split: S2 = data locality only (0.70), S3 = operational timing (0.90)</w:t>
            </w:r>
          </w:p>
        </w:tc>
      </w:tr>
      <w:tr w:rsidR="005C00BD" w14:paraId="509F9162" w14:textId="77777777">
        <w:tc>
          <w:tcPr>
            <w:tcW w:w="0" w:type="auto"/>
          </w:tcPr>
          <w:p w14:paraId="509F915F" w14:textId="77777777" w:rsidR="005C00BD" w:rsidRDefault="00000000">
            <w:pPr>
              <w:pStyle w:val="Compact"/>
            </w:pPr>
            <w:r>
              <w:t>Destination decomposition</w:t>
            </w:r>
          </w:p>
        </w:tc>
        <w:tc>
          <w:tcPr>
            <w:tcW w:w="0" w:type="auto"/>
          </w:tcPr>
          <w:p w14:paraId="509F9160" w14:textId="77777777" w:rsidR="005C00BD" w:rsidRDefault="00000000">
            <w:pPr>
              <w:pStyle w:val="Compact"/>
            </w:pPr>
            <w:r>
              <w:t>D2 = broad “headroom” (0.85)</w:t>
            </w:r>
          </w:p>
        </w:tc>
        <w:tc>
          <w:tcPr>
            <w:tcW w:w="0" w:type="auto"/>
          </w:tcPr>
          <w:p w14:paraId="509F9161" w14:textId="77777777" w:rsidR="005C00BD" w:rsidRDefault="00000000">
            <w:pPr>
              <w:pStyle w:val="Compact"/>
            </w:pPr>
            <w:r>
              <w:t>Split: D2 = utilization headroom (0.33), D4 = inference share (0.50), D5 = pre-staging (0.65)</w:t>
            </w:r>
          </w:p>
        </w:tc>
      </w:tr>
      <w:tr w:rsidR="005C00BD" w14:paraId="509F9166" w14:textId="77777777">
        <w:tc>
          <w:tcPr>
            <w:tcW w:w="0" w:type="auto"/>
          </w:tcPr>
          <w:p w14:paraId="509F9163" w14:textId="77777777" w:rsidR="005C00BD" w:rsidRDefault="00000000">
            <w:pPr>
              <w:pStyle w:val="Compact"/>
            </w:pPr>
            <w:r>
              <w:t>D3 value</w:t>
            </w:r>
          </w:p>
        </w:tc>
        <w:tc>
          <w:tcPr>
            <w:tcW w:w="0" w:type="auto"/>
          </w:tcPr>
          <w:p w14:paraId="509F9164" w14:textId="77777777" w:rsidR="005C00BD" w:rsidRDefault="00000000">
            <w:pPr>
              <w:pStyle w:val="Compact"/>
            </w:pPr>
            <w:r>
              <w:t>0.97</w:t>
            </w:r>
          </w:p>
        </w:tc>
        <w:tc>
          <w:tcPr>
            <w:tcW w:w="0" w:type="auto"/>
          </w:tcPr>
          <w:p w14:paraId="509F9165" w14:textId="77777777" w:rsidR="005C00BD" w:rsidRDefault="00000000">
            <w:pPr>
              <w:pStyle w:val="Compact"/>
            </w:pPr>
            <w:r>
              <w:t>0.88</w:t>
            </w:r>
          </w:p>
        </w:tc>
      </w:tr>
      <w:tr w:rsidR="005C00BD" w14:paraId="509F916A" w14:textId="77777777">
        <w:tc>
          <w:tcPr>
            <w:tcW w:w="0" w:type="auto"/>
          </w:tcPr>
          <w:p w14:paraId="509F9167" w14:textId="77777777" w:rsidR="005C00BD" w:rsidRDefault="00000000">
            <w:pPr>
              <w:pStyle w:val="Compact"/>
            </w:pPr>
            <w:r>
              <w:t>E1 value</w:t>
            </w:r>
          </w:p>
        </w:tc>
        <w:tc>
          <w:tcPr>
            <w:tcW w:w="0" w:type="auto"/>
          </w:tcPr>
          <w:p w14:paraId="509F9168" w14:textId="77777777" w:rsidR="005C00BD" w:rsidRDefault="00000000">
            <w:pPr>
              <w:pStyle w:val="Compact"/>
            </w:pPr>
            <w:r>
              <w:t>0.997</w:t>
            </w:r>
          </w:p>
        </w:tc>
        <w:tc>
          <w:tcPr>
            <w:tcW w:w="0" w:type="auto"/>
          </w:tcPr>
          <w:p w14:paraId="509F9169" w14:textId="77777777" w:rsidR="005C00BD" w:rsidRDefault="00000000">
            <w:pPr>
              <w:pStyle w:val="Compact"/>
            </w:pPr>
            <w:r>
              <w:t>0.95</w:t>
            </w:r>
          </w:p>
        </w:tc>
      </w:tr>
      <w:tr w:rsidR="005C00BD" w14:paraId="509F916E" w14:textId="77777777">
        <w:tc>
          <w:tcPr>
            <w:tcW w:w="0" w:type="auto"/>
          </w:tcPr>
          <w:p w14:paraId="509F916B" w14:textId="77777777" w:rsidR="005C00BD" w:rsidRDefault="00000000">
            <w:pPr>
              <w:pStyle w:val="Compact"/>
            </w:pPr>
            <w:r>
              <w:t>E2 value</w:t>
            </w:r>
          </w:p>
        </w:tc>
        <w:tc>
          <w:tcPr>
            <w:tcW w:w="0" w:type="auto"/>
          </w:tcPr>
          <w:p w14:paraId="509F916C" w14:textId="77777777" w:rsidR="005C00BD" w:rsidRDefault="00000000">
            <w:pPr>
              <w:pStyle w:val="Compact"/>
            </w:pPr>
            <w:r>
              <w:t>0.995</w:t>
            </w:r>
          </w:p>
        </w:tc>
        <w:tc>
          <w:tcPr>
            <w:tcW w:w="0" w:type="auto"/>
          </w:tcPr>
          <w:p w14:paraId="509F916D" w14:textId="77777777" w:rsidR="005C00BD" w:rsidRDefault="00000000">
            <w:pPr>
              <w:pStyle w:val="Compact"/>
            </w:pPr>
            <w:r>
              <w:t>0.98</w:t>
            </w:r>
          </w:p>
        </w:tc>
      </w:tr>
      <w:tr w:rsidR="005C00BD" w14:paraId="509F9172" w14:textId="77777777">
        <w:tc>
          <w:tcPr>
            <w:tcW w:w="0" w:type="auto"/>
          </w:tcPr>
          <w:p w14:paraId="509F916F" w14:textId="77777777" w:rsidR="005C00BD" w:rsidRDefault="00000000">
            <w:pPr>
              <w:pStyle w:val="Compact"/>
            </w:pPr>
            <w:r>
              <w:t>Cascade product (central)</w:t>
            </w:r>
          </w:p>
        </w:tc>
        <w:tc>
          <w:tcPr>
            <w:tcW w:w="0" w:type="auto"/>
          </w:tcPr>
          <w:p w14:paraId="509F9170" w14:textId="77777777" w:rsidR="005C00BD" w:rsidRDefault="00000000">
            <w:pPr>
              <w:pStyle w:val="Compact"/>
            </w:pPr>
            <w:r>
              <w:t>0.409</w:t>
            </w:r>
          </w:p>
        </w:tc>
        <w:tc>
          <w:tcPr>
            <w:tcW w:w="0" w:type="auto"/>
          </w:tcPr>
          <w:p w14:paraId="509F9171" w14:textId="77777777" w:rsidR="005C00BD" w:rsidRDefault="00000000">
            <w:pPr>
              <w:pStyle w:val="Compact"/>
            </w:pPr>
            <w:r>
              <w:t>0.0384</w:t>
            </w:r>
          </w:p>
        </w:tc>
      </w:tr>
      <w:tr w:rsidR="005C00BD" w14:paraId="509F9176" w14:textId="77777777">
        <w:tc>
          <w:tcPr>
            <w:tcW w:w="0" w:type="auto"/>
          </w:tcPr>
          <w:p w14:paraId="509F9173" w14:textId="77777777" w:rsidR="005C00BD" w:rsidRDefault="00000000">
            <w:pPr>
              <w:pStyle w:val="Compact"/>
            </w:pPr>
            <w:r>
              <w:t>Commitment depth formula</w:t>
            </w:r>
          </w:p>
        </w:tc>
        <w:tc>
          <w:tcPr>
            <w:tcW w:w="0" w:type="auto"/>
          </w:tcPr>
          <w:p w14:paraId="509F9174" w14:textId="77777777" w:rsidR="005C00BD" w:rsidRDefault="00000000">
            <w:pPr>
              <w:pStyle w:val="Compact"/>
            </w:pPr>
            <w:r>
              <w:t>Spatial + DVFS × (1 − Spatial)</w:t>
            </w:r>
          </w:p>
        </w:tc>
        <w:tc>
          <w:tcPr>
            <w:tcW w:w="0" w:type="auto"/>
          </w:tcPr>
          <w:p w14:paraId="509F9175" w14:textId="77777777" w:rsidR="005C00BD" w:rsidRDefault="00000000">
            <w:pPr>
              <w:pStyle w:val="Compact"/>
            </w:pPr>
            <w:r>
              <w:t>Spatial + DVFS × (S1 − Spatial)</w:t>
            </w:r>
          </w:p>
        </w:tc>
      </w:tr>
      <w:tr w:rsidR="005C00BD" w14:paraId="509F917A" w14:textId="77777777">
        <w:tc>
          <w:tcPr>
            <w:tcW w:w="0" w:type="auto"/>
          </w:tcPr>
          <w:p w14:paraId="509F9177" w14:textId="77777777" w:rsidR="005C00BD" w:rsidRDefault="00000000">
            <w:pPr>
              <w:pStyle w:val="Compact"/>
            </w:pPr>
            <w:r>
              <w:lastRenderedPageBreak/>
              <w:t>Commitment depth (central)</w:t>
            </w:r>
          </w:p>
        </w:tc>
        <w:tc>
          <w:tcPr>
            <w:tcW w:w="0" w:type="auto"/>
          </w:tcPr>
          <w:p w14:paraId="509F9178" w14:textId="77777777" w:rsidR="005C00BD" w:rsidRDefault="00000000">
            <w:pPr>
              <w:pStyle w:val="Compact"/>
            </w:pPr>
            <w:r>
              <w:t>55.7%</w:t>
            </w:r>
          </w:p>
        </w:tc>
        <w:tc>
          <w:tcPr>
            <w:tcW w:w="0" w:type="auto"/>
          </w:tcPr>
          <w:p w14:paraId="509F9179" w14:textId="77777777" w:rsidR="005C00BD" w:rsidRDefault="00000000">
            <w:pPr>
              <w:pStyle w:val="Compact"/>
            </w:pPr>
            <w:r>
              <w:t>20.4%</w:t>
            </w:r>
          </w:p>
        </w:tc>
      </w:tr>
      <w:tr w:rsidR="005C00BD" w14:paraId="509F917E" w14:textId="77777777">
        <w:tc>
          <w:tcPr>
            <w:tcW w:w="0" w:type="auto"/>
          </w:tcPr>
          <w:p w14:paraId="509F917B" w14:textId="77777777" w:rsidR="005C00BD" w:rsidRDefault="00000000">
            <w:pPr>
              <w:pStyle w:val="Compact"/>
            </w:pPr>
            <w:r>
              <w:t>Dominant variance driver</w:t>
            </w:r>
          </w:p>
        </w:tc>
        <w:tc>
          <w:tcPr>
            <w:tcW w:w="0" w:type="auto"/>
          </w:tcPr>
          <w:p w14:paraId="509F917C" w14:textId="77777777" w:rsidR="005C00BD" w:rsidRDefault="00000000">
            <w:pPr>
              <w:pStyle w:val="Compact"/>
            </w:pPr>
            <w:r>
              <w:t>S2 Factor A (67%)</w:t>
            </w:r>
          </w:p>
        </w:tc>
        <w:tc>
          <w:tcPr>
            <w:tcW w:w="0" w:type="auto"/>
          </w:tcPr>
          <w:p w14:paraId="509F917D" w14:textId="77777777" w:rsidR="005C00BD" w:rsidRDefault="00000000">
            <w:pPr>
              <w:pStyle w:val="Compact"/>
            </w:pPr>
            <w:r>
              <w:t>D2 (44%)</w:t>
            </w:r>
          </w:p>
        </w:tc>
      </w:tr>
    </w:tbl>
    <w:p w14:paraId="509F917F" w14:textId="77777777" w:rsidR="005C00BD" w:rsidRDefault="00000000">
      <w:pPr>
        <w:pStyle w:val="BodyText"/>
      </w:pPr>
      <w:r>
        <w:t>The two most consequential changes:</w:t>
      </w:r>
    </w:p>
    <w:p w14:paraId="509F9180" w14:textId="77777777" w:rsidR="005C00BD" w:rsidRDefault="00000000">
      <w:pPr>
        <w:pStyle w:val="BodyText"/>
      </w:pPr>
      <w:r>
        <w:rPr>
          <w:b/>
          <w:bCs/>
        </w:rPr>
        <w:t>1. Commitment depth formula correction.</w:t>
      </w:r>
      <w:r>
        <w:t xml:space="preserve"> The old formula applied DVFS to the entire non-migrating facility load including cooling and infrastructure. The corrected formula (Colangelo et al.) applies DVFS only to the compute-amenable S1 </w:t>
      </w:r>
      <w:proofErr w:type="gramStart"/>
      <w:r>
        <w:t>envelope — physically</w:t>
      </w:r>
      <w:proofErr w:type="gramEnd"/>
      <w:r>
        <w:t xml:space="preserve"> correct since DVFS operates at the GPU level, not at the facility meter.</w:t>
      </w:r>
    </w:p>
    <w:p w14:paraId="509F9181" w14:textId="77777777" w:rsidR="005C00BD" w:rsidRDefault="00000000">
      <w:pPr>
        <w:pStyle w:val="BodyText"/>
      </w:pPr>
      <w:r>
        <w:rPr>
          <w:b/>
          <w:bCs/>
        </w:rPr>
        <w:t>2. Destination decomposition.</w:t>
      </w:r>
      <w:r>
        <w:t xml:space="preserve"> The old D2 (0.85) conflated utilization headroom, inference compatibility, and pre-staging readiness into a single estimate. Decomposing into D2 × D4 × D5 = 0.33 × 0.50 × 0.65 = 0.107 reveals that destination absorption capacity is much lower than previously assumed, and that the uncertainty concentrates in three operationally distinct choices that different policy levers can target independently.</w:t>
      </w:r>
    </w:p>
    <w:p w14:paraId="509F9182" w14:textId="77777777" w:rsidR="005C00BD" w:rsidRDefault="00000000">
      <w:r>
        <w:pict w14:anchorId="509F91B4">
          <v:rect id="_x0000_i1399" style="width:0;height:1.5pt" o:hralign="center" o:hrstd="t" o:hr="t"/>
        </w:pict>
      </w:r>
    </w:p>
    <w:p w14:paraId="509F9183" w14:textId="77777777" w:rsidR="005C00BD" w:rsidRDefault="00000000">
      <w:pPr>
        <w:pStyle w:val="Heading2"/>
      </w:pPr>
      <w:bookmarkStart w:id="71" w:name="references"/>
      <w:bookmarkEnd w:id="70"/>
      <w:r>
        <w:t>References</w:t>
      </w:r>
    </w:p>
    <w:p w14:paraId="509F9184" w14:textId="77777777" w:rsidR="005C00BD" w:rsidRDefault="00000000">
      <w:pPr>
        <w:pStyle w:val="FirstParagraph"/>
      </w:pPr>
      <w:r>
        <w:t>Amazon Web Services. Elastic Load Balancing Service Level Agreement. https://aws.amazon.com/elasticloadbalancing/sla/</w:t>
      </w:r>
    </w:p>
    <w:p w14:paraId="509F9185" w14:textId="77777777" w:rsidR="005C00BD" w:rsidRDefault="00000000">
      <w:pPr>
        <w:pStyle w:val="BodyText"/>
      </w:pPr>
      <w:r>
        <w:t>Bain &amp; Company. Inference is now the center of gravity (2025).</w:t>
      </w:r>
    </w:p>
    <w:p w14:paraId="47EC38D5" w14:textId="3B74DBDB" w:rsidR="007430A6" w:rsidRDefault="007430A6">
      <w:pPr>
        <w:pStyle w:val="BodyText"/>
      </w:pPr>
      <w:r>
        <w:t xml:space="preserve">Colangelo, P., Coskun, A. K., </w:t>
      </w:r>
      <w:proofErr w:type="spellStart"/>
      <w:r>
        <w:t>Megrue</w:t>
      </w:r>
      <w:proofErr w:type="spellEnd"/>
      <w:r>
        <w:t xml:space="preserve">, J., Roberts, C., Sengupta, S., Sivaram, V., Tiao, E., </w:t>
      </w:r>
      <w:proofErr w:type="spellStart"/>
      <w:r>
        <w:t>Vijaykar</w:t>
      </w:r>
      <w:proofErr w:type="spellEnd"/>
      <w:r>
        <w:t xml:space="preserve">, A., Williams, C., Wilson, D. C., Records, B., MacFarland, Z., Dreiling, D., Morey, N., Ratnayake, A., &amp; </w:t>
      </w:r>
      <w:proofErr w:type="spellStart"/>
      <w:r>
        <w:t>Vairamohan</w:t>
      </w:r>
      <w:proofErr w:type="spellEnd"/>
      <w:r>
        <w:t xml:space="preserve">, B. AI data </w:t>
      </w:r>
      <w:proofErr w:type="spellStart"/>
      <w:r>
        <w:t>centres</w:t>
      </w:r>
      <w:proofErr w:type="spellEnd"/>
      <w:r>
        <w:t xml:space="preserve"> as grid-interactive assets. </w:t>
      </w:r>
      <w:r>
        <w:rPr>
          <w:i/>
          <w:iCs/>
        </w:rPr>
        <w:t>Nature Energy</w:t>
      </w:r>
      <w:r>
        <w:t xml:space="preserve"> 11, 254–261 (2026). </w:t>
      </w:r>
      <w:hyperlink r:id="rId12" w:history="1">
        <w:r w:rsidRPr="00490EC5">
          <w:rPr>
            <w:rStyle w:val="Hyperlink"/>
          </w:rPr>
          <w:t>https://doi.org/10.1038/s41560-025-01927-1</w:t>
        </w:r>
      </w:hyperlink>
    </w:p>
    <w:p w14:paraId="509F9187" w14:textId="0E49FFEF" w:rsidR="005C00BD" w:rsidRDefault="00000000">
      <w:pPr>
        <w:pStyle w:val="BodyText"/>
      </w:pPr>
      <w:r>
        <w:t>Cortez, E., et al. Resource Central: Understanding and predicting workloads for improved resource management in large cloud platforms. SOSP (2017).</w:t>
      </w:r>
    </w:p>
    <w:p w14:paraId="509F9188" w14:textId="77777777" w:rsidR="005C00BD" w:rsidRDefault="00000000">
      <w:pPr>
        <w:pStyle w:val="BodyText"/>
      </w:pPr>
      <w:r>
        <w:t xml:space="preserve">Data Center Knowledge. </w:t>
      </w:r>
      <w:proofErr w:type="spellStart"/>
      <w:r>
        <w:t>Hyperscaler</w:t>
      </w:r>
      <w:proofErr w:type="spellEnd"/>
      <w:r>
        <w:t xml:space="preserve"> bandwidth purchases reach 42.4 terabits (November 2025).</w:t>
      </w:r>
    </w:p>
    <w:p w14:paraId="509F9189" w14:textId="7D03721C" w:rsidR="005C00BD" w:rsidRDefault="00000000">
      <w:pPr>
        <w:pStyle w:val="BodyText"/>
      </w:pPr>
      <w:r>
        <w:t>Deloitte. Technology, Media and Telecommunications Predictions 202</w:t>
      </w:r>
      <w:r w:rsidR="009D4592">
        <w:t>6</w:t>
      </w:r>
      <w:r>
        <w:t xml:space="preserve"> (November 2025).</w:t>
      </w:r>
    </w:p>
    <w:p w14:paraId="509F918A" w14:textId="77777777" w:rsidR="005C00BD" w:rsidRDefault="00000000">
      <w:pPr>
        <w:pStyle w:val="BodyText"/>
      </w:pPr>
      <w:r>
        <w:t xml:space="preserve">Dubey, A., et al. (Meta). The Llama 3 Herd of Models. </w:t>
      </w:r>
      <w:proofErr w:type="spellStart"/>
      <w:r>
        <w:t>arXiv</w:t>
      </w:r>
      <w:proofErr w:type="spellEnd"/>
      <w:r>
        <w:t xml:space="preserve"> (2024).</w:t>
      </w:r>
    </w:p>
    <w:p w14:paraId="509F918B" w14:textId="77777777" w:rsidR="005C00BD" w:rsidRDefault="00000000">
      <w:pPr>
        <w:pStyle w:val="BodyText"/>
      </w:pPr>
      <w:r>
        <w:t>EPRI. Powering Intelligence: Analyzing Artificial Intelligence and Data Center Energy Consumption (2024).</w:t>
      </w:r>
    </w:p>
    <w:p w14:paraId="509F918C" w14:textId="77777777" w:rsidR="005C00BD" w:rsidRDefault="00000000">
      <w:pPr>
        <w:pStyle w:val="BodyText"/>
      </w:pPr>
      <w:r>
        <w:t>Govindan, R., et al. Evolve or die: High-availability design principles drawn from Google’s network infrastructure. ACM SIGCOMM (2016).</w:t>
      </w:r>
    </w:p>
    <w:p w14:paraId="509F918D" w14:textId="77777777" w:rsidR="005C00BD" w:rsidRDefault="00000000">
      <w:pPr>
        <w:pStyle w:val="BodyText"/>
      </w:pPr>
      <w:r>
        <w:lastRenderedPageBreak/>
        <w:t xml:space="preserve">Jain, S., et al. B4: Experience with a </w:t>
      </w:r>
      <w:proofErr w:type="gramStart"/>
      <w:r>
        <w:t>globally-deployed</w:t>
      </w:r>
      <w:proofErr w:type="gramEnd"/>
      <w:r>
        <w:t xml:space="preserve"> software defined WAN. ACM SIGCOMM (2013).</w:t>
      </w:r>
    </w:p>
    <w:p w14:paraId="509F918E" w14:textId="77777777" w:rsidR="005C00BD" w:rsidRDefault="00000000">
      <w:pPr>
        <w:pStyle w:val="BodyText"/>
      </w:pPr>
      <w:proofErr w:type="spellStart"/>
      <w:r>
        <w:t>Kakolyris</w:t>
      </w:r>
      <w:proofErr w:type="spellEnd"/>
      <w:r>
        <w:t>, A., et al. SLO-aware GPU DVFS for energy-efficient LLM inference serving. IEEE Computer Architecture Letters (2024).</w:t>
      </w:r>
    </w:p>
    <w:p w14:paraId="509F9191" w14:textId="0232EE2B" w:rsidR="005C00BD" w:rsidRDefault="00000000">
      <w:pPr>
        <w:pStyle w:val="BodyText"/>
      </w:pPr>
      <w:r>
        <w:t>Microsoft Azure. SLA for Load Balancer. https://azure.microsoft.com/en-us/support/legal/sla/load-balancer/</w:t>
      </w:r>
    </w:p>
    <w:p w14:paraId="794C344D" w14:textId="77777777" w:rsidR="001A2575" w:rsidRPr="001A2575" w:rsidRDefault="001A2575" w:rsidP="001A2575">
      <w:pPr>
        <w:pStyle w:val="BodyText"/>
      </w:pPr>
      <w:r w:rsidRPr="001A2575">
        <w:t xml:space="preserve">Norris, T. H. The puzzle of low data center utilization rates. </w:t>
      </w:r>
      <w:r w:rsidRPr="001A2575">
        <w:rPr>
          <w:i/>
          <w:iCs/>
        </w:rPr>
        <w:t>Power &amp; Policy</w:t>
      </w:r>
      <w:r w:rsidRPr="001A2575">
        <w:t xml:space="preserve"> Substack, August 8, 2025.</w:t>
      </w:r>
    </w:p>
    <w:p w14:paraId="0DC01CCD" w14:textId="77777777" w:rsidR="001A2575" w:rsidRPr="001A2575" w:rsidRDefault="001A2575" w:rsidP="001A2575">
      <w:pPr>
        <w:pStyle w:val="BodyText"/>
      </w:pPr>
      <w:r w:rsidRPr="001A2575">
        <w:t xml:space="preserve">Norris, T. H., Profeta, T., Patino-Echeverri, D., &amp; Cowie-Haskell, A. </w:t>
      </w:r>
      <w:r w:rsidRPr="001A2575">
        <w:rPr>
          <w:i/>
          <w:iCs/>
        </w:rPr>
        <w:t>Rethinking Load Growth: Assessing the Potential for Integration of Large Flexible Loads in US Power Systems.</w:t>
      </w:r>
      <w:r w:rsidRPr="001A2575">
        <w:t xml:space="preserve"> NI R 25-01. Nicholas Institute for Energy, Environment &amp; Sustainability, Duke University (March 2025).</w:t>
      </w:r>
    </w:p>
    <w:p w14:paraId="509F9193" w14:textId="7D0F8793" w:rsidR="005C00BD" w:rsidRDefault="00000000">
      <w:pPr>
        <w:pStyle w:val="BodyText"/>
      </w:pPr>
      <w:r>
        <w:t>NVIDIA. CUDA Compatibility Documentation. https://docs.nvidia.com/deploy/cuda-compatibility/</w:t>
      </w:r>
    </w:p>
    <w:p w14:paraId="509F9194" w14:textId="77777777" w:rsidR="005C00BD" w:rsidRDefault="00000000">
      <w:pPr>
        <w:pStyle w:val="BodyText"/>
      </w:pPr>
      <w:r>
        <w:t>NVIDIA. CUDA Forward Compatibility Documentation. https://docs.nvidia.com/deploy/cuda-compatibility/forward-compatibility.html</w:t>
      </w:r>
    </w:p>
    <w:p w14:paraId="509F9195" w14:textId="77777777" w:rsidR="005C00BD" w:rsidRDefault="00000000">
      <w:pPr>
        <w:pStyle w:val="BodyText"/>
      </w:pPr>
      <w:r>
        <w:t xml:space="preserve">NVIDIA. </w:t>
      </w:r>
      <w:proofErr w:type="spellStart"/>
      <w:r>
        <w:t>Run:ai</w:t>
      </w:r>
      <w:proofErr w:type="spellEnd"/>
      <w:r>
        <w:t xml:space="preserve"> Model Streamer: Reducing cold start latency for LLM inference (2025).</w:t>
      </w:r>
    </w:p>
    <w:p w14:paraId="509F9196" w14:textId="77777777" w:rsidR="005C00BD" w:rsidRDefault="00000000">
      <w:pPr>
        <w:pStyle w:val="BodyText"/>
      </w:pPr>
      <w:r>
        <w:t xml:space="preserve">NVIDIA. </w:t>
      </w:r>
      <w:proofErr w:type="spellStart"/>
      <w:r>
        <w:t>TensorRT</w:t>
      </w:r>
      <w:proofErr w:type="spellEnd"/>
      <w:r>
        <w:t>-LLM Support Matrix. https://nvidia.github.io/TensorRT-LLM/reference/support-matrix.html</w:t>
      </w:r>
    </w:p>
    <w:p w14:paraId="509F9197" w14:textId="77777777" w:rsidR="005C00BD" w:rsidRDefault="00000000">
      <w:pPr>
        <w:pStyle w:val="BodyText"/>
      </w:pPr>
      <w:r>
        <w:t>Patel, P., et al. </w:t>
      </w:r>
      <w:proofErr w:type="spellStart"/>
      <w:r>
        <w:t>Splitwise</w:t>
      </w:r>
      <w:proofErr w:type="spellEnd"/>
      <w:r>
        <w:t>: Efficient generative LLM inference using phase splitting. ISCA (2024).</w:t>
      </w:r>
    </w:p>
    <w:p w14:paraId="509F9198" w14:textId="2834AAFC" w:rsidR="005C00BD" w:rsidRDefault="00000000">
      <w:pPr>
        <w:pStyle w:val="BodyText"/>
      </w:pPr>
      <w:r>
        <w:t xml:space="preserve">Patel, </w:t>
      </w:r>
      <w:r w:rsidR="00863F01">
        <w:t>P</w:t>
      </w:r>
      <w:r>
        <w:t>., et al. Characterizing power management opportunities for LLMs in the cloud. ASPLOS (2024).</w:t>
      </w:r>
    </w:p>
    <w:p w14:paraId="1C170E87" w14:textId="77777777" w:rsidR="008B1E6F" w:rsidRDefault="008B1E6F" w:rsidP="00C45327">
      <w:pPr>
        <w:pStyle w:val="BodyText"/>
      </w:pPr>
      <w:r>
        <w:t>PJM Interconnection. Manual 13: Emergency Operations. Rev. 97, effective November 20, 2025.</w:t>
      </w:r>
    </w:p>
    <w:p w14:paraId="57658F44" w14:textId="39AF7B39" w:rsidR="00C45327" w:rsidRDefault="00C45327" w:rsidP="00C45327">
      <w:pPr>
        <w:pStyle w:val="BodyText"/>
      </w:pPr>
      <w:r>
        <w:t xml:space="preserve">Radovanović, A., </w:t>
      </w:r>
      <w:proofErr w:type="spellStart"/>
      <w:r>
        <w:t>Koningstein</w:t>
      </w:r>
      <w:proofErr w:type="spellEnd"/>
      <w:r>
        <w:t xml:space="preserve">, R., Schneider, I., Chen, B., Duarte, A., Roy, B., Xiao, D., </w:t>
      </w:r>
      <w:proofErr w:type="spellStart"/>
      <w:r>
        <w:t>Haridasan</w:t>
      </w:r>
      <w:proofErr w:type="spellEnd"/>
      <w:r>
        <w:t xml:space="preserve">, M., Hung, P., Care, N., Talukdar, S., Mullen, E., Smith, K., Cottman, M., &amp; Cirne, W. Carbon-aware computing for datacenters. </w:t>
      </w:r>
      <w:r>
        <w:rPr>
          <w:i/>
          <w:iCs/>
        </w:rPr>
        <w:t>IEEE Transactions on Power Systems</w:t>
      </w:r>
      <w:r>
        <w:t xml:space="preserve"> 38(2), 1270–1280 (2023). https://doi.org/10.1109/TPWRS.2022.3173250</w:t>
      </w:r>
    </w:p>
    <w:p w14:paraId="509F919B" w14:textId="672E72EF" w:rsidR="005C00BD" w:rsidRDefault="007430A6">
      <w:pPr>
        <w:pStyle w:val="BodyText"/>
      </w:pPr>
      <w:r>
        <w:t xml:space="preserve">Jaiswal, S., Jain, K., </w:t>
      </w:r>
      <w:proofErr w:type="spellStart"/>
      <w:r>
        <w:t>Simmhan</w:t>
      </w:r>
      <w:proofErr w:type="spellEnd"/>
      <w:r>
        <w:t xml:space="preserve">, Y., </w:t>
      </w:r>
      <w:proofErr w:type="spellStart"/>
      <w:r>
        <w:t>Parayil</w:t>
      </w:r>
      <w:proofErr w:type="spellEnd"/>
      <w:r>
        <w:t>, A., Mallick, A., St. Amant, R., et al. </w:t>
      </w:r>
      <w:proofErr w:type="spellStart"/>
      <w:r>
        <w:t>SageServe</w:t>
      </w:r>
      <w:proofErr w:type="spellEnd"/>
      <w:r>
        <w:t>: Optimizing LLM Serving on Cloud Data Centers with Forecast Aware Auto-Scaling. arXiv:2502.14617 (2025).</w:t>
      </w:r>
    </w:p>
    <w:p w14:paraId="509F919C" w14:textId="77777777" w:rsidR="005C00BD" w:rsidRDefault="00000000">
      <w:pPr>
        <w:pStyle w:val="BodyText"/>
      </w:pPr>
      <w:r>
        <w:t xml:space="preserve">Red Hat. </w:t>
      </w:r>
      <w:proofErr w:type="spellStart"/>
      <w:r>
        <w:t>vLLM</w:t>
      </w:r>
      <w:proofErr w:type="spellEnd"/>
      <w:r>
        <w:t>: A high-throughput and memory-efficient inference engine (October 2025).</w:t>
      </w:r>
    </w:p>
    <w:p w14:paraId="241D8E89" w14:textId="77777777" w:rsidR="00A958A3" w:rsidRDefault="00A958A3" w:rsidP="00A958A3">
      <w:pPr>
        <w:pStyle w:val="BodyText"/>
      </w:pPr>
      <w:r>
        <w:t xml:space="preserve">Shehabi, A., Smith, S.J., Hubbard, A., Newkirk, A., Lei, N., </w:t>
      </w:r>
      <w:proofErr w:type="spellStart"/>
      <w:r>
        <w:t>Siddik</w:t>
      </w:r>
      <w:proofErr w:type="spellEnd"/>
      <w:r>
        <w:t xml:space="preserve">, M.A.B., Holecek, B., </w:t>
      </w:r>
      <w:proofErr w:type="spellStart"/>
      <w:r>
        <w:t>Koomey</w:t>
      </w:r>
      <w:proofErr w:type="spellEnd"/>
      <w:r>
        <w:t xml:space="preserve">, J., </w:t>
      </w:r>
      <w:proofErr w:type="spellStart"/>
      <w:r>
        <w:t>Masanet</w:t>
      </w:r>
      <w:proofErr w:type="spellEnd"/>
      <w:r>
        <w:t>, E., and Sartor, D. 2024 United States Data Center Energy Usage Report. Lawrence Berkeley National Laboratory, LBNL-2001637 (December 2024)</w:t>
      </w:r>
    </w:p>
    <w:p w14:paraId="509F919D" w14:textId="71ED383F" w:rsidR="005C00BD" w:rsidRDefault="00000000">
      <w:pPr>
        <w:pStyle w:val="BodyText"/>
      </w:pPr>
      <w:proofErr w:type="spellStart"/>
      <w:r>
        <w:lastRenderedPageBreak/>
        <w:t>SkyLB</w:t>
      </w:r>
      <w:proofErr w:type="spellEnd"/>
      <w:r>
        <w:t>. Locality-aware cross-region load balancer for LLM inference. arXiv:2505.24095 (2025).</w:t>
      </w:r>
    </w:p>
    <w:p w14:paraId="509F919E" w14:textId="77777777" w:rsidR="005C00BD" w:rsidRDefault="00000000">
      <w:pPr>
        <w:pStyle w:val="BodyText"/>
      </w:pPr>
      <w:r>
        <w:t>Stojkovic, J., et al. </w:t>
      </w:r>
      <w:proofErr w:type="spellStart"/>
      <w:r>
        <w:t>DynamoLLM</w:t>
      </w:r>
      <w:proofErr w:type="spellEnd"/>
      <w:r>
        <w:t>: Designing LLM inference clusters for performance and energy efficiency. HPCA (2025).</w:t>
      </w:r>
    </w:p>
    <w:p w14:paraId="70A1128B" w14:textId="009C8505" w:rsidR="00E01C6C" w:rsidRDefault="00E01C6C">
      <w:pPr>
        <w:pStyle w:val="BodyText"/>
      </w:pPr>
      <w:r w:rsidRPr="00E01C6C">
        <w:t>Technology, Media and Telecommunications Predictions 2026 (published November 2025)</w:t>
      </w:r>
    </w:p>
    <w:p w14:paraId="509F919F" w14:textId="77777777" w:rsidR="005C00BD" w:rsidRDefault="00000000">
      <w:pPr>
        <w:pStyle w:val="BodyText"/>
      </w:pPr>
      <w:proofErr w:type="spellStart"/>
      <w:r>
        <w:t>Tirmazi</w:t>
      </w:r>
      <w:proofErr w:type="spellEnd"/>
      <w:r>
        <w:t xml:space="preserve">, M., et al. Borg: The next generation. </w:t>
      </w:r>
      <w:proofErr w:type="spellStart"/>
      <w:r>
        <w:t>EuroSys</w:t>
      </w:r>
      <w:proofErr w:type="spellEnd"/>
      <w:r>
        <w:t xml:space="preserve"> (2020).</w:t>
      </w:r>
    </w:p>
    <w:p w14:paraId="509F91A0" w14:textId="77777777" w:rsidR="005C00BD" w:rsidRDefault="00000000">
      <w:pPr>
        <w:pStyle w:val="BodyText"/>
      </w:pPr>
      <w:r>
        <w:t xml:space="preserve">Verma, A., et al. Large-scale cluster management at Google with Borg. </w:t>
      </w:r>
      <w:proofErr w:type="spellStart"/>
      <w:r>
        <w:t>EuroSys</w:t>
      </w:r>
      <w:proofErr w:type="spellEnd"/>
      <w:r>
        <w:t xml:space="preserve"> (2015).</w:t>
      </w:r>
    </w:p>
    <w:p w14:paraId="0F2880DE" w14:textId="1FE484A4" w:rsidR="00C45327" w:rsidRDefault="00C45327">
      <w:pPr>
        <w:pStyle w:val="BodyText"/>
      </w:pPr>
      <w:r>
        <w:t xml:space="preserve">Wang, Y., Chen, Y., Li, Z., Kang, X., Zhao, Y., Ma, Z., Bao, H., Mei, X., Liu, Y., Chen, Y., Zhang, Q., Guo, M., Jin, W., Guo, M., &amp; Cui, H. </w:t>
      </w:r>
      <w:proofErr w:type="spellStart"/>
      <w:r>
        <w:t>BurstGPT</w:t>
      </w:r>
      <w:proofErr w:type="spellEnd"/>
      <w:r>
        <w:t>: A Real-World Workload Dataset to Optimize LLM Serving Systems. arXiv:2401.17644v3 (2024). Dataset release: github.com/HPMLL/</w:t>
      </w:r>
      <w:proofErr w:type="spellStart"/>
      <w:r>
        <w:t>BurstGPT</w:t>
      </w:r>
      <w:proofErr w:type="spellEnd"/>
      <w:r>
        <w:t>.</w:t>
      </w:r>
    </w:p>
    <w:p w14:paraId="1153E170" w14:textId="7EC0638E" w:rsidR="00A958A3" w:rsidRDefault="00A958A3" w:rsidP="00A958A3">
      <w:pPr>
        <w:pStyle w:val="BodyText"/>
      </w:pPr>
      <w:r>
        <w:t xml:space="preserve">Zhang, </w:t>
      </w:r>
      <w:proofErr w:type="spellStart"/>
      <w:r>
        <w:t>Chaojie</w:t>
      </w:r>
      <w:proofErr w:type="spellEnd"/>
      <w:r>
        <w:t>. Eliminating the Capacity Variation Penalty for Cloud</w:t>
      </w:r>
      <w:r>
        <w:t xml:space="preserve"> </w:t>
      </w:r>
      <w:r>
        <w:t>Resource Management. PhD Dissertation, Department of Computer Science, University</w:t>
      </w:r>
      <w:r>
        <w:t xml:space="preserve"> </w:t>
      </w:r>
      <w:r>
        <w:t>of Chicago, March 2023. Advisor: Andrew A. Chien.</w:t>
      </w:r>
      <w:r>
        <w:t xml:space="preserve"> </w:t>
      </w:r>
      <w:hyperlink r:id="rId13" w:history="1">
        <w:r w:rsidRPr="002E3F80">
          <w:rPr>
            <w:rStyle w:val="Hyperlink"/>
          </w:rPr>
          <w:t>https://knowledge.uchicago.edu/record/5719</w:t>
        </w:r>
      </w:hyperlink>
      <w:r>
        <w:t>.</w:t>
      </w:r>
    </w:p>
    <w:p w14:paraId="2C7C9781" w14:textId="788C1BC7" w:rsidR="00A958A3" w:rsidRDefault="00A958A3" w:rsidP="00A958A3">
      <w:pPr>
        <w:pStyle w:val="BodyText"/>
      </w:pPr>
      <w:r>
        <w:t xml:space="preserve">Zhang, </w:t>
      </w:r>
      <w:proofErr w:type="spellStart"/>
      <w:r>
        <w:t>Chaojie</w:t>
      </w:r>
      <w:proofErr w:type="spellEnd"/>
      <w:r>
        <w:t>, and Andrew A. Chien. Scheduling Challenges for Variable Capacity</w:t>
      </w:r>
      <w:r>
        <w:t xml:space="preserve"> </w:t>
      </w:r>
      <w:r>
        <w:t>Resources. In Job Scheduling Strategies for Parallel Processing (JSSPP 2021),</w:t>
      </w:r>
      <w:r>
        <w:t xml:space="preserve"> </w:t>
      </w:r>
      <w:r>
        <w:t>Lecture Notes in Computer Science vol. 12985, pp. 190–209. Springer, 2021.</w:t>
      </w:r>
      <w:r>
        <w:t xml:space="preserve"> </w:t>
      </w:r>
      <w:r>
        <w:t>https://doi.org/10.1007/978-3-030-88224-2_10.</w:t>
      </w:r>
    </w:p>
    <w:p w14:paraId="509F91A3" w14:textId="35C63E61" w:rsidR="005C00BD" w:rsidRDefault="00000000" w:rsidP="00A958A3">
      <w:pPr>
        <w:pStyle w:val="BodyText"/>
      </w:pPr>
      <w:r>
        <w:t>Zhang, W., et al. Flexibility from networks of data centers: A market clearing formulation with virtual links. Electric Power Systems Research 189, 106723 (2020).</w:t>
      </w:r>
      <w:bookmarkEnd w:id="0"/>
      <w:bookmarkEnd w:id="71"/>
    </w:p>
    <w:p w14:paraId="1C81E86E" w14:textId="77777777" w:rsidR="00A958A3" w:rsidRDefault="00A958A3" w:rsidP="00A958A3">
      <w:pPr>
        <w:pStyle w:val="BodyText"/>
      </w:pPr>
    </w:p>
    <w:sectPr w:rsidR="00A958A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Chris Dunlap" w:date="2026-04-20T15:56:00Z" w:initials="CD">
    <w:p w14:paraId="08F62BCF" w14:textId="77777777" w:rsidR="00971A3D" w:rsidRDefault="00971A3D" w:rsidP="00971A3D">
      <w:pPr>
        <w:pStyle w:val="CommentText"/>
      </w:pPr>
      <w:r>
        <w:rPr>
          <w:rStyle w:val="CommentReference"/>
        </w:rPr>
        <w:annotationRef/>
      </w:r>
      <w:r>
        <w:t>Need to verify my coding procedure for this dataset was correct</w:t>
      </w:r>
    </w:p>
  </w:comment>
  <w:comment w:id="13" w:author="Chris Dunlap" w:date="2026-04-20T16:36:00Z" w:initials="CD">
    <w:p w14:paraId="3551ADE8" w14:textId="77777777" w:rsidR="00D373F3" w:rsidRDefault="00D373F3" w:rsidP="00D373F3">
      <w:pPr>
        <w:pStyle w:val="CommentText"/>
      </w:pPr>
      <w:r>
        <w:rPr>
          <w:rStyle w:val="CommentReference"/>
        </w:rPr>
        <w:annotationRef/>
      </w:r>
      <w:r>
        <w:rPr>
          <w:b/>
          <w:bCs/>
        </w:rPr>
        <w:t>If you decide the central should actually be higher</w:t>
      </w:r>
      <w:r>
        <w:t xml:space="preserve"> (say 0.85, which is closer to what the narrowed three categories would imply), the rewrite needs another pass — specifically, the floor justification gets weaker because "aggressive operator risk aversion" is harder to pin at 40% when you're simultaneously arguing the parameter should be high. </w:t>
      </w:r>
    </w:p>
  </w:comment>
  <w:comment w:id="41" w:author="Chris Dunlap" w:date="2026-04-20T23:13:00Z" w:initials="CD">
    <w:p w14:paraId="571D783F" w14:textId="77777777" w:rsidR="00A05ABB" w:rsidRDefault="00A05ABB" w:rsidP="00A05ABB">
      <w:pPr>
        <w:pStyle w:val="CommentText"/>
      </w:pPr>
      <w:r>
        <w:rPr>
          <w:rStyle w:val="CommentReference"/>
        </w:rPr>
        <w:annotationRef/>
      </w:r>
      <w:r>
        <w:t>Still need to run a QA</w:t>
      </w:r>
      <w:r>
        <w:br/>
      </w:r>
      <w:r>
        <w:br/>
        <w:t>Potential procedural decision to make it equivalent to S1 considering I think it is just the other side of the equation</w:t>
      </w:r>
    </w:p>
  </w:comment>
  <w:comment w:id="46" w:author="Chris Dunlap" w:date="2026-04-20T23:20:00Z" w:initials="CD">
    <w:p w14:paraId="59C506B7" w14:textId="6F675F7F" w:rsidR="00A05ABB" w:rsidRDefault="00A05ABB" w:rsidP="00A05ABB">
      <w:pPr>
        <w:pStyle w:val="CommentText"/>
      </w:pPr>
      <w:r>
        <w:rPr>
          <w:rStyle w:val="CommentReference"/>
        </w:rPr>
        <w:annotationRef/>
      </w:r>
      <w:r>
        <w:t>Updated, but still need to run QA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62BCF" w15:done="0"/>
  <w15:commentEx w15:paraId="3551ADE8" w15:done="0"/>
  <w15:commentEx w15:paraId="571D783F" w15:done="0"/>
  <w15:commentEx w15:paraId="59C50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D605F" w16cex:dateUtc="2026-04-20T20:56:00Z"/>
  <w16cex:commentExtensible w16cex:durableId="4094BC04" w16cex:dateUtc="2026-04-20T21:36:00Z"/>
  <w16cex:commentExtensible w16cex:durableId="06ABB69B" w16cex:dateUtc="2026-04-21T04:13:00Z"/>
  <w16cex:commentExtensible w16cex:durableId="5F5ADAA0" w16cex:dateUtc="2026-04-21T0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62BCF" w16cid:durableId="308D605F"/>
  <w16cid:commentId w16cid:paraId="3551ADE8" w16cid:durableId="4094BC04"/>
  <w16cid:commentId w16cid:paraId="571D783F" w16cid:durableId="06ABB69B"/>
  <w16cid:commentId w16cid:paraId="59C506B7" w16cid:durableId="5F5ADA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2D592" w14:textId="77777777" w:rsidR="00301B51" w:rsidRDefault="00301B51">
      <w:pPr>
        <w:spacing w:after="0"/>
      </w:pPr>
      <w:r>
        <w:separator/>
      </w:r>
    </w:p>
  </w:endnote>
  <w:endnote w:type="continuationSeparator" w:id="0">
    <w:p w14:paraId="4B9925B7" w14:textId="77777777" w:rsidR="00301B51" w:rsidRDefault="00301B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9CAF" w14:textId="77777777" w:rsidR="00301B51" w:rsidRDefault="00301B51">
      <w:r>
        <w:separator/>
      </w:r>
    </w:p>
  </w:footnote>
  <w:footnote w:type="continuationSeparator" w:id="0">
    <w:p w14:paraId="3AFFB7C5" w14:textId="77777777" w:rsidR="00301B51" w:rsidRDefault="00301B51">
      <w:r>
        <w:continuationSeparator/>
      </w:r>
    </w:p>
  </w:footnote>
  <w:footnote w:id="1">
    <w:p w14:paraId="3B14931D" w14:textId="77777777" w:rsidR="00586219" w:rsidRDefault="00586219" w:rsidP="00586219">
      <w:pPr>
        <w:pStyle w:val="BodyText"/>
      </w:pPr>
      <w:r>
        <w:rPr>
          <w:rStyle w:val="FootnoteReference"/>
        </w:rPr>
        <w:footnoteRef/>
      </w:r>
      <w:r>
        <w:t xml:space="preserve"> Colangelo, P., Coskun, A. K., </w:t>
      </w:r>
      <w:proofErr w:type="spellStart"/>
      <w:r>
        <w:t>Megrue</w:t>
      </w:r>
      <w:proofErr w:type="spellEnd"/>
      <w:r>
        <w:t xml:space="preserve">, J., Roberts, C., Sengupta, S., Sivaram, V., Tiao, E., </w:t>
      </w:r>
      <w:proofErr w:type="spellStart"/>
      <w:r>
        <w:t>Vijaykar</w:t>
      </w:r>
      <w:proofErr w:type="spellEnd"/>
      <w:r>
        <w:t xml:space="preserve">, A., Williams, C., Wilson, D. C., Records, B., MacFarland, Z., Dreiling, D., Morey, N., Ratnayake, A., &amp; </w:t>
      </w:r>
      <w:proofErr w:type="spellStart"/>
      <w:r>
        <w:t>Vairamohan</w:t>
      </w:r>
      <w:proofErr w:type="spellEnd"/>
      <w:r>
        <w:t xml:space="preserve">, B. AI data </w:t>
      </w:r>
      <w:proofErr w:type="spellStart"/>
      <w:r>
        <w:t>centres</w:t>
      </w:r>
      <w:proofErr w:type="spellEnd"/>
      <w:r>
        <w:t xml:space="preserve"> as grid-interactive assets. </w:t>
      </w:r>
      <w:r>
        <w:rPr>
          <w:i/>
          <w:iCs/>
        </w:rPr>
        <w:t>Nature Energy</w:t>
      </w:r>
      <w:r>
        <w:t xml:space="preserve"> 11, 254–261 (2026). </w:t>
      </w:r>
      <w:hyperlink r:id="rId1" w:history="1">
        <w:r w:rsidRPr="00490EC5">
          <w:rPr>
            <w:rStyle w:val="Hyperlink"/>
          </w:rPr>
          <w:t>https://doi.org/10.1038/s41560-025-01927-1</w:t>
        </w:r>
      </w:hyperlink>
    </w:p>
    <w:p w14:paraId="067B26F5" w14:textId="1F5C8705" w:rsidR="00586219" w:rsidRDefault="00586219">
      <w:pPr>
        <w:pStyle w:val="FootnoteText"/>
      </w:pPr>
    </w:p>
  </w:footnote>
  <w:footnote w:id="2">
    <w:p w14:paraId="1E3726E6" w14:textId="14BEF4D9" w:rsidR="00AB1883" w:rsidRDefault="00AB1883" w:rsidP="00AB1883">
      <w:pPr>
        <w:pStyle w:val="BodyText"/>
      </w:pPr>
      <w:r>
        <w:rPr>
          <w:rStyle w:val="FootnoteReference"/>
        </w:rPr>
        <w:footnoteRef/>
      </w:r>
      <w:r>
        <w:t xml:space="preserve"> </w:t>
      </w:r>
      <w:r w:rsidRPr="00AB1883">
        <w:t xml:space="preserve">Arora, C., Sorel, M., Sachdeva, P., Bhan, A., He, J., Shaw, N., Garg, R., &amp; Ravishankar, S. (December 2025). </w:t>
      </w:r>
      <w:r w:rsidRPr="00AB1883">
        <w:rPr>
          <w:i/>
          <w:iCs/>
        </w:rPr>
        <w:t xml:space="preserve">The next big shifts in AI workloads and </w:t>
      </w:r>
      <w:proofErr w:type="spellStart"/>
      <w:r w:rsidRPr="00AB1883">
        <w:rPr>
          <w:i/>
          <w:iCs/>
        </w:rPr>
        <w:t>hyperscaler</w:t>
      </w:r>
      <w:proofErr w:type="spellEnd"/>
      <w:r w:rsidRPr="00AB1883">
        <w:rPr>
          <w:i/>
          <w:iCs/>
        </w:rPr>
        <w:t xml:space="preserve"> strategies.</w:t>
      </w:r>
      <w:r w:rsidRPr="00AB1883">
        <w:t xml:space="preserve"> McKinsey &amp; Company, Technology, Media &amp; Telecommunications Practice. URL: </w:t>
      </w:r>
    </w:p>
    <w:p w14:paraId="05FEA786" w14:textId="44DC0F95" w:rsidR="00AB1883" w:rsidRDefault="00AB1883">
      <w:pPr>
        <w:pStyle w:val="FootnoteText"/>
      </w:pPr>
    </w:p>
  </w:footnote>
  <w:footnote w:id="3">
    <w:p w14:paraId="554819BE" w14:textId="57BDD9B1" w:rsidR="007430A6" w:rsidRDefault="007430A6">
      <w:pPr>
        <w:pStyle w:val="FootnoteText"/>
      </w:pPr>
      <w:r>
        <w:rPr>
          <w:rStyle w:val="FootnoteReference"/>
        </w:rPr>
        <w:footnoteRef/>
      </w:r>
      <w:r>
        <w:t xml:space="preserve"> Azure Public Dataset, DynamoLLM traces, https://github.com/Azure/AzurePublicDataset. The released window includes the seven-day span used in this analysis.</w:t>
      </w:r>
    </w:p>
  </w:footnote>
  <w:footnote w:id="4">
    <w:p w14:paraId="64840065" w14:textId="591628A2" w:rsidR="005C6C9C" w:rsidRDefault="005C6C9C">
      <w:pPr>
        <w:pStyle w:val="FootnoteText"/>
      </w:pPr>
      <w:r>
        <w:rPr>
          <w:rStyle w:val="FootnoteReference"/>
        </w:rPr>
        <w:footnoteRef/>
      </w:r>
      <w:r>
        <w:t xml:space="preserve"> </w:t>
      </w:r>
      <w:r w:rsidRPr="005C6C9C">
        <w:t xml:space="preserve">Uptime Institute, </w:t>
      </w:r>
      <w:r w:rsidRPr="005C6C9C">
        <w:rPr>
          <w:i/>
          <w:iCs/>
        </w:rPr>
        <w:t>Global Data Center Survey 2024</w:t>
      </w:r>
      <w:r w:rsidRPr="005C6C9C">
        <w:t>, July 2024, p. 8. The survey notes that sub-40% UPS utilization "can undermine energy performance of both power distribution and cooling equipment," framing the finding as an efficiency concern rather than a capacity-availability claim; we cite it here for the utilization distribution it reveals, not for the efficiency argument it is embedded 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C647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23607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0D013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D30C5"/>
    <w:multiLevelType w:val="multilevel"/>
    <w:tmpl w:val="7962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C28ED"/>
    <w:multiLevelType w:val="multilevel"/>
    <w:tmpl w:val="9AB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80650"/>
    <w:multiLevelType w:val="hybridMultilevel"/>
    <w:tmpl w:val="9BB88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D7C3B"/>
    <w:multiLevelType w:val="hybridMultilevel"/>
    <w:tmpl w:val="7FA2F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95B06"/>
    <w:multiLevelType w:val="multilevel"/>
    <w:tmpl w:val="6D5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320C5"/>
    <w:multiLevelType w:val="multilevel"/>
    <w:tmpl w:val="BE52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24A47"/>
    <w:multiLevelType w:val="multilevel"/>
    <w:tmpl w:val="90E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6F53"/>
    <w:multiLevelType w:val="multilevel"/>
    <w:tmpl w:val="3E8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252C7E"/>
    <w:multiLevelType w:val="hybridMultilevel"/>
    <w:tmpl w:val="430A5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998430">
    <w:abstractNumId w:val="0"/>
  </w:num>
  <w:num w:numId="2" w16cid:durableId="1788041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0078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2168790">
    <w:abstractNumId w:val="1"/>
  </w:num>
  <w:num w:numId="5" w16cid:durableId="335349093">
    <w:abstractNumId w:val="1"/>
  </w:num>
  <w:num w:numId="6" w16cid:durableId="1811557293">
    <w:abstractNumId w:val="1"/>
  </w:num>
  <w:num w:numId="7" w16cid:durableId="1434059660">
    <w:abstractNumId w:val="1"/>
  </w:num>
  <w:num w:numId="8" w16cid:durableId="956565902">
    <w:abstractNumId w:val="1"/>
  </w:num>
  <w:num w:numId="9" w16cid:durableId="863440744">
    <w:abstractNumId w:val="1"/>
  </w:num>
  <w:num w:numId="10" w16cid:durableId="1095707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81128687">
    <w:abstractNumId w:val="1"/>
  </w:num>
  <w:num w:numId="12" w16cid:durableId="472868003">
    <w:abstractNumId w:val="1"/>
  </w:num>
  <w:num w:numId="13" w16cid:durableId="617375216">
    <w:abstractNumId w:val="1"/>
  </w:num>
  <w:num w:numId="14" w16cid:durableId="1698316218">
    <w:abstractNumId w:val="1"/>
  </w:num>
  <w:num w:numId="15" w16cid:durableId="1875343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4541060">
    <w:abstractNumId w:val="1"/>
  </w:num>
  <w:num w:numId="17" w16cid:durableId="1829323658">
    <w:abstractNumId w:val="1"/>
  </w:num>
  <w:num w:numId="18" w16cid:durableId="995718308">
    <w:abstractNumId w:val="1"/>
  </w:num>
  <w:num w:numId="19" w16cid:durableId="1395278605">
    <w:abstractNumId w:val="1"/>
  </w:num>
  <w:num w:numId="20" w16cid:durableId="1589996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85702448">
    <w:abstractNumId w:val="1"/>
  </w:num>
  <w:num w:numId="22" w16cid:durableId="1250236478">
    <w:abstractNumId w:val="1"/>
  </w:num>
  <w:num w:numId="23" w16cid:durableId="1471708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4648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85831809">
    <w:abstractNumId w:val="11"/>
  </w:num>
  <w:num w:numId="26" w16cid:durableId="1093552056">
    <w:abstractNumId w:val="5"/>
  </w:num>
  <w:num w:numId="27" w16cid:durableId="2129734714">
    <w:abstractNumId w:val="3"/>
  </w:num>
  <w:num w:numId="28" w16cid:durableId="231047149">
    <w:abstractNumId w:val="10"/>
  </w:num>
  <w:num w:numId="29" w16cid:durableId="1119760488">
    <w:abstractNumId w:val="4"/>
  </w:num>
  <w:num w:numId="30" w16cid:durableId="726030470">
    <w:abstractNumId w:val="9"/>
  </w:num>
  <w:num w:numId="31" w16cid:durableId="1166091168">
    <w:abstractNumId w:val="8"/>
  </w:num>
  <w:num w:numId="32" w16cid:durableId="706025850">
    <w:abstractNumId w:val="7"/>
  </w:num>
  <w:num w:numId="33" w16cid:durableId="69527405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BD"/>
    <w:rsid w:val="00061A09"/>
    <w:rsid w:val="00065131"/>
    <w:rsid w:val="000B2C9D"/>
    <w:rsid w:val="000E70B2"/>
    <w:rsid w:val="0011104B"/>
    <w:rsid w:val="00142361"/>
    <w:rsid w:val="001640F1"/>
    <w:rsid w:val="00183127"/>
    <w:rsid w:val="001A2575"/>
    <w:rsid w:val="001E6CC4"/>
    <w:rsid w:val="002A31A6"/>
    <w:rsid w:val="002E7897"/>
    <w:rsid w:val="00301B51"/>
    <w:rsid w:val="00330FF1"/>
    <w:rsid w:val="004616BF"/>
    <w:rsid w:val="004813BA"/>
    <w:rsid w:val="004A1164"/>
    <w:rsid w:val="004A7482"/>
    <w:rsid w:val="004C455B"/>
    <w:rsid w:val="004D33B4"/>
    <w:rsid w:val="005219A5"/>
    <w:rsid w:val="00586219"/>
    <w:rsid w:val="005908C4"/>
    <w:rsid w:val="005A1171"/>
    <w:rsid w:val="005C00BD"/>
    <w:rsid w:val="005C6C9C"/>
    <w:rsid w:val="006B61CE"/>
    <w:rsid w:val="006C1726"/>
    <w:rsid w:val="0070741C"/>
    <w:rsid w:val="007430A6"/>
    <w:rsid w:val="0076489A"/>
    <w:rsid w:val="007B67F2"/>
    <w:rsid w:val="00810BCB"/>
    <w:rsid w:val="00813DFE"/>
    <w:rsid w:val="00833BB0"/>
    <w:rsid w:val="00863F01"/>
    <w:rsid w:val="008B1E6F"/>
    <w:rsid w:val="009542B3"/>
    <w:rsid w:val="00964AF4"/>
    <w:rsid w:val="00971A3D"/>
    <w:rsid w:val="009729F2"/>
    <w:rsid w:val="009777C8"/>
    <w:rsid w:val="00981D21"/>
    <w:rsid w:val="009D4592"/>
    <w:rsid w:val="009E699C"/>
    <w:rsid w:val="00A01C26"/>
    <w:rsid w:val="00A05ABB"/>
    <w:rsid w:val="00A5312B"/>
    <w:rsid w:val="00A958A3"/>
    <w:rsid w:val="00A97414"/>
    <w:rsid w:val="00AB1883"/>
    <w:rsid w:val="00AF1A54"/>
    <w:rsid w:val="00B2206B"/>
    <w:rsid w:val="00B22652"/>
    <w:rsid w:val="00B42202"/>
    <w:rsid w:val="00B6000D"/>
    <w:rsid w:val="00B83C0B"/>
    <w:rsid w:val="00BA1903"/>
    <w:rsid w:val="00BB62FE"/>
    <w:rsid w:val="00C3349A"/>
    <w:rsid w:val="00C45327"/>
    <w:rsid w:val="00C46C5B"/>
    <w:rsid w:val="00C55D65"/>
    <w:rsid w:val="00C76F92"/>
    <w:rsid w:val="00C90579"/>
    <w:rsid w:val="00CF6008"/>
    <w:rsid w:val="00D373F3"/>
    <w:rsid w:val="00D55A9C"/>
    <w:rsid w:val="00D6735F"/>
    <w:rsid w:val="00DE2175"/>
    <w:rsid w:val="00E01C6C"/>
    <w:rsid w:val="00E249C2"/>
    <w:rsid w:val="00E417F9"/>
    <w:rsid w:val="00E74250"/>
    <w:rsid w:val="00E77D03"/>
    <w:rsid w:val="00F1308A"/>
    <w:rsid w:val="00F44C3A"/>
    <w:rsid w:val="00FC1101"/>
    <w:rsid w:val="00FE4F9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F8E48"/>
  <w15:docId w15:val="{DD8584DD-9A8F-434F-B823-703EC0D60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430A6"/>
    <w:rPr>
      <w:color w:val="605E5C"/>
      <w:shd w:val="clear" w:color="auto" w:fill="E1DFDD"/>
    </w:rPr>
  </w:style>
  <w:style w:type="character" w:styleId="CommentReference">
    <w:name w:val="annotation reference"/>
    <w:basedOn w:val="DefaultParagraphFont"/>
    <w:rsid w:val="00971A3D"/>
    <w:rPr>
      <w:sz w:val="16"/>
      <w:szCs w:val="16"/>
    </w:rPr>
  </w:style>
  <w:style w:type="paragraph" w:styleId="CommentText">
    <w:name w:val="annotation text"/>
    <w:basedOn w:val="Normal"/>
    <w:link w:val="CommentTextChar"/>
    <w:rsid w:val="00971A3D"/>
    <w:rPr>
      <w:sz w:val="20"/>
      <w:szCs w:val="20"/>
    </w:rPr>
  </w:style>
  <w:style w:type="character" w:customStyle="1" w:styleId="CommentTextChar">
    <w:name w:val="Comment Text Char"/>
    <w:basedOn w:val="DefaultParagraphFont"/>
    <w:link w:val="CommentText"/>
    <w:rsid w:val="00971A3D"/>
    <w:rPr>
      <w:sz w:val="20"/>
      <w:szCs w:val="20"/>
    </w:rPr>
  </w:style>
  <w:style w:type="paragraph" w:styleId="CommentSubject">
    <w:name w:val="annotation subject"/>
    <w:basedOn w:val="CommentText"/>
    <w:next w:val="CommentText"/>
    <w:link w:val="CommentSubjectChar"/>
    <w:rsid w:val="00971A3D"/>
    <w:rPr>
      <w:b/>
      <w:bCs/>
    </w:rPr>
  </w:style>
  <w:style w:type="character" w:customStyle="1" w:styleId="CommentSubjectChar">
    <w:name w:val="Comment Subject Char"/>
    <w:basedOn w:val="CommentTextChar"/>
    <w:link w:val="CommentSubject"/>
    <w:rsid w:val="00971A3D"/>
    <w:rPr>
      <w:b/>
      <w:bCs/>
      <w:sz w:val="20"/>
      <w:szCs w:val="20"/>
    </w:rPr>
  </w:style>
  <w:style w:type="character" w:styleId="Emphasis">
    <w:name w:val="Emphasis"/>
    <w:basedOn w:val="DefaultParagraphFont"/>
    <w:uiPriority w:val="20"/>
    <w:qFormat/>
    <w:rsid w:val="00F44C3A"/>
    <w:rPr>
      <w:i/>
      <w:iCs/>
    </w:rPr>
  </w:style>
  <w:style w:type="table" w:styleId="GridTable1Light">
    <w:name w:val="Grid Table 1 Light"/>
    <w:basedOn w:val="TableNormal"/>
    <w:rsid w:val="00F44C3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rsid w:val="00FE4F9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knowledge.uchicago.edu/record/571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560-025-01927-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38/s41560-025-019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12D2F-7BF7-411A-9B2B-DD98909FD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3222</TotalTime>
  <Pages>32</Pages>
  <Words>9866</Words>
  <Characters>61862</Characters>
  <Application>Microsoft Office Word</Application>
  <DocSecurity>0</DocSecurity>
  <Lines>1472</Lines>
  <Paragraphs>796</Paragraphs>
  <ScaleCrop>false</ScaleCrop>
  <HeadingPairs>
    <vt:vector size="2" baseType="variant">
      <vt:variant>
        <vt:lpstr>Title</vt:lpstr>
      </vt:variant>
      <vt:variant>
        <vt:i4>1</vt:i4>
      </vt:variant>
    </vt:vector>
  </HeadingPairs>
  <TitlesOfParts>
    <vt:vector size="1" baseType="lpstr">
      <vt:lpstr>Technical Appendix: Ten-Parameter Cascade Derivation</vt:lpstr>
    </vt:vector>
  </TitlesOfParts>
  <Company/>
  <LinksUpToDate>false</LinksUpToDate>
  <CharactersWithSpaces>70932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Ten-Parameter Cascade Derivation</dc:title>
  <dc:creator>Chris Dunlap</dc:creator>
  <cp:keywords/>
  <cp:lastModifiedBy>Chris Dunlap</cp:lastModifiedBy>
  <cp:revision>11</cp:revision>
  <dcterms:created xsi:type="dcterms:W3CDTF">2026-04-21T16:12:00Z</dcterms:created>
  <dcterms:modified xsi:type="dcterms:W3CDTF">2026-04-25T02:48:00Z</dcterms:modified>
</cp:coreProperties>
</file>