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66CC" w14:textId="77777777" w:rsidR="00CD4011" w:rsidRPr="00E72036" w:rsidRDefault="00CD4011" w:rsidP="00C50051">
      <w:pPr>
        <w:rPr>
          <w:rFonts w:ascii="Times New Roman" w:hAnsi="Times New Roman" w:cs="Times New Roman"/>
          <w:b/>
          <w:bCs/>
          <w:sz w:val="28"/>
          <w:szCs w:val="28"/>
        </w:rPr>
      </w:pPr>
      <w:r w:rsidRPr="00E72036">
        <w:rPr>
          <w:rFonts w:ascii="Times New Roman" w:hAnsi="Times New Roman" w:cs="Times New Roman"/>
          <w:b/>
          <w:bCs/>
          <w:sz w:val="28"/>
          <w:szCs w:val="28"/>
        </w:rPr>
        <w:t>The Four Central Questions of my Data Center Flexibility Idea:</w:t>
      </w:r>
    </w:p>
    <w:p w14:paraId="610D7F91" w14:textId="3C153F4A" w:rsidR="00CD4011" w:rsidRPr="00E72036" w:rsidRDefault="00CD4011" w:rsidP="00E72036">
      <w:pPr>
        <w:pStyle w:val="ListParagraph"/>
        <w:numPr>
          <w:ilvl w:val="0"/>
          <w:numId w:val="4"/>
        </w:numPr>
        <w:rPr>
          <w:rFonts w:ascii="Times New Roman" w:hAnsi="Times New Roman" w:cs="Times New Roman"/>
        </w:rPr>
      </w:pPr>
      <w:r w:rsidRPr="00E72036">
        <w:rPr>
          <w:rFonts w:ascii="Times New Roman" w:hAnsi="Times New Roman" w:cs="Times New Roman"/>
        </w:rPr>
        <w:t xml:space="preserve">Technical feasibility of </w:t>
      </w:r>
      <w:proofErr w:type="gramStart"/>
      <w:r w:rsidRPr="00E72036">
        <w:rPr>
          <w:rFonts w:ascii="Times New Roman" w:hAnsi="Times New Roman" w:cs="Times New Roman"/>
        </w:rPr>
        <w:t>compute</w:t>
      </w:r>
      <w:proofErr w:type="gramEnd"/>
      <w:r w:rsidRPr="00E72036">
        <w:rPr>
          <w:rFonts w:ascii="Times New Roman" w:hAnsi="Times New Roman" w:cs="Times New Roman"/>
        </w:rPr>
        <w:t xml:space="preserve"> migration — Can workloads physically move? What are the bounded limits on latency, ramp rates, workload types, and opportunity costs? </w:t>
      </w:r>
    </w:p>
    <w:p w14:paraId="5DE3C740" w14:textId="674513A2" w:rsidR="00CD4011" w:rsidRPr="00E72036" w:rsidRDefault="00CD4011" w:rsidP="00E72036">
      <w:pPr>
        <w:pStyle w:val="ListParagraph"/>
        <w:numPr>
          <w:ilvl w:val="0"/>
          <w:numId w:val="4"/>
        </w:numPr>
        <w:rPr>
          <w:rFonts w:ascii="Times New Roman" w:hAnsi="Times New Roman" w:cs="Times New Roman"/>
        </w:rPr>
      </w:pPr>
      <w:r w:rsidRPr="00E72036">
        <w:rPr>
          <w:rFonts w:ascii="Times New Roman" w:hAnsi="Times New Roman" w:cs="Times New Roman"/>
        </w:rPr>
        <w:t xml:space="preserve">Grid physical feasibility — When the source zone is overstressed, can we reliably expect power availability at destination zones? What does the empirical pricing record </w:t>
      </w:r>
      <w:proofErr w:type="gramStart"/>
      <w:r w:rsidRPr="00E72036">
        <w:rPr>
          <w:rFonts w:ascii="Times New Roman" w:hAnsi="Times New Roman" w:cs="Times New Roman"/>
        </w:rPr>
        <w:t>actually show</w:t>
      </w:r>
      <w:proofErr w:type="gramEnd"/>
      <w:r w:rsidRPr="00E72036">
        <w:rPr>
          <w:rFonts w:ascii="Times New Roman" w:hAnsi="Times New Roman" w:cs="Times New Roman"/>
        </w:rPr>
        <w:t>?</w:t>
      </w:r>
    </w:p>
    <w:p w14:paraId="065FB978" w14:textId="731C45CB" w:rsidR="00CD4011" w:rsidRPr="00E72036" w:rsidRDefault="00CD4011" w:rsidP="00E72036">
      <w:pPr>
        <w:pStyle w:val="ListParagraph"/>
        <w:numPr>
          <w:ilvl w:val="0"/>
          <w:numId w:val="4"/>
        </w:numPr>
        <w:rPr>
          <w:rFonts w:ascii="Times New Roman" w:hAnsi="Times New Roman" w:cs="Times New Roman"/>
          <w:color w:val="FF0000"/>
        </w:rPr>
      </w:pPr>
      <w:r w:rsidRPr="00E72036">
        <w:rPr>
          <w:rFonts w:ascii="Times New Roman" w:hAnsi="Times New Roman" w:cs="Times New Roman"/>
          <w:color w:val="FF0000"/>
        </w:rPr>
        <w:t xml:space="preserve">Administrative and market integration — How does this capability fit into PJM’s capacity construct? Given PJM’s existing 92% ELCC class rating for demand response, what commitment depth can a data center fleet credibly sustain, what are the avoided cost implications, and how does the depth of commitment create the incentive structure? </w:t>
      </w:r>
    </w:p>
    <w:p w14:paraId="215AF48E" w14:textId="5AB521EB" w:rsidR="00CD4011" w:rsidRPr="00E72036" w:rsidRDefault="00CD4011" w:rsidP="00E72036">
      <w:pPr>
        <w:pStyle w:val="ListParagraph"/>
        <w:numPr>
          <w:ilvl w:val="0"/>
          <w:numId w:val="4"/>
        </w:numPr>
        <w:rPr>
          <w:rFonts w:ascii="Times New Roman" w:hAnsi="Times New Roman" w:cs="Times New Roman"/>
        </w:rPr>
      </w:pPr>
      <w:r w:rsidRPr="00E72036">
        <w:rPr>
          <w:rFonts w:ascii="Times New Roman" w:hAnsi="Times New Roman" w:cs="Times New Roman"/>
        </w:rPr>
        <w:t xml:space="preserve">Mechanical implementation — What does the actual operational protocol look like for both the grid operator and the data center? Dispatch signals, certification requirements, performance assessment, penalty structures. </w:t>
      </w:r>
    </w:p>
    <w:p w14:paraId="5864A249" w14:textId="77777777" w:rsidR="00EB428F" w:rsidRPr="00E72036" w:rsidRDefault="00EB428F" w:rsidP="00C50051">
      <w:pPr>
        <w:rPr>
          <w:rFonts w:ascii="Times New Roman" w:hAnsi="Times New Roman" w:cs="Times New Roman"/>
          <w:sz w:val="32"/>
          <w:szCs w:val="32"/>
        </w:rPr>
      </w:pPr>
    </w:p>
    <w:p w14:paraId="5EB565FF" w14:textId="7D6E539D" w:rsidR="00293E1C" w:rsidRPr="00E72036" w:rsidRDefault="00665421" w:rsidP="00C50051">
      <w:pPr>
        <w:rPr>
          <w:rFonts w:ascii="Times New Roman" w:hAnsi="Times New Roman" w:cs="Times New Roman"/>
          <w:b/>
          <w:bCs/>
        </w:rPr>
      </w:pPr>
      <w:r w:rsidRPr="00E72036">
        <w:rPr>
          <w:rFonts w:ascii="Times New Roman" w:hAnsi="Times New Roman" w:cs="Times New Roman"/>
          <w:b/>
          <w:bCs/>
          <w:sz w:val="28"/>
          <w:szCs w:val="28"/>
        </w:rPr>
        <w:t>Context</w:t>
      </w:r>
    </w:p>
    <w:p w14:paraId="2D716401" w14:textId="0A1A6062" w:rsidR="005B1E9A" w:rsidRDefault="00724FD2" w:rsidP="00C50051">
      <w:pPr>
        <w:rPr>
          <w:rFonts w:ascii="Times New Roman" w:hAnsi="Times New Roman" w:cs="Times New Roman"/>
          <w:i/>
          <w:iCs/>
        </w:rPr>
      </w:pPr>
      <w:r w:rsidRPr="00E72036">
        <w:rPr>
          <w:rFonts w:ascii="Times New Roman" w:hAnsi="Times New Roman" w:cs="Times New Roman"/>
        </w:rPr>
        <w:t xml:space="preserve">In working through </w:t>
      </w:r>
      <w:r w:rsidR="00665421" w:rsidRPr="00E72036">
        <w:rPr>
          <w:rFonts w:ascii="Times New Roman" w:hAnsi="Times New Roman" w:cs="Times New Roman"/>
        </w:rPr>
        <w:t>my framework</w:t>
      </w:r>
      <w:r w:rsidRPr="00E72036">
        <w:rPr>
          <w:rFonts w:ascii="Times New Roman" w:hAnsi="Times New Roman" w:cs="Times New Roman"/>
        </w:rPr>
        <w:t xml:space="preserve">, I’ve concluded that the right analytical </w:t>
      </w:r>
      <w:r w:rsidR="00665421" w:rsidRPr="00E72036">
        <w:rPr>
          <w:rFonts w:ascii="Times New Roman" w:hAnsi="Times New Roman" w:cs="Times New Roman"/>
        </w:rPr>
        <w:t>angle</w:t>
      </w:r>
      <w:r w:rsidRPr="00E72036">
        <w:rPr>
          <w:rFonts w:ascii="Times New Roman" w:hAnsi="Times New Roman" w:cs="Times New Roman"/>
        </w:rPr>
        <w:t xml:space="preserve"> is not a novel ELCC methodology</w:t>
      </w:r>
      <w:r w:rsidR="007349EA" w:rsidRPr="00E72036">
        <w:rPr>
          <w:rFonts w:ascii="Times New Roman" w:hAnsi="Times New Roman" w:cs="Times New Roman"/>
        </w:rPr>
        <w:t xml:space="preserve"> as I originally proposed a few weeks ago</w:t>
      </w:r>
      <w:r w:rsidRPr="00E72036">
        <w:rPr>
          <w:rFonts w:ascii="Times New Roman" w:hAnsi="Times New Roman" w:cs="Times New Roman"/>
        </w:rPr>
        <w:t xml:space="preserve">. PJM already gives demand response a 92% ELCC class rating, derived from a full </w:t>
      </w:r>
      <w:r w:rsidR="007349EA" w:rsidRPr="00E72036">
        <w:rPr>
          <w:rFonts w:ascii="Times New Roman" w:hAnsi="Times New Roman" w:cs="Times New Roman"/>
        </w:rPr>
        <w:t>Loss of Load Probability (</w:t>
      </w:r>
      <w:r w:rsidRPr="00E72036">
        <w:rPr>
          <w:rFonts w:ascii="Times New Roman" w:hAnsi="Times New Roman" w:cs="Times New Roman"/>
        </w:rPr>
        <w:t>LOLP</w:t>
      </w:r>
      <w:r w:rsidR="007349EA" w:rsidRPr="00E72036">
        <w:rPr>
          <w:rFonts w:ascii="Times New Roman" w:hAnsi="Times New Roman" w:cs="Times New Roman"/>
        </w:rPr>
        <w:t>)</w:t>
      </w:r>
      <w:r w:rsidRPr="00E72036">
        <w:rPr>
          <w:rFonts w:ascii="Times New Roman" w:hAnsi="Times New Roman" w:cs="Times New Roman"/>
        </w:rPr>
        <w:t xml:space="preserve"> simulation with DR dispatched last in the stack, modeled with no energy constraint, and available 24/7.</w:t>
      </w:r>
      <w:r w:rsidR="00A01C41" w:rsidRPr="00E72036">
        <w:rPr>
          <w:rStyle w:val="FootnoteReference"/>
          <w:rFonts w:ascii="Times New Roman" w:hAnsi="Times New Roman" w:cs="Times New Roman"/>
        </w:rPr>
        <w:footnoteReference w:id="1"/>
      </w:r>
      <w:r w:rsidRPr="00E72036">
        <w:rPr>
          <w:rFonts w:ascii="Times New Roman" w:hAnsi="Times New Roman" w:cs="Times New Roman"/>
        </w:rPr>
        <w:t xml:space="preserve"> That 92% is well-grounded and defensible</w:t>
      </w:r>
      <w:r w:rsidR="007349EA" w:rsidRPr="00E72036">
        <w:rPr>
          <w:rFonts w:ascii="Times New Roman" w:hAnsi="Times New Roman" w:cs="Times New Roman"/>
        </w:rPr>
        <w:t xml:space="preserve">, and frankly it would be imprudent to </w:t>
      </w:r>
      <w:r w:rsidR="00B56B8B" w:rsidRPr="00E72036">
        <w:rPr>
          <w:rFonts w:ascii="Times New Roman" w:hAnsi="Times New Roman" w:cs="Times New Roman"/>
        </w:rPr>
        <w:t>go to war with PJM on that point in the context of our EPIC paper</w:t>
      </w:r>
      <w:r w:rsidRPr="00E72036">
        <w:rPr>
          <w:rFonts w:ascii="Times New Roman" w:hAnsi="Times New Roman" w:cs="Times New Roman"/>
        </w:rPr>
        <w:t>. The</w:t>
      </w:r>
      <w:r w:rsidR="00B56B8B" w:rsidRPr="00E72036">
        <w:rPr>
          <w:rFonts w:ascii="Times New Roman" w:hAnsi="Times New Roman" w:cs="Times New Roman"/>
        </w:rPr>
        <w:t>refore, the</w:t>
      </w:r>
      <w:r w:rsidRPr="00E72036">
        <w:rPr>
          <w:rFonts w:ascii="Times New Roman" w:hAnsi="Times New Roman" w:cs="Times New Roman"/>
        </w:rPr>
        <w:t xml:space="preserve"> question our analysis should answer is: </w:t>
      </w:r>
      <w:r w:rsidRPr="00E72036">
        <w:rPr>
          <w:rFonts w:ascii="Times New Roman" w:hAnsi="Times New Roman" w:cs="Times New Roman"/>
          <w:i/>
          <w:iCs/>
        </w:rPr>
        <w:t>given that PJM will accredit DC flexibility at 92%, how deeply can a data center fleet credibly commit as demand response?</w:t>
      </w:r>
    </w:p>
    <w:p w14:paraId="21886BA1" w14:textId="77777777" w:rsidR="00E72036" w:rsidRPr="00E72036" w:rsidRDefault="00E72036" w:rsidP="00C50051">
      <w:pPr>
        <w:rPr>
          <w:rFonts w:ascii="Times New Roman" w:hAnsi="Times New Roman" w:cs="Times New Roman"/>
          <w:i/>
          <w:iCs/>
        </w:rPr>
      </w:pPr>
    </w:p>
    <w:p w14:paraId="10138CD0" w14:textId="15341C6A" w:rsidR="007B71E4" w:rsidRPr="00E72036" w:rsidRDefault="001D4877" w:rsidP="00C50051">
      <w:pPr>
        <w:rPr>
          <w:rFonts w:ascii="Times New Roman" w:hAnsi="Times New Roman" w:cs="Times New Roman"/>
        </w:rPr>
      </w:pPr>
      <w:r w:rsidRPr="00E72036">
        <w:rPr>
          <w:rFonts w:ascii="Times New Roman" w:hAnsi="Times New Roman" w:cs="Times New Roman"/>
        </w:rPr>
        <w:t xml:space="preserve">The </w:t>
      </w:r>
      <w:r w:rsidR="000B05E1" w:rsidRPr="00E72036">
        <w:rPr>
          <w:rFonts w:ascii="Times New Roman" w:hAnsi="Times New Roman" w:cs="Times New Roman"/>
        </w:rPr>
        <w:t xml:space="preserve">specific answer to this question is extremely difficult to pin down with open-source-only information. </w:t>
      </w:r>
      <w:r w:rsidR="0042234D" w:rsidRPr="00E72036">
        <w:rPr>
          <w:rFonts w:ascii="Times New Roman" w:hAnsi="Times New Roman" w:cs="Times New Roman"/>
        </w:rPr>
        <w:t xml:space="preserve">I’ll go into detail on my </w:t>
      </w:r>
      <w:r w:rsidR="00850FC9" w:rsidRPr="00E72036">
        <w:rPr>
          <w:rFonts w:ascii="Times New Roman" w:hAnsi="Times New Roman" w:cs="Times New Roman"/>
        </w:rPr>
        <w:t>scenario-based</w:t>
      </w:r>
      <w:r w:rsidR="0042234D" w:rsidRPr="00E72036">
        <w:rPr>
          <w:rFonts w:ascii="Times New Roman" w:hAnsi="Times New Roman" w:cs="Times New Roman"/>
        </w:rPr>
        <w:t xml:space="preserve"> </w:t>
      </w:r>
      <w:r w:rsidR="00550DC0" w:rsidRPr="00E72036">
        <w:rPr>
          <w:rFonts w:ascii="Times New Roman" w:hAnsi="Times New Roman" w:cs="Times New Roman"/>
        </w:rPr>
        <w:t xml:space="preserve">numbers in a separate document, but the takeaway is that there is a material increase in commitment depth afforded by implementing spatial shifting. </w:t>
      </w:r>
      <w:r w:rsidR="009A26D4" w:rsidRPr="00E72036">
        <w:rPr>
          <w:rFonts w:ascii="Times New Roman" w:hAnsi="Times New Roman" w:cs="Times New Roman"/>
        </w:rPr>
        <w:t xml:space="preserve">In this document I’m going to outline the </w:t>
      </w:r>
      <w:r w:rsidR="00D228C5" w:rsidRPr="00E72036">
        <w:rPr>
          <w:rFonts w:ascii="Times New Roman" w:hAnsi="Times New Roman" w:cs="Times New Roman"/>
        </w:rPr>
        <w:t xml:space="preserve">policy design that enables and incentivizes data center flexible load to reduce the reliability requirement and to </w:t>
      </w:r>
      <w:r w:rsidR="007B71E4" w:rsidRPr="00E72036">
        <w:rPr>
          <w:rFonts w:ascii="Times New Roman" w:hAnsi="Times New Roman" w:cs="Times New Roman"/>
        </w:rPr>
        <w:t>add unforced capacity capability to the market.</w:t>
      </w:r>
    </w:p>
    <w:p w14:paraId="2D716402" w14:textId="78D760FE" w:rsidR="005B1E9A" w:rsidRPr="00E72036" w:rsidRDefault="005B1E9A" w:rsidP="00C50051">
      <w:pPr>
        <w:rPr>
          <w:rFonts w:ascii="Times New Roman" w:hAnsi="Times New Roman" w:cs="Times New Roman"/>
        </w:rPr>
      </w:pPr>
    </w:p>
    <w:p w14:paraId="2D716403" w14:textId="278D7EC4" w:rsidR="005B1E9A" w:rsidRPr="00E72036" w:rsidRDefault="00B53A60" w:rsidP="00C50051">
      <w:pPr>
        <w:rPr>
          <w:rFonts w:ascii="Times New Roman" w:hAnsi="Times New Roman" w:cs="Times New Roman"/>
        </w:rPr>
      </w:pPr>
      <w:r w:rsidRPr="00E72036">
        <w:rPr>
          <w:rFonts w:ascii="Times New Roman" w:hAnsi="Times New Roman" w:cs="Times New Roman"/>
        </w:rPr>
        <w:t xml:space="preserve">For my reference and </w:t>
      </w:r>
      <w:r w:rsidR="00880AF9" w:rsidRPr="00E72036">
        <w:rPr>
          <w:rFonts w:ascii="Times New Roman" w:hAnsi="Times New Roman" w:cs="Times New Roman"/>
        </w:rPr>
        <w:t>yours, I thought it might be helpful to walk through, in writing, how</w:t>
      </w:r>
      <w:r w:rsidR="00724FD2" w:rsidRPr="00E72036">
        <w:rPr>
          <w:rFonts w:ascii="Times New Roman" w:hAnsi="Times New Roman" w:cs="Times New Roman"/>
        </w:rPr>
        <w:t xml:space="preserve"> PJM’s capacity market works, why the 92% ELCC is the correct starting point, how commitment depth differs across mechanism portfolios, and the sequential policy framework that translates flexibility into grid value.</w:t>
      </w:r>
    </w:p>
    <w:p w14:paraId="042EC32A" w14:textId="77777777" w:rsidR="0033367C" w:rsidRDefault="0033367C" w:rsidP="00C50051">
      <w:pPr>
        <w:rPr>
          <w:rFonts w:ascii="Times New Roman" w:hAnsi="Times New Roman" w:cs="Times New Roman"/>
        </w:rPr>
      </w:pPr>
    </w:p>
    <w:p w14:paraId="2D716404" w14:textId="639FCAAA" w:rsidR="005B1E9A" w:rsidRPr="0033367C" w:rsidRDefault="00724FD2" w:rsidP="00C50051">
      <w:pPr>
        <w:rPr>
          <w:rFonts w:ascii="Times New Roman" w:hAnsi="Times New Roman" w:cs="Times New Roman"/>
          <w:b/>
          <w:bCs/>
          <w:sz w:val="28"/>
          <w:szCs w:val="28"/>
        </w:rPr>
      </w:pPr>
      <w:r w:rsidRPr="0033367C">
        <w:rPr>
          <w:rFonts w:ascii="Times New Roman" w:hAnsi="Times New Roman" w:cs="Times New Roman"/>
          <w:b/>
          <w:bCs/>
          <w:sz w:val="28"/>
          <w:szCs w:val="28"/>
        </w:rPr>
        <w:t>How PJM’s Capacity Market Actually Works</w:t>
      </w:r>
    </w:p>
    <w:p w14:paraId="2D716405" w14:textId="77777777" w:rsidR="005B1E9A" w:rsidRPr="00E72036" w:rsidRDefault="00724FD2" w:rsidP="00C50051">
      <w:pPr>
        <w:rPr>
          <w:rFonts w:ascii="Times New Roman" w:hAnsi="Times New Roman" w:cs="Times New Roman"/>
        </w:rPr>
      </w:pPr>
      <w:r w:rsidRPr="00E72036">
        <w:rPr>
          <w:rFonts w:ascii="Times New Roman" w:hAnsi="Times New Roman" w:cs="Times New Roman"/>
        </w:rPr>
        <w:t>I want to lay this out clearly because the mechanics matter for understanding where data center flexibility fits in.</w:t>
      </w:r>
    </w:p>
    <w:p w14:paraId="51484714" w14:textId="77777777" w:rsidR="00E72036" w:rsidRDefault="00E72036" w:rsidP="00C50051">
      <w:pPr>
        <w:rPr>
          <w:rFonts w:ascii="Times New Roman" w:hAnsi="Times New Roman" w:cs="Times New Roman"/>
        </w:rPr>
      </w:pPr>
    </w:p>
    <w:p w14:paraId="678A480F" w14:textId="0995C236" w:rsidR="000C7FF2" w:rsidRPr="00E72036" w:rsidRDefault="000C7FF2" w:rsidP="00C50051">
      <w:pPr>
        <w:rPr>
          <w:rFonts w:ascii="Times New Roman" w:hAnsi="Times New Roman" w:cs="Times New Roman"/>
          <w:b/>
          <w:bCs/>
          <w:sz w:val="24"/>
          <w:szCs w:val="24"/>
        </w:rPr>
      </w:pPr>
      <w:r w:rsidRPr="00E72036">
        <w:rPr>
          <w:rFonts w:ascii="Times New Roman" w:hAnsi="Times New Roman" w:cs="Times New Roman"/>
          <w:b/>
          <w:bCs/>
          <w:sz w:val="24"/>
          <w:szCs w:val="24"/>
        </w:rPr>
        <w:t>The Base Residual Auction</w:t>
      </w:r>
    </w:p>
    <w:p w14:paraId="2D716407" w14:textId="502E9211" w:rsidR="005B1E9A" w:rsidRPr="00E72036" w:rsidRDefault="00724FD2" w:rsidP="00C50051">
      <w:pPr>
        <w:rPr>
          <w:rFonts w:ascii="Times New Roman" w:hAnsi="Times New Roman" w:cs="Times New Roman"/>
        </w:rPr>
      </w:pPr>
      <w:r w:rsidRPr="00E72036">
        <w:rPr>
          <w:rFonts w:ascii="Times New Roman" w:hAnsi="Times New Roman" w:cs="Times New Roman"/>
        </w:rPr>
        <w:t>PJM runs a forward capacity auction roughly three years ahead of each delivery year. All resource types</w:t>
      </w:r>
      <w:r w:rsidR="00D962EC" w:rsidRPr="00E72036">
        <w:rPr>
          <w:rFonts w:ascii="Times New Roman" w:hAnsi="Times New Roman" w:cs="Times New Roman"/>
        </w:rPr>
        <w:t xml:space="preserve"> (</w:t>
      </w:r>
      <w:r w:rsidRPr="00E72036">
        <w:rPr>
          <w:rFonts w:ascii="Times New Roman" w:hAnsi="Times New Roman" w:cs="Times New Roman"/>
        </w:rPr>
        <w:t>gas, nuclear, solar, storage, demand response</w:t>
      </w:r>
      <w:r w:rsidR="00D962EC" w:rsidRPr="00E72036">
        <w:rPr>
          <w:rFonts w:ascii="Times New Roman" w:hAnsi="Times New Roman" w:cs="Times New Roman"/>
        </w:rPr>
        <w:t xml:space="preserve">) </w:t>
      </w:r>
      <w:r w:rsidRPr="00E72036">
        <w:rPr>
          <w:rFonts w:ascii="Times New Roman" w:hAnsi="Times New Roman" w:cs="Times New Roman"/>
        </w:rPr>
        <w:t>compete on the same $/MW-day basis. PJM constructs a Variable Resource Requirement (VRR) curve that represents how much capacity the system needs, and resources bid to fill it. The auction clears at a single price for the RTO</w:t>
      </w:r>
      <w:r w:rsidR="00712924" w:rsidRPr="00E72036">
        <w:rPr>
          <w:rFonts w:ascii="Times New Roman" w:hAnsi="Times New Roman" w:cs="Times New Roman"/>
        </w:rPr>
        <w:t xml:space="preserve">, </w:t>
      </w:r>
      <w:r w:rsidRPr="00E72036">
        <w:rPr>
          <w:rFonts w:ascii="Times New Roman" w:hAnsi="Times New Roman" w:cs="Times New Roman"/>
        </w:rPr>
        <w:t>with possible locational adders for constrained zones</w:t>
      </w:r>
      <w:r w:rsidR="00712924" w:rsidRPr="00E72036">
        <w:rPr>
          <w:rFonts w:ascii="Times New Roman" w:hAnsi="Times New Roman" w:cs="Times New Roman"/>
        </w:rPr>
        <w:t xml:space="preserve"> called Locational Deliverability Areas (of which ComEd territory is now considered one of these constrained zones)</w:t>
      </w:r>
      <w:r w:rsidRPr="00E72036">
        <w:rPr>
          <w:rFonts w:ascii="Times New Roman" w:hAnsi="Times New Roman" w:cs="Times New Roman"/>
        </w:rPr>
        <w:t>.</w:t>
      </w:r>
    </w:p>
    <w:p w14:paraId="59368708" w14:textId="155CF3BF" w:rsidR="00194B68" w:rsidRPr="00E72036" w:rsidRDefault="00724FD2" w:rsidP="00C50051">
      <w:pPr>
        <w:rPr>
          <w:rFonts w:ascii="Times New Roman" w:hAnsi="Times New Roman" w:cs="Times New Roman"/>
        </w:rPr>
      </w:pPr>
      <w:r w:rsidRPr="00E72036">
        <w:rPr>
          <w:rFonts w:ascii="Times New Roman" w:hAnsi="Times New Roman" w:cs="Times New Roman"/>
        </w:rPr>
        <w:lastRenderedPageBreak/>
        <w:t xml:space="preserve">For the 2027/2028 delivery year, the auction cleared at </w:t>
      </w:r>
      <w:r w:rsidR="00025213" w:rsidRPr="00E72036">
        <w:rPr>
          <w:rFonts w:ascii="Times New Roman" w:hAnsi="Times New Roman" w:cs="Times New Roman"/>
        </w:rPr>
        <w:t>the FERC-approved price cap (</w:t>
      </w:r>
      <w:r w:rsidRPr="00E72036">
        <w:rPr>
          <w:rFonts w:ascii="Times New Roman" w:hAnsi="Times New Roman" w:cs="Times New Roman"/>
        </w:rPr>
        <w:t>$333.44/MW-day</w:t>
      </w:r>
      <w:r w:rsidR="00025213" w:rsidRPr="00E72036">
        <w:rPr>
          <w:rFonts w:ascii="Times New Roman" w:hAnsi="Times New Roman" w:cs="Times New Roman"/>
        </w:rPr>
        <w:t>)</w:t>
      </w:r>
      <w:r w:rsidRPr="00E72036">
        <w:rPr>
          <w:rFonts w:ascii="Times New Roman" w:hAnsi="Times New Roman" w:cs="Times New Roman"/>
        </w:rPr>
        <w:t xml:space="preserve"> for the entire PJM footprint.</w:t>
      </w:r>
      <w:r w:rsidR="00986F73" w:rsidRPr="00E72036">
        <w:rPr>
          <w:rStyle w:val="FootnoteReference"/>
          <w:rFonts w:ascii="Times New Roman" w:hAnsi="Times New Roman" w:cs="Times New Roman"/>
        </w:rPr>
        <w:footnoteReference w:id="2"/>
      </w:r>
      <w:r w:rsidRPr="00E72036">
        <w:rPr>
          <w:rFonts w:ascii="Times New Roman" w:hAnsi="Times New Roman" w:cs="Times New Roman"/>
        </w:rPr>
        <w:t xml:space="preserve"> This translates to roughly $121,700/MW-year. The cap has been binding for three consecutive auctions, which </w:t>
      </w:r>
      <w:proofErr w:type="gramStart"/>
      <w:r w:rsidRPr="00E72036">
        <w:rPr>
          <w:rFonts w:ascii="Times New Roman" w:hAnsi="Times New Roman" w:cs="Times New Roman"/>
        </w:rPr>
        <w:t>tells</w:t>
      </w:r>
      <w:proofErr w:type="gramEnd"/>
      <w:r w:rsidRPr="00E72036">
        <w:rPr>
          <w:rFonts w:ascii="Times New Roman" w:hAnsi="Times New Roman" w:cs="Times New Roman"/>
        </w:rPr>
        <w:t xml:space="preserve"> </w:t>
      </w:r>
      <w:r w:rsidR="003A2269" w:rsidRPr="00E72036">
        <w:rPr>
          <w:rFonts w:ascii="Times New Roman" w:hAnsi="Times New Roman" w:cs="Times New Roman"/>
        </w:rPr>
        <w:t>us in dollar terms what we already know</w:t>
      </w:r>
      <w:r w:rsidR="00847CA5">
        <w:rPr>
          <w:rFonts w:ascii="Times New Roman" w:hAnsi="Times New Roman" w:cs="Times New Roman"/>
        </w:rPr>
        <w:t xml:space="preserve"> from my research in the fall</w:t>
      </w:r>
      <w:r w:rsidR="003A2269" w:rsidRPr="00E72036">
        <w:rPr>
          <w:rFonts w:ascii="Times New Roman" w:hAnsi="Times New Roman" w:cs="Times New Roman"/>
        </w:rPr>
        <w:t>:</w:t>
      </w:r>
      <w:r w:rsidRPr="00E72036">
        <w:rPr>
          <w:rFonts w:ascii="Times New Roman" w:hAnsi="Times New Roman" w:cs="Times New Roman"/>
        </w:rPr>
        <w:t xml:space="preserve"> the system is </w:t>
      </w:r>
      <w:proofErr w:type="gramStart"/>
      <w:r w:rsidRPr="00E72036">
        <w:rPr>
          <w:rFonts w:ascii="Times New Roman" w:hAnsi="Times New Roman" w:cs="Times New Roman"/>
        </w:rPr>
        <w:t>supply-constrained</w:t>
      </w:r>
      <w:proofErr w:type="gramEnd"/>
      <w:r w:rsidRPr="00E72036">
        <w:rPr>
          <w:rFonts w:ascii="Times New Roman" w:hAnsi="Times New Roman" w:cs="Times New Roman"/>
        </w:rPr>
        <w:t>.</w:t>
      </w:r>
      <w:r w:rsidR="00A24C6D" w:rsidRPr="00E72036">
        <w:rPr>
          <w:rStyle w:val="FootnoteReference"/>
          <w:rFonts w:ascii="Times New Roman" w:hAnsi="Times New Roman" w:cs="Times New Roman"/>
        </w:rPr>
        <w:footnoteReference w:id="3"/>
      </w:r>
      <w:r w:rsidR="003A2269" w:rsidRPr="00E72036">
        <w:rPr>
          <w:rFonts w:ascii="Times New Roman" w:hAnsi="Times New Roman" w:cs="Times New Roman"/>
        </w:rPr>
        <w:t xml:space="preserve"> </w:t>
      </w:r>
    </w:p>
    <w:p w14:paraId="71C77ADB" w14:textId="77777777" w:rsidR="00E72036" w:rsidRDefault="00E72036" w:rsidP="00C50051">
      <w:pPr>
        <w:rPr>
          <w:rFonts w:ascii="Times New Roman" w:hAnsi="Times New Roman" w:cs="Times New Roman"/>
          <w:i/>
          <w:iCs/>
          <w:color w:val="0070C0"/>
        </w:rPr>
      </w:pPr>
    </w:p>
    <w:p w14:paraId="2D716408" w14:textId="5CDBA7F6" w:rsidR="005B1E9A" w:rsidRPr="00E72036" w:rsidRDefault="005A544B" w:rsidP="00C50051">
      <w:pPr>
        <w:rPr>
          <w:rFonts w:ascii="Times New Roman" w:hAnsi="Times New Roman" w:cs="Times New Roman"/>
          <w:i/>
          <w:iCs/>
          <w:color w:val="0070C0"/>
        </w:rPr>
      </w:pPr>
      <w:r w:rsidRPr="00E72036">
        <w:rPr>
          <w:rFonts w:ascii="Times New Roman" w:hAnsi="Times New Roman" w:cs="Times New Roman"/>
          <w:i/>
          <w:iCs/>
          <w:color w:val="0070C0"/>
        </w:rPr>
        <w:t xml:space="preserve">Quick BRA aside: </w:t>
      </w:r>
      <w:r w:rsidR="003A2269" w:rsidRPr="00E72036">
        <w:rPr>
          <w:rFonts w:ascii="Times New Roman" w:hAnsi="Times New Roman" w:cs="Times New Roman"/>
          <w:i/>
          <w:iCs/>
          <w:color w:val="0070C0"/>
        </w:rPr>
        <w:t xml:space="preserve">There is currently significant debate over what to do about </w:t>
      </w:r>
      <w:r w:rsidRPr="00E72036">
        <w:rPr>
          <w:rFonts w:ascii="Times New Roman" w:hAnsi="Times New Roman" w:cs="Times New Roman"/>
          <w:i/>
          <w:iCs/>
          <w:color w:val="0070C0"/>
        </w:rPr>
        <w:t>these massive capacity market clearing prices</w:t>
      </w:r>
      <w:r w:rsidR="00F32C61" w:rsidRPr="00E72036">
        <w:rPr>
          <w:rFonts w:ascii="Times New Roman" w:hAnsi="Times New Roman" w:cs="Times New Roman"/>
          <w:i/>
          <w:iCs/>
          <w:color w:val="0070C0"/>
        </w:rPr>
        <w:t xml:space="preserve"> from a</w:t>
      </w:r>
      <w:r w:rsidRPr="00E72036">
        <w:rPr>
          <w:rFonts w:ascii="Times New Roman" w:hAnsi="Times New Roman" w:cs="Times New Roman"/>
          <w:i/>
          <w:iCs/>
          <w:color w:val="0070C0"/>
        </w:rPr>
        <w:t>n</w:t>
      </w:r>
      <w:r w:rsidR="00F32C61" w:rsidRPr="00E72036">
        <w:rPr>
          <w:rFonts w:ascii="Times New Roman" w:hAnsi="Times New Roman" w:cs="Times New Roman"/>
          <w:i/>
          <w:iCs/>
          <w:color w:val="0070C0"/>
        </w:rPr>
        <w:t xml:space="preserve"> auction standpoint. From what I’ve read, had there not been a price cap in 27/28 auction it is assumed that ratepayers would have been on the hook for $26 billion dollars of capacity procurement.</w:t>
      </w:r>
      <w:r w:rsidR="009750EE" w:rsidRPr="00E72036">
        <w:rPr>
          <w:rStyle w:val="FootnoteReference"/>
          <w:rFonts w:ascii="Times New Roman" w:hAnsi="Times New Roman" w:cs="Times New Roman"/>
          <w:i/>
          <w:iCs/>
          <w:color w:val="0070C0"/>
        </w:rPr>
        <w:footnoteReference w:id="4"/>
      </w:r>
      <w:r w:rsidR="00F32C61" w:rsidRPr="00E72036">
        <w:rPr>
          <w:rFonts w:ascii="Times New Roman" w:hAnsi="Times New Roman" w:cs="Times New Roman"/>
          <w:i/>
          <w:iCs/>
          <w:color w:val="0070C0"/>
        </w:rPr>
        <w:t xml:space="preserve"> With that cap</w:t>
      </w:r>
      <w:r w:rsidRPr="00E72036">
        <w:rPr>
          <w:rFonts w:ascii="Times New Roman" w:hAnsi="Times New Roman" w:cs="Times New Roman"/>
          <w:i/>
          <w:iCs/>
          <w:color w:val="0070C0"/>
        </w:rPr>
        <w:t xml:space="preserve"> that hit,</w:t>
      </w:r>
      <w:r w:rsidR="00F32C61" w:rsidRPr="00E72036">
        <w:rPr>
          <w:rFonts w:ascii="Times New Roman" w:hAnsi="Times New Roman" w:cs="Times New Roman"/>
          <w:i/>
          <w:iCs/>
          <w:color w:val="0070C0"/>
        </w:rPr>
        <w:t xml:space="preserve"> </w:t>
      </w:r>
      <w:r w:rsidR="00194B68" w:rsidRPr="00E72036">
        <w:rPr>
          <w:rFonts w:ascii="Times New Roman" w:hAnsi="Times New Roman" w:cs="Times New Roman"/>
          <w:i/>
          <w:iCs/>
          <w:color w:val="0070C0"/>
        </w:rPr>
        <w:t>they are</w:t>
      </w:r>
      <w:r w:rsidRPr="00E72036">
        <w:rPr>
          <w:rFonts w:ascii="Times New Roman" w:hAnsi="Times New Roman" w:cs="Times New Roman"/>
          <w:i/>
          <w:iCs/>
          <w:color w:val="0070C0"/>
        </w:rPr>
        <w:t xml:space="preserve"> still</w:t>
      </w:r>
      <w:r w:rsidR="00194B68" w:rsidRPr="00E72036">
        <w:rPr>
          <w:rFonts w:ascii="Times New Roman" w:hAnsi="Times New Roman" w:cs="Times New Roman"/>
          <w:i/>
          <w:iCs/>
          <w:color w:val="0070C0"/>
        </w:rPr>
        <w:t xml:space="preserve"> on the hook for $16 </w:t>
      </w:r>
      <w:proofErr w:type="gramStart"/>
      <w:r w:rsidR="00194B68" w:rsidRPr="00E72036">
        <w:rPr>
          <w:rFonts w:ascii="Times New Roman" w:hAnsi="Times New Roman" w:cs="Times New Roman"/>
          <w:i/>
          <w:iCs/>
          <w:color w:val="0070C0"/>
        </w:rPr>
        <w:t>billion of</w:t>
      </w:r>
      <w:proofErr w:type="gramEnd"/>
      <w:r w:rsidR="00194B68" w:rsidRPr="00E72036">
        <w:rPr>
          <w:rFonts w:ascii="Times New Roman" w:hAnsi="Times New Roman" w:cs="Times New Roman"/>
          <w:i/>
          <w:iCs/>
          <w:color w:val="0070C0"/>
        </w:rPr>
        <w:t xml:space="preserve"> capacity procu</w:t>
      </w:r>
      <w:r w:rsidRPr="00E72036">
        <w:rPr>
          <w:rFonts w:ascii="Times New Roman" w:hAnsi="Times New Roman" w:cs="Times New Roman"/>
          <w:i/>
          <w:iCs/>
          <w:color w:val="0070C0"/>
        </w:rPr>
        <w:t>rement</w:t>
      </w:r>
      <w:r w:rsidR="003A2269" w:rsidRPr="00E72036">
        <w:rPr>
          <w:rFonts w:ascii="Times New Roman" w:hAnsi="Times New Roman" w:cs="Times New Roman"/>
          <w:i/>
          <w:iCs/>
          <w:color w:val="0070C0"/>
        </w:rPr>
        <w:t>.</w:t>
      </w:r>
      <w:r w:rsidR="000C438F" w:rsidRPr="00E72036">
        <w:rPr>
          <w:rFonts w:ascii="Times New Roman" w:hAnsi="Times New Roman" w:cs="Times New Roman"/>
          <w:i/>
          <w:iCs/>
          <w:color w:val="0070C0"/>
        </w:rPr>
        <w:t xml:space="preserve"> </w:t>
      </w:r>
      <w:r w:rsidR="00194B68" w:rsidRPr="00E72036">
        <w:rPr>
          <w:rFonts w:ascii="Times New Roman" w:hAnsi="Times New Roman" w:cs="Times New Roman"/>
          <w:i/>
          <w:iCs/>
          <w:color w:val="0070C0"/>
        </w:rPr>
        <w:t xml:space="preserve">From a market perspective, capping the price of the auction blunts the </w:t>
      </w:r>
      <w:r w:rsidR="00BF52FB" w:rsidRPr="00E72036">
        <w:rPr>
          <w:rFonts w:ascii="Times New Roman" w:hAnsi="Times New Roman" w:cs="Times New Roman"/>
          <w:i/>
          <w:iCs/>
          <w:color w:val="0070C0"/>
        </w:rPr>
        <w:t>“build here” signal to developers. However,</w:t>
      </w:r>
      <w:r w:rsidR="000F5509" w:rsidRPr="00E72036">
        <w:rPr>
          <w:rFonts w:ascii="Times New Roman" w:hAnsi="Times New Roman" w:cs="Times New Roman"/>
          <w:i/>
          <w:iCs/>
          <w:color w:val="0070C0"/>
        </w:rPr>
        <w:t xml:space="preserve"> given</w:t>
      </w:r>
      <w:r w:rsidR="00BF52FB" w:rsidRPr="00E72036">
        <w:rPr>
          <w:rFonts w:ascii="Times New Roman" w:hAnsi="Times New Roman" w:cs="Times New Roman"/>
          <w:i/>
          <w:iCs/>
          <w:color w:val="0070C0"/>
        </w:rPr>
        <w:t xml:space="preserve"> </w:t>
      </w:r>
      <w:r w:rsidR="000F5509" w:rsidRPr="00E72036">
        <w:rPr>
          <w:rFonts w:ascii="Times New Roman" w:hAnsi="Times New Roman" w:cs="Times New Roman"/>
          <w:i/>
          <w:iCs/>
          <w:color w:val="0070C0"/>
        </w:rPr>
        <w:t>what I’ve learned in my</w:t>
      </w:r>
      <w:r w:rsidR="00BF52FB" w:rsidRPr="00E72036">
        <w:rPr>
          <w:rFonts w:ascii="Times New Roman" w:hAnsi="Times New Roman" w:cs="Times New Roman"/>
          <w:i/>
          <w:iCs/>
          <w:color w:val="0070C0"/>
        </w:rPr>
        <w:t xml:space="preserve"> research over the past few months I do not believe that </w:t>
      </w:r>
      <w:r w:rsidRPr="00E72036">
        <w:rPr>
          <w:rFonts w:ascii="Times New Roman" w:hAnsi="Times New Roman" w:cs="Times New Roman"/>
          <w:i/>
          <w:iCs/>
          <w:color w:val="0070C0"/>
        </w:rPr>
        <w:t xml:space="preserve">there even is </w:t>
      </w:r>
      <w:proofErr w:type="gramStart"/>
      <w:r w:rsidRPr="00E72036">
        <w:rPr>
          <w:rFonts w:ascii="Times New Roman" w:hAnsi="Times New Roman" w:cs="Times New Roman"/>
          <w:i/>
          <w:iCs/>
          <w:color w:val="0070C0"/>
        </w:rPr>
        <w:t>supply</w:t>
      </w:r>
      <w:proofErr w:type="gramEnd"/>
      <w:r w:rsidRPr="00E72036">
        <w:rPr>
          <w:rFonts w:ascii="Times New Roman" w:hAnsi="Times New Roman" w:cs="Times New Roman"/>
          <w:i/>
          <w:iCs/>
          <w:color w:val="0070C0"/>
        </w:rPr>
        <w:t xml:space="preserve"> to respond to that signal here in PJM due to </w:t>
      </w:r>
      <w:proofErr w:type="gramStart"/>
      <w:r w:rsidRPr="00E72036">
        <w:rPr>
          <w:rFonts w:ascii="Times New Roman" w:hAnsi="Times New Roman" w:cs="Times New Roman"/>
          <w:i/>
          <w:iCs/>
          <w:color w:val="0070C0"/>
        </w:rPr>
        <w:t>a number of</w:t>
      </w:r>
      <w:proofErr w:type="gramEnd"/>
      <w:r w:rsidRPr="00E72036">
        <w:rPr>
          <w:rFonts w:ascii="Times New Roman" w:hAnsi="Times New Roman" w:cs="Times New Roman"/>
          <w:i/>
          <w:iCs/>
          <w:color w:val="0070C0"/>
        </w:rPr>
        <w:t xml:space="preserve"> hard constraints. </w:t>
      </w:r>
      <w:r w:rsidR="00186136" w:rsidRPr="00E72036">
        <w:rPr>
          <w:rFonts w:ascii="Times New Roman" w:hAnsi="Times New Roman" w:cs="Times New Roman"/>
          <w:i/>
          <w:iCs/>
          <w:color w:val="0070C0"/>
        </w:rPr>
        <w:t>With that said, that sets the table for our DR discussion as it should help alleviate some of this capacity market bottleneck in a cost-effective way.</w:t>
      </w:r>
    </w:p>
    <w:p w14:paraId="65EADF97" w14:textId="77777777" w:rsidR="00E72036" w:rsidRDefault="00E72036" w:rsidP="00C50051">
      <w:pPr>
        <w:rPr>
          <w:rFonts w:ascii="Times New Roman" w:hAnsi="Times New Roman" w:cs="Times New Roman"/>
        </w:rPr>
      </w:pPr>
    </w:p>
    <w:p w14:paraId="2D716409" w14:textId="0CC11262" w:rsidR="005B1E9A" w:rsidRPr="00E72036" w:rsidRDefault="00724FD2" w:rsidP="00C50051">
      <w:pPr>
        <w:rPr>
          <w:rFonts w:ascii="Times New Roman" w:hAnsi="Times New Roman" w:cs="Times New Roman"/>
        </w:rPr>
      </w:pPr>
      <w:r w:rsidRPr="00E72036">
        <w:rPr>
          <w:rFonts w:ascii="Times New Roman" w:hAnsi="Times New Roman" w:cs="Times New Roman"/>
        </w:rPr>
        <w:t>There is no hard MW cap on DR participation. DR offers compete alongside everything else</w:t>
      </w:r>
      <w:r w:rsidR="000F5509" w:rsidRPr="00E72036">
        <w:rPr>
          <w:rFonts w:ascii="Times New Roman" w:hAnsi="Times New Roman" w:cs="Times New Roman"/>
        </w:rPr>
        <w:t xml:space="preserve"> in the capacity auction</w:t>
      </w:r>
      <w:r w:rsidRPr="00E72036">
        <w:rPr>
          <w:rFonts w:ascii="Times New Roman" w:hAnsi="Times New Roman" w:cs="Times New Roman"/>
        </w:rPr>
        <w:t>. In the 2027/2028 BRA, about 7,299 MW of DR cleared</w:t>
      </w:r>
      <w:r w:rsidR="000F5509" w:rsidRPr="00E72036">
        <w:rPr>
          <w:rFonts w:ascii="Times New Roman" w:hAnsi="Times New Roman" w:cs="Times New Roman"/>
        </w:rPr>
        <w:t xml:space="preserve"> (</w:t>
      </w:r>
      <w:r w:rsidRPr="00E72036">
        <w:rPr>
          <w:rFonts w:ascii="Times New Roman" w:hAnsi="Times New Roman" w:cs="Times New Roman"/>
        </w:rPr>
        <w:t>roughly 5% of total cleared capacity</w:t>
      </w:r>
      <w:r w:rsidR="000F5509" w:rsidRPr="00E72036">
        <w:rPr>
          <w:rFonts w:ascii="Times New Roman" w:hAnsi="Times New Roman" w:cs="Times New Roman"/>
        </w:rPr>
        <w:t>)</w:t>
      </w:r>
      <w:r w:rsidRPr="00E72036">
        <w:rPr>
          <w:rFonts w:ascii="Times New Roman" w:hAnsi="Times New Roman" w:cs="Times New Roman"/>
        </w:rPr>
        <w:t>.</w:t>
      </w:r>
      <w:r w:rsidR="00891380" w:rsidRPr="00E72036">
        <w:rPr>
          <w:rStyle w:val="FootnoteReference"/>
          <w:rFonts w:ascii="Times New Roman" w:hAnsi="Times New Roman" w:cs="Times New Roman"/>
        </w:rPr>
        <w:footnoteReference w:id="5"/>
      </w:r>
    </w:p>
    <w:p w14:paraId="08BA0143" w14:textId="77777777" w:rsidR="00E72036" w:rsidRDefault="00E72036" w:rsidP="00C50051">
      <w:pPr>
        <w:rPr>
          <w:rFonts w:ascii="Times New Roman" w:hAnsi="Times New Roman" w:cs="Times New Roman"/>
        </w:rPr>
      </w:pPr>
    </w:p>
    <w:p w14:paraId="2D71640B" w14:textId="7E908136" w:rsidR="005B1E9A" w:rsidRPr="00E72036" w:rsidRDefault="00724FD2" w:rsidP="00C50051">
      <w:pPr>
        <w:rPr>
          <w:rFonts w:ascii="Times New Roman" w:hAnsi="Times New Roman" w:cs="Times New Roman"/>
        </w:rPr>
      </w:pPr>
      <w:r w:rsidRPr="00E72036">
        <w:rPr>
          <w:rFonts w:ascii="Times New Roman" w:hAnsi="Times New Roman" w:cs="Times New Roman"/>
        </w:rPr>
        <w:t>If you clear in the BRA, you are paid the clearing price for every day of the delivery year. It is not a per-event payment. It is an annual revenue stream (paid monthly) for being available. A 100 MW DR resource with 92% ELCC can offer 92 MW UCAP. At $333.44/MW-day, that’s approximately $11.2 million per year in capacity revenue</w:t>
      </w:r>
      <w:r w:rsidR="000F5509" w:rsidRPr="00E72036">
        <w:rPr>
          <w:rFonts w:ascii="Times New Roman" w:hAnsi="Times New Roman" w:cs="Times New Roman"/>
        </w:rPr>
        <w:t xml:space="preserve"> </w:t>
      </w:r>
      <w:r w:rsidRPr="00E72036">
        <w:rPr>
          <w:rFonts w:ascii="Times New Roman" w:hAnsi="Times New Roman" w:cs="Times New Roman"/>
        </w:rPr>
        <w:t>regardless of whether PJM dispatches you zero times or fifty times.</w:t>
      </w:r>
      <w:r w:rsidR="000F5509" w:rsidRPr="00E72036">
        <w:rPr>
          <w:rFonts w:ascii="Times New Roman" w:hAnsi="Times New Roman" w:cs="Times New Roman"/>
        </w:rPr>
        <w:t xml:space="preserve"> This </w:t>
      </w:r>
      <w:r w:rsidR="00FF763A" w:rsidRPr="00E72036">
        <w:rPr>
          <w:rFonts w:ascii="Times New Roman" w:hAnsi="Times New Roman" w:cs="Times New Roman"/>
        </w:rPr>
        <w:t xml:space="preserve">is one of the reasons why our analysis of peak </w:t>
      </w:r>
      <w:proofErr w:type="gramStart"/>
      <w:r w:rsidR="00C953A6" w:rsidRPr="00E72036">
        <w:rPr>
          <w:rFonts w:ascii="Times New Roman" w:hAnsi="Times New Roman" w:cs="Times New Roman"/>
        </w:rPr>
        <w:t>stress</w:t>
      </w:r>
      <w:proofErr w:type="gramEnd"/>
      <w:r w:rsidR="001C4712" w:rsidRPr="00E72036">
        <w:rPr>
          <w:rFonts w:ascii="Times New Roman" w:hAnsi="Times New Roman" w:cs="Times New Roman"/>
        </w:rPr>
        <w:t xml:space="preserve"> </w:t>
      </w:r>
      <w:r w:rsidR="00FF763A" w:rsidRPr="00E72036">
        <w:rPr>
          <w:rFonts w:ascii="Times New Roman" w:hAnsi="Times New Roman" w:cs="Times New Roman"/>
        </w:rPr>
        <w:t xml:space="preserve">event frequency and duration is so important. </w:t>
      </w:r>
    </w:p>
    <w:p w14:paraId="2D71640C" w14:textId="47A96E72" w:rsidR="005B1E9A" w:rsidRPr="00E72036" w:rsidRDefault="00724FD2" w:rsidP="00C50051">
      <w:pPr>
        <w:rPr>
          <w:rFonts w:ascii="Times New Roman" w:hAnsi="Times New Roman" w:cs="Times New Roman"/>
        </w:rPr>
      </w:pPr>
      <w:r w:rsidRPr="00E72036">
        <w:rPr>
          <w:rFonts w:ascii="Times New Roman" w:hAnsi="Times New Roman" w:cs="Times New Roman"/>
        </w:rPr>
        <w:t>The obligation is that when PJM does call on you during a Performance Assessment Interval (PAI), you must deliver. If you fail, you face Non-Performance Charges that claw back</w:t>
      </w:r>
      <w:r w:rsidR="00C953A6" w:rsidRPr="00E72036">
        <w:rPr>
          <w:rFonts w:ascii="Times New Roman" w:hAnsi="Times New Roman" w:cs="Times New Roman"/>
        </w:rPr>
        <w:t xml:space="preserve"> a fee that is 3-4x the capacity payments at large</w:t>
      </w:r>
      <w:r w:rsidRPr="00E72036">
        <w:rPr>
          <w:rFonts w:ascii="Times New Roman" w:hAnsi="Times New Roman" w:cs="Times New Roman"/>
        </w:rPr>
        <w:t>. These penalties are automatic.</w:t>
      </w:r>
      <w:r w:rsidR="009D7932" w:rsidRPr="00E72036">
        <w:rPr>
          <w:rStyle w:val="FootnoteReference"/>
          <w:rFonts w:ascii="Times New Roman" w:hAnsi="Times New Roman" w:cs="Times New Roman"/>
        </w:rPr>
        <w:footnoteReference w:id="6"/>
      </w:r>
    </w:p>
    <w:p w14:paraId="157076A0" w14:textId="77777777" w:rsidR="00822FCB" w:rsidRDefault="00822FCB" w:rsidP="00C50051">
      <w:pPr>
        <w:rPr>
          <w:rFonts w:ascii="Times New Roman" w:hAnsi="Times New Roman" w:cs="Times New Roman"/>
        </w:rPr>
      </w:pPr>
    </w:p>
    <w:p w14:paraId="3DEE597A" w14:textId="3B02EE87" w:rsidR="00E72036" w:rsidRPr="00822FCB" w:rsidRDefault="00C953A6" w:rsidP="00C50051">
      <w:pPr>
        <w:rPr>
          <w:rFonts w:ascii="Times New Roman" w:hAnsi="Times New Roman" w:cs="Times New Roman"/>
          <w:b/>
          <w:bCs/>
        </w:rPr>
      </w:pPr>
      <w:r w:rsidRPr="00822FCB">
        <w:rPr>
          <w:rFonts w:ascii="Times New Roman" w:hAnsi="Times New Roman" w:cs="Times New Roman"/>
          <w:b/>
          <w:bCs/>
        </w:rPr>
        <w:t>Dispatch Frequency</w:t>
      </w:r>
    </w:p>
    <w:p w14:paraId="2D71640E" w14:textId="62CF1891"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Historically, PJM has called 1–2 emergency dispatches per year in any given zone. Since 2007, PJM has called </w:t>
      </w:r>
      <w:r w:rsidR="00B90725" w:rsidRPr="00E72036">
        <w:rPr>
          <w:rFonts w:ascii="Times New Roman" w:hAnsi="Times New Roman" w:cs="Times New Roman"/>
        </w:rPr>
        <w:t>about</w:t>
      </w:r>
      <w:r w:rsidRPr="00E72036">
        <w:rPr>
          <w:rFonts w:ascii="Times New Roman" w:hAnsi="Times New Roman" w:cs="Times New Roman"/>
        </w:rPr>
        <w:t xml:space="preserve"> 70 total emergency dispatches across the entire footprint. There have been very few </w:t>
      </w:r>
      <w:r w:rsidRPr="00E72036">
        <w:rPr>
          <w:rFonts w:ascii="Times New Roman" w:hAnsi="Times New Roman" w:cs="Times New Roman"/>
        </w:rPr>
        <w:lastRenderedPageBreak/>
        <w:t>mandatory events since 2014.</w:t>
      </w:r>
      <w:r w:rsidR="005D29B7" w:rsidRPr="00E72036">
        <w:rPr>
          <w:rStyle w:val="FootnoteReference"/>
          <w:rFonts w:ascii="Times New Roman" w:hAnsi="Times New Roman" w:cs="Times New Roman"/>
        </w:rPr>
        <w:footnoteReference w:id="7"/>
      </w:r>
      <w:r w:rsidRPr="00E72036">
        <w:rPr>
          <w:rFonts w:ascii="Times New Roman" w:hAnsi="Times New Roman" w:cs="Times New Roman"/>
        </w:rPr>
        <w:t xml:space="preserve"> The last major mandatory event was Winter Storm Elliott in December 2022, which lasted approximately 17 hours total.</w:t>
      </w:r>
      <w:r w:rsidR="005D29B7" w:rsidRPr="00E72036">
        <w:rPr>
          <w:rStyle w:val="FootnoteReference"/>
          <w:rFonts w:ascii="Times New Roman" w:hAnsi="Times New Roman" w:cs="Times New Roman"/>
        </w:rPr>
        <w:footnoteReference w:id="8"/>
      </w:r>
    </w:p>
    <w:p w14:paraId="147DA39A" w14:textId="77777777" w:rsidR="00E72036" w:rsidRDefault="00E72036" w:rsidP="00C50051">
      <w:pPr>
        <w:rPr>
          <w:rFonts w:ascii="Times New Roman" w:hAnsi="Times New Roman" w:cs="Times New Roman"/>
        </w:rPr>
      </w:pPr>
    </w:p>
    <w:p w14:paraId="5018CDEC" w14:textId="7E513297" w:rsidR="001A5A10" w:rsidRDefault="00724FD2" w:rsidP="00C50051">
      <w:pPr>
        <w:rPr>
          <w:rFonts w:ascii="Times New Roman" w:hAnsi="Times New Roman" w:cs="Times New Roman"/>
        </w:rPr>
      </w:pPr>
      <w:r w:rsidRPr="00E72036">
        <w:rPr>
          <w:rFonts w:ascii="Times New Roman" w:hAnsi="Times New Roman" w:cs="Times New Roman"/>
        </w:rPr>
        <w:t>This is critical for the expected value calculation. You’re collecting ~$11.2M/year in capacity revenue and your expected cost of actual dispatch is maybe 1–2 events × 4–8 hours each × your mechanism cost per hour. Even in a worst-case year like Elliott, you’re talking about 17 hours of dispatch cost against a full year of payment. The revenue-to-cost ratio is massively favorable for any DC that can deliver via any of the three prongs.</w:t>
      </w:r>
      <w:r w:rsidR="005B0B37">
        <w:rPr>
          <w:rFonts w:ascii="Times New Roman" w:hAnsi="Times New Roman" w:cs="Times New Roman"/>
        </w:rPr>
        <w:t xml:space="preserve"> However, it is worth noting that I do not believe this revenue moves the needle at all for the data centers. This expected value calculation is more applicable in the context of assumed risk for the data center operators</w:t>
      </w:r>
      <w:r w:rsidR="001A5A10">
        <w:rPr>
          <w:rFonts w:ascii="Times New Roman" w:hAnsi="Times New Roman" w:cs="Times New Roman"/>
        </w:rPr>
        <w:t>.</w:t>
      </w:r>
    </w:p>
    <w:p w14:paraId="4974CB25" w14:textId="77777777" w:rsidR="001A5A10" w:rsidRDefault="001A5A10" w:rsidP="00C50051">
      <w:pPr>
        <w:rPr>
          <w:rFonts w:ascii="Times New Roman" w:hAnsi="Times New Roman" w:cs="Times New Roman"/>
        </w:rPr>
      </w:pPr>
    </w:p>
    <w:p w14:paraId="5733065E" w14:textId="62A0AF5F" w:rsidR="000D7D82" w:rsidRPr="00E72036" w:rsidRDefault="000D7D82" w:rsidP="00C50051">
      <w:pPr>
        <w:rPr>
          <w:rFonts w:ascii="Times New Roman" w:hAnsi="Times New Roman" w:cs="Times New Roman"/>
        </w:rPr>
      </w:pPr>
      <w:r w:rsidRPr="00E72036">
        <w:rPr>
          <w:rFonts w:ascii="Times New Roman" w:hAnsi="Times New Roman" w:cs="Times New Roman"/>
        </w:rPr>
        <w:t xml:space="preserve">This is particularly important to consider in the context of what we are discussing because we are essentially advocating to shift </w:t>
      </w:r>
      <w:r w:rsidR="002B0F06" w:rsidRPr="00E72036">
        <w:rPr>
          <w:rFonts w:ascii="Times New Roman" w:hAnsi="Times New Roman" w:cs="Times New Roman"/>
        </w:rPr>
        <w:t xml:space="preserve">a significant amount of risk on to the data centers. As they respond to that shift, they must make their own cost-benefit assessments on how much flexibility they are willing to </w:t>
      </w:r>
      <w:r w:rsidR="002D7BB0" w:rsidRPr="00E72036">
        <w:rPr>
          <w:rFonts w:ascii="Times New Roman" w:hAnsi="Times New Roman" w:cs="Times New Roman"/>
        </w:rPr>
        <w:t>offer and that will of course depend on probability of getting called (among other factors).</w:t>
      </w:r>
    </w:p>
    <w:p w14:paraId="2EF2A09B" w14:textId="77777777" w:rsidR="001A5A10" w:rsidRDefault="001A5A10" w:rsidP="00C50051">
      <w:pPr>
        <w:rPr>
          <w:rFonts w:ascii="Times New Roman" w:hAnsi="Times New Roman" w:cs="Times New Roman"/>
        </w:rPr>
      </w:pPr>
    </w:p>
    <w:p w14:paraId="2D716410" w14:textId="5CE74298" w:rsidR="005B1E9A" w:rsidRPr="001A5A10" w:rsidRDefault="00724FD2" w:rsidP="00C50051">
      <w:pPr>
        <w:rPr>
          <w:rFonts w:ascii="Times New Roman" w:hAnsi="Times New Roman" w:cs="Times New Roman"/>
          <w:b/>
          <w:bCs/>
        </w:rPr>
      </w:pPr>
      <w:r w:rsidRPr="001A5A10">
        <w:rPr>
          <w:rFonts w:ascii="Times New Roman" w:hAnsi="Times New Roman" w:cs="Times New Roman"/>
          <w:b/>
          <w:bCs/>
        </w:rPr>
        <w:t>Location and Dispatch</w:t>
      </w:r>
    </w:p>
    <w:p w14:paraId="0630D656" w14:textId="77777777" w:rsidR="00E72036" w:rsidRDefault="00E72036" w:rsidP="00C50051">
      <w:pPr>
        <w:rPr>
          <w:rFonts w:ascii="Times New Roman" w:hAnsi="Times New Roman" w:cs="Times New Roman"/>
        </w:rPr>
      </w:pPr>
    </w:p>
    <w:p w14:paraId="2D716413" w14:textId="61AEB3B3" w:rsidR="005B1E9A" w:rsidRPr="00E72036" w:rsidRDefault="00336122" w:rsidP="00C50051">
      <w:pPr>
        <w:rPr>
          <w:rFonts w:ascii="Times New Roman" w:hAnsi="Times New Roman" w:cs="Times New Roman"/>
        </w:rPr>
      </w:pPr>
      <w:r w:rsidRPr="00E72036">
        <w:rPr>
          <w:rFonts w:ascii="Times New Roman" w:hAnsi="Times New Roman" w:cs="Times New Roman"/>
        </w:rPr>
        <w:t xml:space="preserve">Another important aspect of </w:t>
      </w:r>
      <w:r w:rsidR="00724FD2" w:rsidRPr="00E72036">
        <w:rPr>
          <w:rFonts w:ascii="Times New Roman" w:hAnsi="Times New Roman" w:cs="Times New Roman"/>
        </w:rPr>
        <w:t>DR dispatch is</w:t>
      </w:r>
      <w:r w:rsidRPr="00E72036">
        <w:rPr>
          <w:rFonts w:ascii="Times New Roman" w:hAnsi="Times New Roman" w:cs="Times New Roman"/>
        </w:rPr>
        <w:t xml:space="preserve"> that it is</w:t>
      </w:r>
      <w:r w:rsidR="00724FD2" w:rsidRPr="00E72036">
        <w:rPr>
          <w:rFonts w:ascii="Times New Roman" w:hAnsi="Times New Roman" w:cs="Times New Roman"/>
        </w:rPr>
        <w:t xml:space="preserve"> </w:t>
      </w:r>
      <w:proofErr w:type="gramStart"/>
      <w:r w:rsidR="00724FD2" w:rsidRPr="00E72036">
        <w:rPr>
          <w:rFonts w:ascii="Times New Roman" w:hAnsi="Times New Roman" w:cs="Times New Roman"/>
        </w:rPr>
        <w:t>location-sensitive</w:t>
      </w:r>
      <w:proofErr w:type="gramEnd"/>
      <w:r w:rsidR="00724FD2" w:rsidRPr="00E72036">
        <w:rPr>
          <w:rFonts w:ascii="Times New Roman" w:hAnsi="Times New Roman" w:cs="Times New Roman"/>
        </w:rPr>
        <w:t>. PJM dispatches based on availability, location, dispatch price, and quantity of load reduction needed, subject to transmission constraints. Emergency procedures can be implemented on a Control Zone-specific basis or a subset of a Control Zone.</w:t>
      </w:r>
      <w:r w:rsidR="00EE4EA2" w:rsidRPr="00E72036">
        <w:rPr>
          <w:rStyle w:val="FootnoteReference"/>
          <w:rFonts w:ascii="Times New Roman" w:hAnsi="Times New Roman" w:cs="Times New Roman"/>
        </w:rPr>
        <w:footnoteReference w:id="9"/>
      </w:r>
      <w:r w:rsidR="00724FD2" w:rsidRPr="00E72036">
        <w:rPr>
          <w:rFonts w:ascii="Times New Roman" w:hAnsi="Times New Roman" w:cs="Times New Roman"/>
        </w:rPr>
        <w:t xml:space="preserve"> This means a </w:t>
      </w:r>
      <w:r w:rsidRPr="00E72036">
        <w:rPr>
          <w:rFonts w:ascii="Times New Roman" w:hAnsi="Times New Roman" w:cs="Times New Roman"/>
        </w:rPr>
        <w:t>data center</w:t>
      </w:r>
      <w:r w:rsidR="00724FD2" w:rsidRPr="00E72036">
        <w:rPr>
          <w:rFonts w:ascii="Times New Roman" w:hAnsi="Times New Roman" w:cs="Times New Roman"/>
        </w:rPr>
        <w:t xml:space="preserve"> in ComEd would primarily be dispatched for ComEd-zone or RTO-wide emergencies, not for a localized congestion event in New Jersey. </w:t>
      </w:r>
    </w:p>
    <w:p w14:paraId="5604F1E2" w14:textId="77777777" w:rsidR="00E72036" w:rsidRDefault="00E72036" w:rsidP="00C50051">
      <w:pPr>
        <w:rPr>
          <w:rFonts w:ascii="Times New Roman" w:hAnsi="Times New Roman" w:cs="Times New Roman"/>
          <w:sz w:val="28"/>
          <w:szCs w:val="28"/>
        </w:rPr>
      </w:pPr>
    </w:p>
    <w:p w14:paraId="2C248FFB" w14:textId="1A9B61D5" w:rsidR="003728ED" w:rsidRPr="00E72036" w:rsidRDefault="003728ED" w:rsidP="00C50051">
      <w:pPr>
        <w:rPr>
          <w:rFonts w:ascii="Times New Roman" w:hAnsi="Times New Roman" w:cs="Times New Roman"/>
          <w:b/>
          <w:bCs/>
          <w:sz w:val="28"/>
          <w:szCs w:val="28"/>
        </w:rPr>
      </w:pPr>
      <w:r w:rsidRPr="00E72036">
        <w:rPr>
          <w:rFonts w:ascii="Times New Roman" w:hAnsi="Times New Roman" w:cs="Times New Roman"/>
          <w:b/>
          <w:bCs/>
          <w:sz w:val="28"/>
          <w:szCs w:val="28"/>
        </w:rPr>
        <w:t xml:space="preserve">How PJM Actually Derives the 92% ELCC </w:t>
      </w:r>
      <w:r w:rsidR="00A46E14" w:rsidRPr="00E72036">
        <w:rPr>
          <w:rFonts w:ascii="Times New Roman" w:hAnsi="Times New Roman" w:cs="Times New Roman"/>
          <w:b/>
          <w:bCs/>
          <w:sz w:val="28"/>
          <w:szCs w:val="28"/>
        </w:rPr>
        <w:t>Value</w:t>
      </w:r>
    </w:p>
    <w:p w14:paraId="6A3876AD" w14:textId="77777777" w:rsidR="00E72036" w:rsidRDefault="00E72036" w:rsidP="00C50051">
      <w:pPr>
        <w:rPr>
          <w:rFonts w:ascii="Times New Roman" w:hAnsi="Times New Roman" w:cs="Times New Roman"/>
        </w:rPr>
      </w:pPr>
    </w:p>
    <w:p w14:paraId="3DE3B103" w14:textId="16C04C36" w:rsidR="00A46E14" w:rsidRPr="00E72036" w:rsidRDefault="00A46E14" w:rsidP="00C50051">
      <w:pPr>
        <w:rPr>
          <w:rFonts w:ascii="Times New Roman" w:hAnsi="Times New Roman" w:cs="Times New Roman"/>
        </w:rPr>
      </w:pPr>
      <w:r w:rsidRPr="00E72036">
        <w:rPr>
          <w:rFonts w:ascii="Times New Roman" w:hAnsi="Times New Roman" w:cs="Times New Roman"/>
        </w:rPr>
        <w:t>Key components of the ELCC model:</w:t>
      </w:r>
    </w:p>
    <w:p w14:paraId="2D716415" w14:textId="71D9AB6F" w:rsidR="005B1E9A" w:rsidRPr="00E72036" w:rsidRDefault="00724FD2" w:rsidP="00E72036">
      <w:pPr>
        <w:pStyle w:val="ListParagraph"/>
        <w:numPr>
          <w:ilvl w:val="0"/>
          <w:numId w:val="5"/>
        </w:numPr>
        <w:rPr>
          <w:rFonts w:ascii="Times New Roman" w:hAnsi="Times New Roman" w:cs="Times New Roman"/>
        </w:rPr>
      </w:pPr>
      <w:r w:rsidRPr="00FC45D3">
        <w:rPr>
          <w:rFonts w:ascii="Times New Roman" w:hAnsi="Times New Roman" w:cs="Times New Roman"/>
          <w:b/>
          <w:bCs/>
        </w:rPr>
        <w:t>Dispatch Order</w:t>
      </w:r>
      <w:r w:rsidR="00FC45D3">
        <w:rPr>
          <w:rFonts w:ascii="Times New Roman" w:hAnsi="Times New Roman" w:cs="Times New Roman"/>
          <w:b/>
          <w:bCs/>
        </w:rPr>
        <w:t>:</w:t>
      </w:r>
      <w:r w:rsidRPr="00E72036">
        <w:rPr>
          <w:rFonts w:ascii="Times New Roman" w:hAnsi="Times New Roman" w:cs="Times New Roman"/>
        </w:rPr>
        <w:t xml:space="preserve"> In PJM’s ELCC model, DR is dispatched last</w:t>
      </w:r>
      <w:r w:rsidR="00A46E14" w:rsidRPr="00E72036">
        <w:rPr>
          <w:rFonts w:ascii="Times New Roman" w:hAnsi="Times New Roman" w:cs="Times New Roman"/>
        </w:rPr>
        <w:t xml:space="preserve">, literally </w:t>
      </w:r>
      <w:r w:rsidRPr="00E72036">
        <w:rPr>
          <w:rFonts w:ascii="Times New Roman" w:hAnsi="Times New Roman" w:cs="Times New Roman"/>
        </w:rPr>
        <w:t>position 11 out of 11 in the dispatch stack, after thermals, renewables, all storage durations, and hydro.</w:t>
      </w:r>
      <w:r w:rsidR="002D3963" w:rsidRPr="00E72036">
        <w:rPr>
          <w:rStyle w:val="FootnoteReference"/>
          <w:rFonts w:ascii="Times New Roman" w:hAnsi="Times New Roman" w:cs="Times New Roman"/>
        </w:rPr>
        <w:footnoteReference w:id="10"/>
      </w:r>
      <w:r w:rsidRPr="00E72036">
        <w:rPr>
          <w:rFonts w:ascii="Times New Roman" w:hAnsi="Times New Roman" w:cs="Times New Roman"/>
        </w:rPr>
        <w:t xml:space="preserve"> DR is an emergency </w:t>
      </w:r>
      <w:proofErr w:type="gramStart"/>
      <w:r w:rsidRPr="00E72036">
        <w:rPr>
          <w:rFonts w:ascii="Times New Roman" w:hAnsi="Times New Roman" w:cs="Times New Roman"/>
        </w:rPr>
        <w:t>resource</w:t>
      </w:r>
      <w:proofErr w:type="gramEnd"/>
      <w:r w:rsidR="00170E52" w:rsidRPr="00E72036">
        <w:rPr>
          <w:rFonts w:ascii="Times New Roman" w:hAnsi="Times New Roman" w:cs="Times New Roman"/>
        </w:rPr>
        <w:t xml:space="preserve"> so</w:t>
      </w:r>
      <w:r w:rsidRPr="00E72036">
        <w:rPr>
          <w:rFonts w:ascii="Times New Roman" w:hAnsi="Times New Roman" w:cs="Times New Roman"/>
        </w:rPr>
        <w:t xml:space="preserve"> the model only calls on it after everything else has been exhausted. This means DR only needs to cover residual stress after the entire conventional fleet has fired.</w:t>
      </w:r>
    </w:p>
    <w:p w14:paraId="2D716416" w14:textId="15CB077C" w:rsidR="005B1E9A" w:rsidRPr="00E72036" w:rsidRDefault="00724FD2" w:rsidP="00E72036">
      <w:pPr>
        <w:pStyle w:val="ListParagraph"/>
        <w:numPr>
          <w:ilvl w:val="0"/>
          <w:numId w:val="5"/>
        </w:numPr>
        <w:rPr>
          <w:rFonts w:ascii="Times New Roman" w:hAnsi="Times New Roman" w:cs="Times New Roman"/>
        </w:rPr>
      </w:pPr>
      <w:r w:rsidRPr="0056487C">
        <w:rPr>
          <w:rFonts w:ascii="Times New Roman" w:hAnsi="Times New Roman" w:cs="Times New Roman"/>
          <w:b/>
          <w:bCs/>
        </w:rPr>
        <w:t>Load Adjustment Factor</w:t>
      </w:r>
      <w:r w:rsidR="0056487C">
        <w:rPr>
          <w:rFonts w:ascii="Times New Roman" w:hAnsi="Times New Roman" w:cs="Times New Roman"/>
        </w:rPr>
        <w:t>:</w:t>
      </w:r>
      <w:r w:rsidRPr="00E72036">
        <w:rPr>
          <w:rFonts w:ascii="Times New Roman" w:hAnsi="Times New Roman" w:cs="Times New Roman"/>
        </w:rPr>
        <w:t xml:space="preserve"> DR availability is not modeled as a fixed block. Available DR = Nominated MW × (Hourly Simulated Load / 50/50 Simulated Load).</w:t>
      </w:r>
      <w:r w:rsidR="001307BA" w:rsidRPr="00E72036">
        <w:rPr>
          <w:rStyle w:val="FootnoteReference"/>
          <w:rFonts w:ascii="Times New Roman" w:hAnsi="Times New Roman" w:cs="Times New Roman"/>
        </w:rPr>
        <w:footnoteReference w:id="11"/>
      </w:r>
      <w:r w:rsidRPr="00E72036">
        <w:rPr>
          <w:rFonts w:ascii="Times New Roman" w:hAnsi="Times New Roman" w:cs="Times New Roman"/>
        </w:rPr>
        <w:t xml:space="preserve"> When load is 6% above the median peak (e.g., 90/10 conditions), the model assumes DR provides 6% more curtailment than nominated, because the load being curtailed from is higher. This Firm Service Level (FSL) treatment inflates DR’s effective contribution during the highest-stress hours.</w:t>
      </w:r>
    </w:p>
    <w:p w14:paraId="2D716417" w14:textId="546B3CB9" w:rsidR="005B1E9A" w:rsidRPr="00E72036" w:rsidRDefault="00724FD2" w:rsidP="00E72036">
      <w:pPr>
        <w:pStyle w:val="ListParagraph"/>
        <w:numPr>
          <w:ilvl w:val="0"/>
          <w:numId w:val="5"/>
        </w:numPr>
        <w:rPr>
          <w:rFonts w:ascii="Times New Roman" w:hAnsi="Times New Roman" w:cs="Times New Roman"/>
        </w:rPr>
      </w:pPr>
      <w:r w:rsidRPr="0056487C">
        <w:rPr>
          <w:rFonts w:ascii="Times New Roman" w:hAnsi="Times New Roman" w:cs="Times New Roman"/>
          <w:b/>
          <w:bCs/>
        </w:rPr>
        <w:lastRenderedPageBreak/>
        <w:t>24/7 Availability Window</w:t>
      </w:r>
      <w:r w:rsidR="0056487C">
        <w:rPr>
          <w:rFonts w:ascii="Times New Roman" w:hAnsi="Times New Roman" w:cs="Times New Roman"/>
        </w:rPr>
        <w:t>:</w:t>
      </w:r>
      <w:r w:rsidRPr="00E72036">
        <w:rPr>
          <w:rFonts w:ascii="Times New Roman" w:hAnsi="Times New Roman" w:cs="Times New Roman"/>
        </w:rPr>
        <w:t xml:space="preserve"> The jump from 69% to 92% ELCC </w:t>
      </w:r>
      <w:r w:rsidR="005C50EA" w:rsidRPr="00E72036">
        <w:rPr>
          <w:rFonts w:ascii="Times New Roman" w:hAnsi="Times New Roman" w:cs="Times New Roman"/>
        </w:rPr>
        <w:t xml:space="preserve">rating a couple of years ago </w:t>
      </w:r>
      <w:r w:rsidRPr="00E72036">
        <w:rPr>
          <w:rFonts w:ascii="Times New Roman" w:hAnsi="Times New Roman" w:cs="Times New Roman"/>
        </w:rPr>
        <w:t>was not because PJM found DR performs better</w:t>
      </w:r>
      <w:r w:rsidR="008020F8" w:rsidRPr="00E72036">
        <w:rPr>
          <w:rFonts w:ascii="Times New Roman" w:hAnsi="Times New Roman" w:cs="Times New Roman"/>
        </w:rPr>
        <w:t>;</w:t>
      </w:r>
      <w:r w:rsidRPr="00E72036">
        <w:rPr>
          <w:rFonts w:ascii="Times New Roman" w:hAnsi="Times New Roman" w:cs="Times New Roman"/>
        </w:rPr>
        <w:t xml:space="preserve"> </w:t>
      </w:r>
      <w:r w:rsidR="008020F8" w:rsidRPr="00E72036">
        <w:rPr>
          <w:rFonts w:ascii="Times New Roman" w:hAnsi="Times New Roman" w:cs="Times New Roman"/>
        </w:rPr>
        <w:t>i</w:t>
      </w:r>
      <w:r w:rsidRPr="00E72036">
        <w:rPr>
          <w:rFonts w:ascii="Times New Roman" w:hAnsi="Times New Roman" w:cs="Times New Roman"/>
        </w:rPr>
        <w:t>t was a direct result of eliminating the DR performance window, making DR a 24/7 resource.</w:t>
      </w:r>
      <w:r w:rsidR="008020F8" w:rsidRPr="00E72036">
        <w:rPr>
          <w:rStyle w:val="FootnoteReference"/>
          <w:rFonts w:ascii="Times New Roman" w:hAnsi="Times New Roman" w:cs="Times New Roman"/>
        </w:rPr>
        <w:footnoteReference w:id="12"/>
      </w:r>
      <w:r w:rsidRPr="00E72036">
        <w:rPr>
          <w:rFonts w:ascii="Times New Roman" w:hAnsi="Times New Roman" w:cs="Times New Roman"/>
        </w:rPr>
        <w:t xml:space="preserve"> Previously the model assumed DR delivered zero outside a limited window (essentially summer afternoons). Once they removed that constraint and DR could be dispatched during winter stress events too, the ELCC jumped 23 percentage points. This was a modeling assumption change, not a performance improvement.</w:t>
      </w:r>
    </w:p>
    <w:p w14:paraId="2D716418" w14:textId="487A3DDF" w:rsidR="005B1E9A" w:rsidRPr="00E72036" w:rsidRDefault="00724FD2" w:rsidP="00E72036">
      <w:pPr>
        <w:pStyle w:val="ListParagraph"/>
        <w:numPr>
          <w:ilvl w:val="0"/>
          <w:numId w:val="5"/>
        </w:numPr>
        <w:rPr>
          <w:rFonts w:ascii="Times New Roman" w:hAnsi="Times New Roman" w:cs="Times New Roman"/>
        </w:rPr>
      </w:pPr>
      <w:r w:rsidRPr="00D35F8D">
        <w:rPr>
          <w:rFonts w:ascii="Times New Roman" w:hAnsi="Times New Roman" w:cs="Times New Roman"/>
          <w:b/>
          <w:bCs/>
        </w:rPr>
        <w:t>No Duration Limitation</w:t>
      </w:r>
      <w:proofErr w:type="gramStart"/>
      <w:r w:rsidR="00D35F8D">
        <w:rPr>
          <w:rFonts w:ascii="Times New Roman" w:hAnsi="Times New Roman" w:cs="Times New Roman"/>
          <w:b/>
          <w:bCs/>
        </w:rPr>
        <w:t>:</w:t>
      </w:r>
      <w:r w:rsidRPr="00E72036">
        <w:rPr>
          <w:rFonts w:ascii="Times New Roman" w:hAnsi="Times New Roman" w:cs="Times New Roman"/>
        </w:rPr>
        <w:t xml:space="preserve">  </w:t>
      </w:r>
      <w:r w:rsidR="003C476D" w:rsidRPr="00E72036">
        <w:rPr>
          <w:rFonts w:ascii="Times New Roman" w:hAnsi="Times New Roman" w:cs="Times New Roman"/>
        </w:rPr>
        <w:t>In</w:t>
      </w:r>
      <w:proofErr w:type="gramEnd"/>
      <w:r w:rsidR="003C476D" w:rsidRPr="00E72036">
        <w:rPr>
          <w:rFonts w:ascii="Times New Roman" w:hAnsi="Times New Roman" w:cs="Times New Roman"/>
        </w:rPr>
        <w:t xml:space="preserve"> </w:t>
      </w:r>
      <w:r w:rsidRPr="00E72036">
        <w:rPr>
          <w:rFonts w:ascii="Times New Roman" w:hAnsi="Times New Roman" w:cs="Times New Roman"/>
        </w:rPr>
        <w:t>PJM’s dispatch methodology, DR has no energy constraint. Storage resources get elaborate two-part dispatch with state-of-charge tracking. DR just gets dispatched whenever load exceeds available supply. There is no “DR runs out after X hours” mechanic.</w:t>
      </w:r>
      <w:r w:rsidR="003C6D93" w:rsidRPr="00E72036">
        <w:rPr>
          <w:rStyle w:val="FootnoteReference"/>
          <w:rFonts w:ascii="Times New Roman" w:hAnsi="Times New Roman" w:cs="Times New Roman"/>
        </w:rPr>
        <w:footnoteReference w:id="13"/>
      </w:r>
      <w:r w:rsidR="00D35F8D">
        <w:rPr>
          <w:rFonts w:ascii="Times New Roman" w:hAnsi="Times New Roman" w:cs="Times New Roman"/>
        </w:rPr>
        <w:t xml:space="preserve"> </w:t>
      </w:r>
      <w:r w:rsidRPr="00E72036">
        <w:rPr>
          <w:rFonts w:ascii="Times New Roman" w:hAnsi="Times New Roman" w:cs="Times New Roman"/>
        </w:rPr>
        <w:t>The model treats DR as if it can sustain delivery indefinitely for any event duration.</w:t>
      </w:r>
      <w:r w:rsidR="00141DA6" w:rsidRPr="00E72036">
        <w:rPr>
          <w:rFonts w:ascii="Times New Roman" w:hAnsi="Times New Roman" w:cs="Times New Roman"/>
        </w:rPr>
        <w:t xml:space="preserve"> This is important because it places the </w:t>
      </w:r>
      <w:r w:rsidR="00792F63" w:rsidRPr="00E72036">
        <w:rPr>
          <w:rFonts w:ascii="Times New Roman" w:hAnsi="Times New Roman" w:cs="Times New Roman"/>
        </w:rPr>
        <w:t xml:space="preserve">nomination decision squarely on the load participant. The question then becomes how </w:t>
      </w:r>
      <w:proofErr w:type="gramStart"/>
      <w:r w:rsidR="00792F63" w:rsidRPr="00E72036">
        <w:rPr>
          <w:rFonts w:ascii="Times New Roman" w:hAnsi="Times New Roman" w:cs="Times New Roman"/>
        </w:rPr>
        <w:t>can we</w:t>
      </w:r>
      <w:proofErr w:type="gramEnd"/>
      <w:r w:rsidR="00792F63" w:rsidRPr="00E72036">
        <w:rPr>
          <w:rFonts w:ascii="Times New Roman" w:hAnsi="Times New Roman" w:cs="Times New Roman"/>
        </w:rPr>
        <w:t xml:space="preserve"> optimize a combination of enabling resources at the data center level to </w:t>
      </w:r>
      <w:r w:rsidR="00900FB1" w:rsidRPr="00E72036">
        <w:rPr>
          <w:rFonts w:ascii="Times New Roman" w:hAnsi="Times New Roman" w:cs="Times New Roman"/>
        </w:rPr>
        <w:t>incentivize them to responsibly propose meaningful MW in DR.</w:t>
      </w:r>
      <w:r w:rsidR="00D35F8D">
        <w:rPr>
          <w:rFonts w:ascii="Times New Roman" w:hAnsi="Times New Roman" w:cs="Times New Roman"/>
        </w:rPr>
        <w:t xml:space="preserve"> This is a question that I will </w:t>
      </w:r>
      <w:r w:rsidR="00116799">
        <w:rPr>
          <w:rFonts w:ascii="Times New Roman" w:hAnsi="Times New Roman" w:cs="Times New Roman"/>
        </w:rPr>
        <w:t>decompose in my Pillar 1 Document.</w:t>
      </w:r>
    </w:p>
    <w:p w14:paraId="43C6E024" w14:textId="77777777" w:rsidR="00E72036" w:rsidRDefault="00E72036" w:rsidP="00C50051">
      <w:pPr>
        <w:rPr>
          <w:rFonts w:ascii="Times New Roman" w:hAnsi="Times New Roman" w:cs="Times New Roman"/>
        </w:rPr>
      </w:pPr>
    </w:p>
    <w:p w14:paraId="2D71641E" w14:textId="55AC084A" w:rsidR="005B1E9A" w:rsidRPr="00E72036" w:rsidRDefault="00724FD2" w:rsidP="00C50051">
      <w:pPr>
        <w:rPr>
          <w:rFonts w:ascii="Times New Roman" w:hAnsi="Times New Roman" w:cs="Times New Roman"/>
          <w:b/>
          <w:bCs/>
          <w:sz w:val="24"/>
          <w:szCs w:val="24"/>
        </w:rPr>
      </w:pPr>
      <w:r w:rsidRPr="00E72036">
        <w:rPr>
          <w:rFonts w:ascii="Times New Roman" w:hAnsi="Times New Roman" w:cs="Times New Roman"/>
          <w:b/>
          <w:bCs/>
          <w:sz w:val="24"/>
          <w:szCs w:val="24"/>
        </w:rPr>
        <w:t>Prong-Level Saturation Considerations</w:t>
      </w:r>
    </w:p>
    <w:p w14:paraId="2D71641F" w14:textId="10BCDC16" w:rsidR="005B1E9A" w:rsidRPr="00E72036" w:rsidRDefault="00701CD7" w:rsidP="00C50051">
      <w:pPr>
        <w:rPr>
          <w:rFonts w:ascii="Times New Roman" w:hAnsi="Times New Roman" w:cs="Times New Roman"/>
        </w:rPr>
      </w:pPr>
      <w:r w:rsidRPr="00E72036">
        <w:rPr>
          <w:rFonts w:ascii="Times New Roman" w:hAnsi="Times New Roman" w:cs="Times New Roman"/>
        </w:rPr>
        <w:t>Of course, n</w:t>
      </w:r>
      <w:r w:rsidR="00724FD2" w:rsidRPr="00E72036">
        <w:rPr>
          <w:rFonts w:ascii="Times New Roman" w:hAnsi="Times New Roman" w:cs="Times New Roman"/>
        </w:rPr>
        <w:t>ot all flexibility mechanisms face saturation equally:</w:t>
      </w:r>
    </w:p>
    <w:p w14:paraId="2D716420" w14:textId="155E034A" w:rsidR="005B1E9A" w:rsidRPr="00E72036" w:rsidRDefault="00724FD2" w:rsidP="00E72036">
      <w:pPr>
        <w:pStyle w:val="ListParagraph"/>
        <w:numPr>
          <w:ilvl w:val="0"/>
          <w:numId w:val="5"/>
        </w:numPr>
        <w:rPr>
          <w:rFonts w:ascii="Times New Roman" w:hAnsi="Times New Roman" w:cs="Times New Roman"/>
        </w:rPr>
      </w:pPr>
      <w:r w:rsidRPr="00957F3A">
        <w:rPr>
          <w:rFonts w:ascii="Times New Roman" w:hAnsi="Times New Roman" w:cs="Times New Roman"/>
          <w:b/>
          <w:bCs/>
        </w:rPr>
        <w:t>BTM Battery:</w:t>
      </w:r>
      <w:r w:rsidRPr="00E72036">
        <w:rPr>
          <w:rFonts w:ascii="Times New Roman" w:hAnsi="Times New Roman" w:cs="Times New Roman"/>
        </w:rPr>
        <w:t xml:space="preserve"> No saturation. Uncorrelated, facility-level. Limitation is duration only.</w:t>
      </w:r>
    </w:p>
    <w:p w14:paraId="2D716421" w14:textId="471876D4" w:rsidR="005B1E9A" w:rsidRPr="00E72036" w:rsidRDefault="00724FD2" w:rsidP="00E72036">
      <w:pPr>
        <w:pStyle w:val="ListParagraph"/>
        <w:numPr>
          <w:ilvl w:val="0"/>
          <w:numId w:val="5"/>
        </w:numPr>
        <w:rPr>
          <w:rFonts w:ascii="Times New Roman" w:hAnsi="Times New Roman" w:cs="Times New Roman"/>
        </w:rPr>
      </w:pPr>
      <w:r w:rsidRPr="00957F3A">
        <w:rPr>
          <w:rFonts w:ascii="Times New Roman" w:hAnsi="Times New Roman" w:cs="Times New Roman"/>
          <w:b/>
          <w:bCs/>
        </w:rPr>
        <w:t>Temporal/DVFS:</w:t>
      </w:r>
      <w:r w:rsidRPr="00E72036">
        <w:rPr>
          <w:rFonts w:ascii="Times New Roman" w:hAnsi="Times New Roman" w:cs="Times New Roman"/>
        </w:rPr>
        <w:t xml:space="preserve"> No saturation. Uncorrelated, facility-level. Limitation is depth (~25% of load).</w:t>
      </w:r>
    </w:p>
    <w:p w14:paraId="2D716422" w14:textId="171E33D7" w:rsidR="005B1E9A" w:rsidRPr="00E72036" w:rsidRDefault="00724FD2" w:rsidP="00E72036">
      <w:pPr>
        <w:pStyle w:val="ListParagraph"/>
        <w:numPr>
          <w:ilvl w:val="0"/>
          <w:numId w:val="5"/>
        </w:numPr>
        <w:rPr>
          <w:rFonts w:ascii="Times New Roman" w:hAnsi="Times New Roman" w:cs="Times New Roman"/>
        </w:rPr>
      </w:pPr>
      <w:r w:rsidRPr="00957F3A">
        <w:rPr>
          <w:rFonts w:ascii="Times New Roman" w:hAnsi="Times New Roman" w:cs="Times New Roman"/>
          <w:b/>
          <w:bCs/>
        </w:rPr>
        <w:t>Spatial Migration at Scale:</w:t>
      </w:r>
      <w:r w:rsidRPr="00E72036">
        <w:rPr>
          <w:rFonts w:ascii="Times New Roman" w:hAnsi="Times New Roman" w:cs="Times New Roman"/>
        </w:rPr>
        <w:t xml:space="preserve"> Real saturation with a physical mechanism. If 8 GW of DC load in PJM all tries to migrate out during the same stress event, destination grids absorb load from everyone simultaneously, transmission paths congest, and destinations that were “unstressed” start becoming stressed precisely because everyone is landing on them. This scale issue is a real constraint that </w:t>
      </w:r>
      <w:r w:rsidR="00047A76">
        <w:rPr>
          <w:rFonts w:ascii="Times New Roman" w:hAnsi="Times New Roman" w:cs="Times New Roman"/>
        </w:rPr>
        <w:t>I’ll detail a potential solution to in my Pillar 1 document</w:t>
      </w:r>
      <w:r w:rsidRPr="00E72036">
        <w:rPr>
          <w:rFonts w:ascii="Times New Roman" w:hAnsi="Times New Roman" w:cs="Times New Roman"/>
        </w:rPr>
        <w:t>.</w:t>
      </w:r>
    </w:p>
    <w:p w14:paraId="7864002C" w14:textId="77777777" w:rsidR="00E72036" w:rsidRDefault="00E72036" w:rsidP="00C50051">
      <w:pPr>
        <w:rPr>
          <w:rFonts w:ascii="Times New Roman" w:hAnsi="Times New Roman" w:cs="Times New Roman"/>
          <w:b/>
          <w:bCs/>
          <w:sz w:val="28"/>
          <w:szCs w:val="28"/>
        </w:rPr>
      </w:pPr>
    </w:p>
    <w:p w14:paraId="2D716482" w14:textId="6EB1DEEE" w:rsidR="005B1E9A" w:rsidRPr="00B96935" w:rsidRDefault="00DD2814" w:rsidP="00C50051">
      <w:pPr>
        <w:rPr>
          <w:rFonts w:ascii="Times New Roman" w:hAnsi="Times New Roman" w:cs="Times New Roman"/>
          <w:b/>
          <w:bCs/>
          <w:sz w:val="28"/>
          <w:szCs w:val="28"/>
        </w:rPr>
      </w:pPr>
      <w:r w:rsidRPr="00B96935">
        <w:rPr>
          <w:rFonts w:ascii="Times New Roman" w:hAnsi="Times New Roman" w:cs="Times New Roman"/>
          <w:b/>
          <w:bCs/>
          <w:sz w:val="28"/>
          <w:szCs w:val="28"/>
        </w:rPr>
        <w:t>The Sequential Framework</w:t>
      </w:r>
    </w:p>
    <w:p w14:paraId="046D0AC5" w14:textId="0F89FB5A" w:rsidR="009760F5" w:rsidRPr="00E72036" w:rsidRDefault="00724FD2" w:rsidP="00C50051">
      <w:pPr>
        <w:rPr>
          <w:rFonts w:ascii="Times New Roman" w:hAnsi="Times New Roman" w:cs="Times New Roman"/>
        </w:rPr>
      </w:pPr>
      <w:r w:rsidRPr="00E72036">
        <w:rPr>
          <w:rFonts w:ascii="Times New Roman" w:hAnsi="Times New Roman" w:cs="Times New Roman"/>
        </w:rPr>
        <w:t xml:space="preserve">This is </w:t>
      </w:r>
      <w:r w:rsidR="00E4204C">
        <w:rPr>
          <w:rFonts w:ascii="Times New Roman" w:hAnsi="Times New Roman" w:cs="Times New Roman"/>
        </w:rPr>
        <w:t>the</w:t>
      </w:r>
      <w:r w:rsidR="004626F3" w:rsidRPr="00E72036">
        <w:rPr>
          <w:rFonts w:ascii="Times New Roman" w:hAnsi="Times New Roman" w:cs="Times New Roman"/>
        </w:rPr>
        <w:t xml:space="preserve"> primary</w:t>
      </w:r>
      <w:r w:rsidRPr="00E72036">
        <w:rPr>
          <w:rFonts w:ascii="Times New Roman" w:hAnsi="Times New Roman" w:cs="Times New Roman"/>
        </w:rPr>
        <w:t xml:space="preserve"> policy contribution</w:t>
      </w:r>
      <w:r w:rsidR="004626F3" w:rsidRPr="00E72036">
        <w:rPr>
          <w:rFonts w:ascii="Times New Roman" w:hAnsi="Times New Roman" w:cs="Times New Roman"/>
        </w:rPr>
        <w:t xml:space="preserve"> for the EPIC writeup</w:t>
      </w:r>
      <w:r w:rsidRPr="00E72036">
        <w:rPr>
          <w:rFonts w:ascii="Times New Roman" w:hAnsi="Times New Roman" w:cs="Times New Roman"/>
        </w:rPr>
        <w:t>.</w:t>
      </w:r>
      <w:r w:rsidR="00D30D02" w:rsidRPr="00E72036">
        <w:rPr>
          <w:rFonts w:ascii="Times New Roman" w:hAnsi="Times New Roman" w:cs="Times New Roman"/>
        </w:rPr>
        <w:t xml:space="preserve"> I want to be clear that on the surface </w:t>
      </w:r>
      <w:r w:rsidR="00E4204C">
        <w:rPr>
          <w:rFonts w:ascii="Times New Roman" w:hAnsi="Times New Roman" w:cs="Times New Roman"/>
        </w:rPr>
        <w:t>I’m</w:t>
      </w:r>
      <w:r w:rsidR="00D30D02" w:rsidRPr="00E72036">
        <w:rPr>
          <w:rFonts w:ascii="Times New Roman" w:hAnsi="Times New Roman" w:cs="Times New Roman"/>
        </w:rPr>
        <w:t xml:space="preserve"> </w:t>
      </w:r>
      <w:r w:rsidR="00E4204C">
        <w:rPr>
          <w:rFonts w:ascii="Times New Roman" w:hAnsi="Times New Roman" w:cs="Times New Roman"/>
        </w:rPr>
        <w:t>not</w:t>
      </w:r>
      <w:r w:rsidR="00D30D02" w:rsidRPr="00E72036">
        <w:rPr>
          <w:rFonts w:ascii="Times New Roman" w:hAnsi="Times New Roman" w:cs="Times New Roman"/>
        </w:rPr>
        <w:t xml:space="preserve"> proposing anything that isn’t already being talked about. What will be novel about </w:t>
      </w:r>
      <w:r w:rsidR="00E4204C">
        <w:rPr>
          <w:rFonts w:ascii="Times New Roman" w:hAnsi="Times New Roman" w:cs="Times New Roman"/>
        </w:rPr>
        <w:t>the</w:t>
      </w:r>
      <w:r w:rsidR="00D30D02" w:rsidRPr="00E72036">
        <w:rPr>
          <w:rFonts w:ascii="Times New Roman" w:hAnsi="Times New Roman" w:cs="Times New Roman"/>
        </w:rPr>
        <w:t xml:space="preserve"> writeup is that </w:t>
      </w:r>
      <w:r w:rsidR="00E4204C">
        <w:rPr>
          <w:rFonts w:ascii="Times New Roman" w:hAnsi="Times New Roman" w:cs="Times New Roman"/>
        </w:rPr>
        <w:t>I</w:t>
      </w:r>
      <w:r w:rsidR="00D30D02" w:rsidRPr="00E72036">
        <w:rPr>
          <w:rFonts w:ascii="Times New Roman" w:hAnsi="Times New Roman" w:cs="Times New Roman"/>
        </w:rPr>
        <w:t xml:space="preserve"> a</w:t>
      </w:r>
      <w:r w:rsidR="00E4204C">
        <w:rPr>
          <w:rFonts w:ascii="Times New Roman" w:hAnsi="Times New Roman" w:cs="Times New Roman"/>
        </w:rPr>
        <w:t>m</w:t>
      </w:r>
      <w:r w:rsidR="00D30D02" w:rsidRPr="00E72036">
        <w:rPr>
          <w:rFonts w:ascii="Times New Roman" w:hAnsi="Times New Roman" w:cs="Times New Roman"/>
        </w:rPr>
        <w:t xml:space="preserve"> </w:t>
      </w:r>
      <w:r w:rsidR="00151DCD" w:rsidRPr="00E72036">
        <w:rPr>
          <w:rFonts w:ascii="Times New Roman" w:hAnsi="Times New Roman" w:cs="Times New Roman"/>
        </w:rPr>
        <w:t>reiterating the recommendations listed below and providing empirical evidence and modelled analysis</w:t>
      </w:r>
      <w:r w:rsidRPr="00E72036">
        <w:rPr>
          <w:rFonts w:ascii="Times New Roman" w:hAnsi="Times New Roman" w:cs="Times New Roman"/>
        </w:rPr>
        <w:t xml:space="preserve"> </w:t>
      </w:r>
      <w:r w:rsidR="00151DCD" w:rsidRPr="00E72036">
        <w:rPr>
          <w:rFonts w:ascii="Times New Roman" w:hAnsi="Times New Roman" w:cs="Times New Roman"/>
        </w:rPr>
        <w:t>for why this can and should be implemented</w:t>
      </w:r>
      <w:r w:rsidR="00E4204C">
        <w:rPr>
          <w:rFonts w:ascii="Times New Roman" w:hAnsi="Times New Roman" w:cs="Times New Roman"/>
        </w:rPr>
        <w:t xml:space="preserve"> (see Pillar 1 for empirical specifics)</w:t>
      </w:r>
      <w:r w:rsidR="00151DCD" w:rsidRPr="00E72036">
        <w:rPr>
          <w:rFonts w:ascii="Times New Roman" w:hAnsi="Times New Roman" w:cs="Times New Roman"/>
        </w:rPr>
        <w:t xml:space="preserve">. </w:t>
      </w:r>
    </w:p>
    <w:p w14:paraId="3607C44E" w14:textId="77777777" w:rsidR="00B96935" w:rsidRDefault="00B96935" w:rsidP="00C50051">
      <w:pPr>
        <w:rPr>
          <w:rFonts w:ascii="Times New Roman" w:hAnsi="Times New Roman" w:cs="Times New Roman"/>
        </w:rPr>
      </w:pPr>
    </w:p>
    <w:p w14:paraId="2D716484" w14:textId="0A0D5716" w:rsidR="005B1E9A" w:rsidRPr="00E72036" w:rsidRDefault="009760F5" w:rsidP="00C50051">
      <w:pPr>
        <w:rPr>
          <w:rFonts w:ascii="Times New Roman" w:hAnsi="Times New Roman" w:cs="Times New Roman"/>
        </w:rPr>
      </w:pPr>
      <w:r w:rsidRPr="00E72036">
        <w:rPr>
          <w:rFonts w:ascii="Times New Roman" w:hAnsi="Times New Roman" w:cs="Times New Roman"/>
        </w:rPr>
        <w:t xml:space="preserve">With that said, </w:t>
      </w:r>
      <w:r w:rsidR="000D7C93">
        <w:rPr>
          <w:rFonts w:ascii="Times New Roman" w:hAnsi="Times New Roman" w:cs="Times New Roman"/>
        </w:rPr>
        <w:t xml:space="preserve">in my opinion </w:t>
      </w:r>
      <w:r w:rsidRPr="00E72036">
        <w:rPr>
          <w:rFonts w:ascii="Times New Roman" w:hAnsi="Times New Roman" w:cs="Times New Roman"/>
        </w:rPr>
        <w:t>t</w:t>
      </w:r>
      <w:r w:rsidR="00724FD2" w:rsidRPr="00E72036">
        <w:rPr>
          <w:rFonts w:ascii="Times New Roman" w:hAnsi="Times New Roman" w:cs="Times New Roman"/>
        </w:rPr>
        <w:t>here are two ways DC flexibility can interface with the capacity construct, and they are not competing alternatives</w:t>
      </w:r>
      <w:r w:rsidR="004626F3" w:rsidRPr="00E72036">
        <w:rPr>
          <w:rFonts w:ascii="Times New Roman" w:hAnsi="Times New Roman" w:cs="Times New Roman"/>
        </w:rPr>
        <w:t xml:space="preserve">, </w:t>
      </w:r>
      <w:r w:rsidR="00724FD2" w:rsidRPr="00E72036">
        <w:rPr>
          <w:rFonts w:ascii="Times New Roman" w:hAnsi="Times New Roman" w:cs="Times New Roman"/>
        </w:rPr>
        <w:t>they are different entry points on the same timeline tied to interconnection status.</w:t>
      </w:r>
    </w:p>
    <w:p w14:paraId="2B58BD6A" w14:textId="77777777" w:rsidR="00B96935" w:rsidRDefault="00B96935" w:rsidP="00C50051">
      <w:pPr>
        <w:rPr>
          <w:rFonts w:ascii="Times New Roman" w:hAnsi="Times New Roman" w:cs="Times New Roman"/>
        </w:rPr>
      </w:pPr>
    </w:p>
    <w:p w14:paraId="4C6ECB9E" w14:textId="11274A44" w:rsidR="004626F3" w:rsidRPr="00B96935" w:rsidRDefault="004626F3" w:rsidP="00C50051">
      <w:pPr>
        <w:rPr>
          <w:rFonts w:ascii="Times New Roman" w:hAnsi="Times New Roman" w:cs="Times New Roman"/>
          <w:b/>
          <w:bCs/>
        </w:rPr>
      </w:pPr>
      <w:r w:rsidRPr="00B96935">
        <w:rPr>
          <w:rFonts w:ascii="Times New Roman" w:hAnsi="Times New Roman" w:cs="Times New Roman"/>
          <w:b/>
          <w:bCs/>
        </w:rPr>
        <w:t>Option A: DR into the BRA (Post-Interconnection)</w:t>
      </w:r>
    </w:p>
    <w:p w14:paraId="2D716486" w14:textId="7336DD9D" w:rsidR="005B1E9A" w:rsidRPr="00E72036" w:rsidRDefault="00724FD2" w:rsidP="00C50051">
      <w:pPr>
        <w:rPr>
          <w:rFonts w:ascii="Times New Roman" w:hAnsi="Times New Roman" w:cs="Times New Roman"/>
        </w:rPr>
      </w:pPr>
      <w:r w:rsidRPr="00E72036">
        <w:rPr>
          <w:rFonts w:ascii="Times New Roman" w:hAnsi="Times New Roman" w:cs="Times New Roman"/>
        </w:rPr>
        <w:t>The DC is already interconnected and operating on the grid. It nominates MW into the BRA as DR. Its full nameplate load appears in PJM’s load forecast, which inflates the Reliability Requirement. Its DR offer shows up as supply that helps meet that requirement. It collects capacity payments.</w:t>
      </w:r>
      <w:r w:rsidR="00B96935">
        <w:rPr>
          <w:rFonts w:ascii="Times New Roman" w:hAnsi="Times New Roman" w:cs="Times New Roman"/>
        </w:rPr>
        <w:t xml:space="preserve"> </w:t>
      </w:r>
      <w:r w:rsidRPr="00E72036">
        <w:rPr>
          <w:rFonts w:ascii="Times New Roman" w:hAnsi="Times New Roman" w:cs="Times New Roman"/>
        </w:rPr>
        <w:t xml:space="preserve">This is PJM’s current framework. The flexibility shows up on the supply side of the ledger. The </w:t>
      </w:r>
      <w:r w:rsidR="00D30D02" w:rsidRPr="00E72036">
        <w:rPr>
          <w:rFonts w:ascii="Times New Roman" w:hAnsi="Times New Roman" w:cs="Times New Roman"/>
        </w:rPr>
        <w:t xml:space="preserve">self-licking </w:t>
      </w:r>
      <w:r w:rsidRPr="00E72036">
        <w:rPr>
          <w:rFonts w:ascii="Times New Roman" w:hAnsi="Times New Roman" w:cs="Times New Roman"/>
        </w:rPr>
        <w:t>ice cream cone problem exists but is economically sound. Once cleared</w:t>
      </w:r>
      <w:r w:rsidR="00A124E9">
        <w:rPr>
          <w:rFonts w:ascii="Times New Roman" w:hAnsi="Times New Roman" w:cs="Times New Roman"/>
        </w:rPr>
        <w:t xml:space="preserve"> as a resource in the BRA</w:t>
      </w:r>
      <w:r w:rsidRPr="00E72036">
        <w:rPr>
          <w:rFonts w:ascii="Times New Roman" w:hAnsi="Times New Roman" w:cs="Times New Roman"/>
        </w:rPr>
        <w:t>, the commitment is binding</w:t>
      </w:r>
      <w:r w:rsidR="00D30D02" w:rsidRPr="00E72036">
        <w:rPr>
          <w:rFonts w:ascii="Times New Roman" w:hAnsi="Times New Roman" w:cs="Times New Roman"/>
        </w:rPr>
        <w:t xml:space="preserve"> and </w:t>
      </w:r>
      <w:r w:rsidRPr="00E72036">
        <w:rPr>
          <w:rFonts w:ascii="Times New Roman" w:hAnsi="Times New Roman" w:cs="Times New Roman"/>
        </w:rPr>
        <w:t>backed by Non-Performance Charges.</w:t>
      </w:r>
    </w:p>
    <w:p w14:paraId="65EDF0AA" w14:textId="77777777" w:rsidR="00B96935" w:rsidRDefault="00B96935" w:rsidP="00C50051">
      <w:pPr>
        <w:rPr>
          <w:rFonts w:ascii="Times New Roman" w:hAnsi="Times New Roman" w:cs="Times New Roman"/>
        </w:rPr>
      </w:pPr>
    </w:p>
    <w:p w14:paraId="2D716487" w14:textId="7A9CA189" w:rsidR="005B1E9A" w:rsidRPr="00B96935" w:rsidRDefault="00D30D02" w:rsidP="00C50051">
      <w:pPr>
        <w:rPr>
          <w:rFonts w:ascii="Times New Roman" w:hAnsi="Times New Roman" w:cs="Times New Roman"/>
          <w:b/>
          <w:bCs/>
        </w:rPr>
      </w:pPr>
      <w:r w:rsidRPr="00B96935">
        <w:rPr>
          <w:rFonts w:ascii="Times New Roman" w:hAnsi="Times New Roman" w:cs="Times New Roman"/>
          <w:b/>
          <w:bCs/>
        </w:rPr>
        <w:t>Option B: Connect-and-Manage / Flexible Interconnection (Pre-Interconnection)</w:t>
      </w:r>
    </w:p>
    <w:p w14:paraId="2D716489" w14:textId="348E1AE0"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The DC is in the interconnection queue. PJM </w:t>
      </w:r>
      <w:proofErr w:type="gramStart"/>
      <w:r w:rsidRPr="00E72036">
        <w:rPr>
          <w:rFonts w:ascii="Times New Roman" w:hAnsi="Times New Roman" w:cs="Times New Roman"/>
        </w:rPr>
        <w:t>says</w:t>
      </w:r>
      <w:proofErr w:type="gramEnd"/>
      <w:r w:rsidRPr="00E72036">
        <w:rPr>
          <w:rFonts w:ascii="Times New Roman" w:hAnsi="Times New Roman" w:cs="Times New Roman"/>
        </w:rPr>
        <w:t xml:space="preserve"> “we need 3–5 years and $200M+ in network upgrades before you can energize at 500 MW firm.” The DC </w:t>
      </w:r>
      <w:proofErr w:type="gramStart"/>
      <w:r w:rsidRPr="00E72036">
        <w:rPr>
          <w:rFonts w:ascii="Times New Roman" w:hAnsi="Times New Roman" w:cs="Times New Roman"/>
        </w:rPr>
        <w:t>says</w:t>
      </w:r>
      <w:proofErr w:type="gramEnd"/>
      <w:r w:rsidRPr="00E72036">
        <w:rPr>
          <w:rFonts w:ascii="Times New Roman" w:hAnsi="Times New Roman" w:cs="Times New Roman"/>
        </w:rPr>
        <w:t xml:space="preserve"> “what if I interconnect now at 500 MW but with a binding commitment to curtail to 229 MW during stress events?”</w:t>
      </w:r>
      <w:r w:rsidR="00C2304A">
        <w:rPr>
          <w:rFonts w:ascii="Times New Roman" w:hAnsi="Times New Roman" w:cs="Times New Roman"/>
        </w:rPr>
        <w:t xml:space="preserve"> </w:t>
      </w:r>
      <w:r w:rsidRPr="00E72036">
        <w:rPr>
          <w:rFonts w:ascii="Times New Roman" w:hAnsi="Times New Roman" w:cs="Times New Roman"/>
        </w:rPr>
        <w:t>PJM can approve this because the system only needs to accommodate 229 MW of firm load; the upgrade requirements are smaller or eliminated. The DC gets online years faster. The flexibility commitment is baked into the interconnection agreement itself. PJM’s load forecast reflects the effective firm service level (229 MW), not the nameplate (500 MW). The Reliability Requirement is lower. No DR offer. No capacity payment. No self-licking ice cream cone.</w:t>
      </w:r>
    </w:p>
    <w:p w14:paraId="6D3D0AD4" w14:textId="77777777" w:rsidR="00C2304A" w:rsidRDefault="00C2304A" w:rsidP="00C50051">
      <w:pPr>
        <w:rPr>
          <w:rFonts w:ascii="Times New Roman" w:hAnsi="Times New Roman" w:cs="Times New Roman"/>
        </w:rPr>
      </w:pPr>
    </w:p>
    <w:p w14:paraId="2D71648A" w14:textId="62ABB033"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This model </w:t>
      </w:r>
      <w:proofErr w:type="gramStart"/>
      <w:r w:rsidR="00170157">
        <w:rPr>
          <w:rFonts w:ascii="Times New Roman" w:hAnsi="Times New Roman" w:cs="Times New Roman"/>
        </w:rPr>
        <w:t>connect</w:t>
      </w:r>
      <w:proofErr w:type="gramEnd"/>
      <w:r w:rsidR="00170157">
        <w:rPr>
          <w:rFonts w:ascii="Times New Roman" w:hAnsi="Times New Roman" w:cs="Times New Roman"/>
        </w:rPr>
        <w:t xml:space="preserve"> and manage model </w:t>
      </w:r>
      <w:r w:rsidRPr="00E72036">
        <w:rPr>
          <w:rFonts w:ascii="Times New Roman" w:hAnsi="Times New Roman" w:cs="Times New Roman"/>
        </w:rPr>
        <w:t>already exists in ERCOT for generators</w:t>
      </w:r>
      <w:r w:rsidR="00170157">
        <w:rPr>
          <w:rFonts w:ascii="Times New Roman" w:hAnsi="Times New Roman" w:cs="Times New Roman"/>
        </w:rPr>
        <w:t xml:space="preserve">. </w:t>
      </w:r>
      <w:r w:rsidR="00303313">
        <w:rPr>
          <w:rFonts w:ascii="Times New Roman" w:hAnsi="Times New Roman" w:cs="Times New Roman"/>
        </w:rPr>
        <w:t>Discussions are ongoing in</w:t>
      </w:r>
      <w:r w:rsidR="001011B4" w:rsidRPr="00E72036">
        <w:rPr>
          <w:rFonts w:ascii="Times New Roman" w:hAnsi="Times New Roman" w:cs="Times New Roman"/>
        </w:rPr>
        <w:t xml:space="preserve"> ERCOT</w:t>
      </w:r>
      <w:r w:rsidR="00303313">
        <w:rPr>
          <w:rFonts w:ascii="Times New Roman" w:hAnsi="Times New Roman" w:cs="Times New Roman"/>
        </w:rPr>
        <w:t xml:space="preserve"> to add this as a demand side policy as well. I think this should be</w:t>
      </w:r>
      <w:r w:rsidR="001011B4" w:rsidRPr="00E72036">
        <w:rPr>
          <w:rFonts w:ascii="Times New Roman" w:hAnsi="Times New Roman" w:cs="Times New Roman"/>
        </w:rPr>
        <w:t xml:space="preserve"> actively discussed </w:t>
      </w:r>
      <w:r w:rsidR="00303313">
        <w:rPr>
          <w:rFonts w:ascii="Times New Roman" w:hAnsi="Times New Roman" w:cs="Times New Roman"/>
        </w:rPr>
        <w:t xml:space="preserve">in concert with the bring your own capacity notion </w:t>
      </w:r>
      <w:r w:rsidR="00ED7FAF" w:rsidRPr="00E72036">
        <w:rPr>
          <w:rFonts w:ascii="Times New Roman" w:hAnsi="Times New Roman" w:cs="Times New Roman"/>
        </w:rPr>
        <w:t>in PJM</w:t>
      </w:r>
      <w:r w:rsidRPr="00E72036">
        <w:rPr>
          <w:rFonts w:ascii="Times New Roman" w:hAnsi="Times New Roman" w:cs="Times New Roman"/>
        </w:rPr>
        <w:t>. ERCOT’s connect-and-manage approach does not require network upgrades for interconnections, instead managing grid congestion through redispatch and curtailment.</w:t>
      </w:r>
      <w:r w:rsidR="00BC165A" w:rsidRPr="00E72036">
        <w:rPr>
          <w:rStyle w:val="FootnoteReference"/>
          <w:rFonts w:ascii="Times New Roman" w:hAnsi="Times New Roman" w:cs="Times New Roman"/>
        </w:rPr>
        <w:footnoteReference w:id="14"/>
      </w:r>
      <w:r w:rsidRPr="00E72036">
        <w:rPr>
          <w:rFonts w:ascii="Times New Roman" w:hAnsi="Times New Roman" w:cs="Times New Roman"/>
        </w:rPr>
        <w:t xml:space="preserve"> ERCOT brought 14.2 GW online in the last two years using this framework</w:t>
      </w:r>
      <w:r w:rsidR="00ED7FAF" w:rsidRPr="00E72036">
        <w:rPr>
          <w:rFonts w:ascii="Times New Roman" w:hAnsi="Times New Roman" w:cs="Times New Roman"/>
        </w:rPr>
        <w:t xml:space="preserve">, </w:t>
      </w:r>
      <w:r w:rsidRPr="00E72036">
        <w:rPr>
          <w:rFonts w:ascii="Times New Roman" w:hAnsi="Times New Roman" w:cs="Times New Roman"/>
        </w:rPr>
        <w:t>more than any other grid operator.</w:t>
      </w:r>
      <w:r w:rsidR="00697816" w:rsidRPr="00E72036">
        <w:rPr>
          <w:rStyle w:val="FootnoteReference"/>
          <w:rFonts w:ascii="Times New Roman" w:hAnsi="Times New Roman" w:cs="Times New Roman"/>
        </w:rPr>
        <w:footnoteReference w:id="15"/>
      </w:r>
      <w:r w:rsidRPr="00E72036">
        <w:rPr>
          <w:rFonts w:ascii="Times New Roman" w:hAnsi="Times New Roman" w:cs="Times New Roman"/>
        </w:rPr>
        <w:t xml:space="preserve"> A November 2025 proposal at ERCOT explicitly extends this to load, creating “the basis of connect-and-manage of load using the existing system that ERCOT already has for generators and batteries.”</w:t>
      </w:r>
    </w:p>
    <w:p w14:paraId="68FCF713" w14:textId="77777777" w:rsidR="00C2304A" w:rsidRDefault="00C2304A" w:rsidP="00C50051">
      <w:pPr>
        <w:rPr>
          <w:rFonts w:ascii="Times New Roman" w:hAnsi="Times New Roman" w:cs="Times New Roman"/>
        </w:rPr>
      </w:pPr>
    </w:p>
    <w:p w14:paraId="2D71648C" w14:textId="3271C450" w:rsidR="005B1E9A" w:rsidRPr="00E72036" w:rsidRDefault="00C2304A" w:rsidP="00C50051">
      <w:pPr>
        <w:rPr>
          <w:rFonts w:ascii="Times New Roman" w:hAnsi="Times New Roman" w:cs="Times New Roman"/>
        </w:rPr>
      </w:pPr>
      <w:r>
        <w:rPr>
          <w:rFonts w:ascii="Times New Roman" w:hAnsi="Times New Roman" w:cs="Times New Roman"/>
        </w:rPr>
        <w:t>T</w:t>
      </w:r>
      <w:r w:rsidRPr="00E72036">
        <w:rPr>
          <w:rFonts w:ascii="Times New Roman" w:hAnsi="Times New Roman" w:cs="Times New Roman"/>
        </w:rPr>
        <w:t xml:space="preserve">he </w:t>
      </w:r>
      <w:r>
        <w:rPr>
          <w:rFonts w:ascii="Times New Roman" w:hAnsi="Times New Roman" w:cs="Times New Roman"/>
        </w:rPr>
        <w:t>k</w:t>
      </w:r>
      <w:r w:rsidRPr="00E72036">
        <w:rPr>
          <w:rFonts w:ascii="Times New Roman" w:hAnsi="Times New Roman" w:cs="Times New Roman"/>
        </w:rPr>
        <w:t xml:space="preserve">ey </w:t>
      </w:r>
      <w:r>
        <w:rPr>
          <w:rFonts w:ascii="Times New Roman" w:hAnsi="Times New Roman" w:cs="Times New Roman"/>
        </w:rPr>
        <w:t>i</w:t>
      </w:r>
      <w:r w:rsidRPr="00E72036">
        <w:rPr>
          <w:rFonts w:ascii="Times New Roman" w:hAnsi="Times New Roman" w:cs="Times New Roman"/>
        </w:rPr>
        <w:t>nsight</w:t>
      </w:r>
      <w:r>
        <w:rPr>
          <w:rFonts w:ascii="Times New Roman" w:hAnsi="Times New Roman" w:cs="Times New Roman"/>
        </w:rPr>
        <w:t xml:space="preserve"> is that</w:t>
      </w:r>
      <w:r w:rsidRPr="00E72036">
        <w:rPr>
          <w:rFonts w:ascii="Times New Roman" w:hAnsi="Times New Roman" w:cs="Times New Roman"/>
        </w:rPr>
        <w:t xml:space="preserve"> </w:t>
      </w:r>
      <w:r>
        <w:rPr>
          <w:rFonts w:ascii="Times New Roman" w:hAnsi="Times New Roman" w:cs="Times New Roman"/>
        </w:rPr>
        <w:t>t</w:t>
      </w:r>
      <w:r w:rsidRPr="00E72036">
        <w:rPr>
          <w:rFonts w:ascii="Times New Roman" w:hAnsi="Times New Roman" w:cs="Times New Roman"/>
        </w:rPr>
        <w:t xml:space="preserve">hese are </w:t>
      </w:r>
      <w:r>
        <w:rPr>
          <w:rFonts w:ascii="Times New Roman" w:hAnsi="Times New Roman" w:cs="Times New Roman"/>
        </w:rPr>
        <w:t>s</w:t>
      </w:r>
      <w:r w:rsidRPr="00E72036">
        <w:rPr>
          <w:rFonts w:ascii="Times New Roman" w:hAnsi="Times New Roman" w:cs="Times New Roman"/>
        </w:rPr>
        <w:t xml:space="preserve">equential, </w:t>
      </w:r>
      <w:r>
        <w:rPr>
          <w:rFonts w:ascii="Times New Roman" w:hAnsi="Times New Roman" w:cs="Times New Roman"/>
        </w:rPr>
        <w:t>n</w:t>
      </w:r>
      <w:r w:rsidRPr="00E72036">
        <w:rPr>
          <w:rFonts w:ascii="Times New Roman" w:hAnsi="Times New Roman" w:cs="Times New Roman"/>
        </w:rPr>
        <w:t xml:space="preserve">ot </w:t>
      </w:r>
      <w:r>
        <w:rPr>
          <w:rFonts w:ascii="Times New Roman" w:hAnsi="Times New Roman" w:cs="Times New Roman"/>
        </w:rPr>
        <w:t>c</w:t>
      </w:r>
      <w:r w:rsidRPr="00E72036">
        <w:rPr>
          <w:rFonts w:ascii="Times New Roman" w:hAnsi="Times New Roman" w:cs="Times New Roman"/>
        </w:rPr>
        <w:t xml:space="preserve">ompeting </w:t>
      </w:r>
      <w:r>
        <w:rPr>
          <w:rFonts w:ascii="Times New Roman" w:hAnsi="Times New Roman" w:cs="Times New Roman"/>
        </w:rPr>
        <w:t>m</w:t>
      </w:r>
      <w:r w:rsidRPr="00E72036">
        <w:rPr>
          <w:rFonts w:ascii="Times New Roman" w:hAnsi="Times New Roman" w:cs="Times New Roman"/>
        </w:rPr>
        <w:t>echanisms</w:t>
      </w:r>
      <w:r>
        <w:rPr>
          <w:rFonts w:ascii="Times New Roman" w:hAnsi="Times New Roman" w:cs="Times New Roman"/>
        </w:rPr>
        <w:t xml:space="preserve">. </w:t>
      </w:r>
      <w:r w:rsidR="00724FD2" w:rsidRPr="00E72036">
        <w:rPr>
          <w:rFonts w:ascii="Times New Roman" w:hAnsi="Times New Roman" w:cs="Times New Roman"/>
        </w:rPr>
        <w:t>The choice between Option A and Option B is not a policy design choice. It is a function of where you are in the interconnection process.</w:t>
      </w:r>
      <w:r w:rsidR="00476193" w:rsidRPr="00E72036">
        <w:rPr>
          <w:rFonts w:ascii="Times New Roman" w:hAnsi="Times New Roman" w:cs="Times New Roman"/>
        </w:rPr>
        <w:t xml:space="preserve"> </w:t>
      </w:r>
    </w:p>
    <w:p w14:paraId="71F36BEF" w14:textId="77777777" w:rsidR="00613FCB" w:rsidRDefault="00613FCB" w:rsidP="00C50051">
      <w:pPr>
        <w:rPr>
          <w:rFonts w:ascii="Times New Roman" w:hAnsi="Times New Roman" w:cs="Times New Roman"/>
        </w:rPr>
      </w:pPr>
    </w:p>
    <w:p w14:paraId="2D71648D" w14:textId="09F0B243" w:rsidR="005B1E9A" w:rsidRDefault="00724FD2" w:rsidP="00C50051">
      <w:pPr>
        <w:rPr>
          <w:rFonts w:ascii="Times New Roman" w:hAnsi="Times New Roman" w:cs="Times New Roman"/>
        </w:rPr>
      </w:pPr>
      <w:r w:rsidRPr="009C3324">
        <w:rPr>
          <w:rFonts w:ascii="Times New Roman" w:hAnsi="Times New Roman" w:cs="Times New Roman"/>
          <w:b/>
          <w:bCs/>
        </w:rPr>
        <w:t>Phase 1</w:t>
      </w:r>
      <w:r w:rsidRPr="00E72036">
        <w:rPr>
          <w:rFonts w:ascii="Times New Roman" w:hAnsi="Times New Roman" w:cs="Times New Roman"/>
        </w:rPr>
        <w:t xml:space="preserve"> — Pre-Interconnection (Queue Purgatory): Option B is the only available path. You cannot offer DR because you don’t exist on the grid yet. But flexible interconnection gets you online years faster. The “payment” is the NPV of accelerated operations, which dwarfs any capacity payment by </w:t>
      </w:r>
      <w:r w:rsidR="00800722" w:rsidRPr="00E72036">
        <w:rPr>
          <w:rFonts w:ascii="Times New Roman" w:hAnsi="Times New Roman" w:cs="Times New Roman"/>
        </w:rPr>
        <w:t>a massive amount</w:t>
      </w:r>
      <w:r w:rsidRPr="00E72036">
        <w:rPr>
          <w:rFonts w:ascii="Times New Roman" w:hAnsi="Times New Roman" w:cs="Times New Roman"/>
        </w:rPr>
        <w:t>.</w:t>
      </w:r>
    </w:p>
    <w:p w14:paraId="699C4E4A" w14:textId="77777777" w:rsidR="009C3324" w:rsidRPr="00E72036" w:rsidRDefault="009C3324" w:rsidP="00C50051">
      <w:pPr>
        <w:rPr>
          <w:rFonts w:ascii="Times New Roman" w:hAnsi="Times New Roman" w:cs="Times New Roman"/>
        </w:rPr>
      </w:pPr>
    </w:p>
    <w:p w14:paraId="2D71648E" w14:textId="5DC93B28" w:rsidR="005B1E9A" w:rsidRDefault="00724FD2" w:rsidP="00C50051">
      <w:pPr>
        <w:rPr>
          <w:rFonts w:ascii="Times New Roman" w:hAnsi="Times New Roman" w:cs="Times New Roman"/>
        </w:rPr>
      </w:pPr>
      <w:r w:rsidRPr="009C3324">
        <w:rPr>
          <w:rFonts w:ascii="Times New Roman" w:hAnsi="Times New Roman" w:cs="Times New Roman"/>
          <w:b/>
          <w:bCs/>
        </w:rPr>
        <w:t>Phase 2</w:t>
      </w:r>
      <w:r w:rsidRPr="00E72036">
        <w:rPr>
          <w:rFonts w:ascii="Times New Roman" w:hAnsi="Times New Roman" w:cs="Times New Roman"/>
        </w:rPr>
        <w:t xml:space="preserve"> — Post-Interconnection: Now you have a choice. Stay on flexible interconnection (no capacity payment, but flexibility is already reflected in reduced demand</w:t>
      </w:r>
      <w:proofErr w:type="gramStart"/>
      <w:r w:rsidRPr="00E72036">
        <w:rPr>
          <w:rFonts w:ascii="Times New Roman" w:hAnsi="Times New Roman" w:cs="Times New Roman"/>
        </w:rPr>
        <w:t>), or</w:t>
      </w:r>
      <w:proofErr w:type="gramEnd"/>
      <w:r w:rsidRPr="00E72036">
        <w:rPr>
          <w:rFonts w:ascii="Times New Roman" w:hAnsi="Times New Roman" w:cs="Times New Roman"/>
        </w:rPr>
        <w:t xml:space="preserve"> convert to firm service and offer DR into the BRA (collect capacity revenue, but your full load now increases the Reliability Requirement). The economically rational choice depends on whether the capacity payment exceeds the value of the demand-side accounting treatment. Given that the interconnection NPV advantage has already been captured in Phase 1, the Phase 2 decision is purely about annual revenue vs. operational simplicity.</w:t>
      </w:r>
      <w:r w:rsidR="00C132BD" w:rsidRPr="00E72036">
        <w:rPr>
          <w:rFonts w:ascii="Times New Roman" w:hAnsi="Times New Roman" w:cs="Times New Roman"/>
        </w:rPr>
        <w:t xml:space="preserve"> I do not think there will be significant action in the “Phase 2 </w:t>
      </w:r>
      <w:proofErr w:type="gramStart"/>
      <w:r w:rsidR="00C132BD" w:rsidRPr="00E72036">
        <w:rPr>
          <w:rFonts w:ascii="Times New Roman" w:hAnsi="Times New Roman" w:cs="Times New Roman"/>
        </w:rPr>
        <w:t>Decision”…</w:t>
      </w:r>
      <w:proofErr w:type="gramEnd"/>
      <w:r w:rsidR="00C132BD" w:rsidRPr="00E72036">
        <w:rPr>
          <w:rFonts w:ascii="Times New Roman" w:hAnsi="Times New Roman" w:cs="Times New Roman"/>
        </w:rPr>
        <w:t xml:space="preserve">.at least not until </w:t>
      </w:r>
      <w:r w:rsidR="008F7EBF" w:rsidRPr="00E72036">
        <w:rPr>
          <w:rFonts w:ascii="Times New Roman" w:hAnsi="Times New Roman" w:cs="Times New Roman"/>
        </w:rPr>
        <w:t xml:space="preserve">firm BTM supply chain constraints relieve or </w:t>
      </w:r>
      <w:r w:rsidR="00C132BD" w:rsidRPr="00E72036">
        <w:rPr>
          <w:rFonts w:ascii="Times New Roman" w:hAnsi="Times New Roman" w:cs="Times New Roman"/>
        </w:rPr>
        <w:t>SMRs become</w:t>
      </w:r>
      <w:r w:rsidR="008F7EBF" w:rsidRPr="00E72036">
        <w:rPr>
          <w:rFonts w:ascii="Times New Roman" w:hAnsi="Times New Roman" w:cs="Times New Roman"/>
        </w:rPr>
        <w:t xml:space="preserve"> a thing.</w:t>
      </w:r>
      <w:r w:rsidR="00C132BD" w:rsidRPr="00E72036">
        <w:rPr>
          <w:rFonts w:ascii="Times New Roman" w:hAnsi="Times New Roman" w:cs="Times New Roman"/>
        </w:rPr>
        <w:t xml:space="preserve"> </w:t>
      </w:r>
    </w:p>
    <w:p w14:paraId="3CA61D09" w14:textId="77777777" w:rsidR="00613FCB" w:rsidRPr="00E72036" w:rsidRDefault="00613FCB" w:rsidP="00C50051">
      <w:pPr>
        <w:rPr>
          <w:rFonts w:ascii="Times New Roman" w:hAnsi="Times New Roman" w:cs="Times New Roman"/>
        </w:rPr>
      </w:pPr>
    </w:p>
    <w:p w14:paraId="2D71648F" w14:textId="77777777" w:rsidR="005B1E9A" w:rsidRPr="00E72036" w:rsidRDefault="00724FD2" w:rsidP="00C50051">
      <w:pPr>
        <w:rPr>
          <w:rFonts w:ascii="Times New Roman" w:hAnsi="Times New Roman" w:cs="Times New Roman"/>
        </w:rPr>
      </w:pPr>
      <w:r w:rsidRPr="00997652">
        <w:rPr>
          <w:rFonts w:ascii="Times New Roman" w:hAnsi="Times New Roman" w:cs="Times New Roman"/>
          <w:b/>
          <w:bCs/>
        </w:rPr>
        <w:t xml:space="preserve">The Double-Counting Constraint: </w:t>
      </w:r>
      <w:r w:rsidRPr="00E72036">
        <w:rPr>
          <w:rFonts w:ascii="Times New Roman" w:hAnsi="Times New Roman" w:cs="Times New Roman"/>
        </w:rPr>
        <w:t>A given MW of flexibility can only be counted once. If your interconnection agreement already commits 271 MW of flexibility (and PJM’s load forecast reflects 229 MW firm load for a 500 MW facility), you cannot also offer that same 271 MW as DR into the BRA. That would count the same flexibility twice—once as reduced demand, once as added supply. To participate in the BRA, you’d need to convert to full firm service (putting 500 MW back into the load forecast) and then offer DR.</w:t>
      </w:r>
    </w:p>
    <w:p w14:paraId="6C45D683" w14:textId="77777777" w:rsidR="00613FCB" w:rsidRDefault="00613FCB" w:rsidP="00C50051">
      <w:pPr>
        <w:rPr>
          <w:rFonts w:ascii="Times New Roman" w:hAnsi="Times New Roman" w:cs="Times New Roman"/>
        </w:rPr>
      </w:pPr>
    </w:p>
    <w:p w14:paraId="2C61926E" w14:textId="4BB4A5B4" w:rsidR="00B00FA5" w:rsidRPr="00613FCB" w:rsidRDefault="00B00FA5" w:rsidP="00C50051">
      <w:pPr>
        <w:rPr>
          <w:rFonts w:ascii="Times New Roman" w:hAnsi="Times New Roman" w:cs="Times New Roman"/>
          <w:b/>
          <w:bCs/>
          <w:sz w:val="24"/>
          <w:szCs w:val="24"/>
        </w:rPr>
      </w:pPr>
      <w:r w:rsidRPr="00613FCB">
        <w:rPr>
          <w:rFonts w:ascii="Times New Roman" w:hAnsi="Times New Roman" w:cs="Times New Roman"/>
          <w:b/>
          <w:bCs/>
          <w:sz w:val="24"/>
          <w:szCs w:val="24"/>
        </w:rPr>
        <w:t>Impact on the Reliability Requirement</w:t>
      </w:r>
    </w:p>
    <w:p w14:paraId="2D716491" w14:textId="43AECC46" w:rsidR="005B1E9A" w:rsidRPr="00E72036" w:rsidRDefault="00724FD2" w:rsidP="00C50051">
      <w:pPr>
        <w:rPr>
          <w:rFonts w:ascii="Times New Roman" w:hAnsi="Times New Roman" w:cs="Times New Roman"/>
        </w:rPr>
      </w:pPr>
      <w:r w:rsidRPr="00E72036">
        <w:rPr>
          <w:rFonts w:ascii="Times New Roman" w:hAnsi="Times New Roman" w:cs="Times New Roman"/>
        </w:rPr>
        <w:t>PJM’s own 2025 ELCC/RRS study projects a UCAP surplus of only 1,059 MW for the 2027/2028 delivery year, deteriorating to a deficit of 26,734 MW by 2035/2036.</w:t>
      </w:r>
      <w:r w:rsidR="00FF2CBD" w:rsidRPr="00E72036">
        <w:rPr>
          <w:rStyle w:val="FootnoteReference"/>
          <w:rFonts w:ascii="Times New Roman" w:hAnsi="Times New Roman" w:cs="Times New Roman"/>
        </w:rPr>
        <w:footnoteReference w:id="16"/>
      </w:r>
      <w:r w:rsidRPr="00E72036">
        <w:rPr>
          <w:rFonts w:ascii="Times New Roman" w:hAnsi="Times New Roman" w:cs="Times New Roman"/>
        </w:rPr>
        <w:t xml:space="preserve"> These projections assume the load forecast at face value</w:t>
      </w:r>
      <w:r w:rsidR="00E132D8" w:rsidRPr="00E72036">
        <w:rPr>
          <w:rFonts w:ascii="Times New Roman" w:hAnsi="Times New Roman" w:cs="Times New Roman"/>
        </w:rPr>
        <w:t xml:space="preserve">: </w:t>
      </w:r>
      <w:r w:rsidRPr="00E72036">
        <w:rPr>
          <w:rFonts w:ascii="Times New Roman" w:hAnsi="Times New Roman" w:cs="Times New Roman"/>
        </w:rPr>
        <w:t>DC load at full nameplate draw, 24/7.</w:t>
      </w:r>
    </w:p>
    <w:p w14:paraId="049D1BAC" w14:textId="77777777" w:rsidR="00613FCB" w:rsidRDefault="00613FCB" w:rsidP="00C50051">
      <w:pPr>
        <w:rPr>
          <w:rFonts w:ascii="Times New Roman" w:hAnsi="Times New Roman" w:cs="Times New Roman"/>
        </w:rPr>
      </w:pPr>
    </w:p>
    <w:p w14:paraId="2D716492" w14:textId="177DEFF5"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Under Option A (DR into BRA), this deficit doesn’t improve on the demand side. The full DC load is in the forecast. </w:t>
      </w:r>
      <w:r w:rsidR="00841E63">
        <w:rPr>
          <w:rFonts w:ascii="Times New Roman" w:hAnsi="Times New Roman" w:cs="Times New Roman"/>
        </w:rPr>
        <w:t xml:space="preserve">DC </w:t>
      </w:r>
      <w:r w:rsidRPr="00E72036">
        <w:rPr>
          <w:rFonts w:ascii="Times New Roman" w:hAnsi="Times New Roman" w:cs="Times New Roman"/>
        </w:rPr>
        <w:t xml:space="preserve">DR </w:t>
      </w:r>
      <w:r w:rsidR="00841E63">
        <w:rPr>
          <w:rFonts w:ascii="Times New Roman" w:hAnsi="Times New Roman" w:cs="Times New Roman"/>
        </w:rPr>
        <w:t xml:space="preserve">simply </w:t>
      </w:r>
      <w:r w:rsidRPr="00E72036">
        <w:rPr>
          <w:rFonts w:ascii="Times New Roman" w:hAnsi="Times New Roman" w:cs="Times New Roman"/>
        </w:rPr>
        <w:t xml:space="preserve">adds to </w:t>
      </w:r>
      <w:proofErr w:type="gramStart"/>
      <w:r w:rsidRPr="00E72036">
        <w:rPr>
          <w:rFonts w:ascii="Times New Roman" w:hAnsi="Times New Roman" w:cs="Times New Roman"/>
        </w:rPr>
        <w:t>supply</w:t>
      </w:r>
      <w:proofErr w:type="gramEnd"/>
      <w:r w:rsidRPr="00E72036">
        <w:rPr>
          <w:rFonts w:ascii="Times New Roman" w:hAnsi="Times New Roman" w:cs="Times New Roman"/>
        </w:rPr>
        <w:t xml:space="preserve"> but the requirement stays high.</w:t>
      </w:r>
    </w:p>
    <w:p w14:paraId="71F759AE" w14:textId="77777777" w:rsidR="00613FCB" w:rsidRDefault="00613FCB" w:rsidP="00C50051">
      <w:pPr>
        <w:rPr>
          <w:rFonts w:ascii="Times New Roman" w:hAnsi="Times New Roman" w:cs="Times New Roman"/>
        </w:rPr>
      </w:pPr>
    </w:p>
    <w:p w14:paraId="2D716493" w14:textId="60BA8941"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Under Option B (connect-and-manage), the deficit improves on the demand side. With the DVFS + Spatial portfolio enabling </w:t>
      </w:r>
      <w:r w:rsidR="00841E63">
        <w:rPr>
          <w:rFonts w:ascii="Times New Roman" w:hAnsi="Times New Roman" w:cs="Times New Roman"/>
        </w:rPr>
        <w:t>material</w:t>
      </w:r>
      <w:r w:rsidRPr="00E72036">
        <w:rPr>
          <w:rFonts w:ascii="Times New Roman" w:hAnsi="Times New Roman" w:cs="Times New Roman"/>
        </w:rPr>
        <w:t xml:space="preserve"> commitment depth for inference-dominant facilities, </w:t>
      </w:r>
      <w:proofErr w:type="gramStart"/>
      <w:r w:rsidRPr="00E72036">
        <w:rPr>
          <w:rFonts w:ascii="Times New Roman" w:hAnsi="Times New Roman" w:cs="Times New Roman"/>
        </w:rPr>
        <w:t xml:space="preserve">a </w:t>
      </w:r>
      <w:r w:rsidR="00841E63">
        <w:rPr>
          <w:rFonts w:ascii="Times New Roman" w:hAnsi="Times New Roman" w:cs="Times New Roman"/>
        </w:rPr>
        <w:t>the</w:t>
      </w:r>
      <w:proofErr w:type="gramEnd"/>
      <w:r w:rsidR="00841E63">
        <w:rPr>
          <w:rFonts w:ascii="Times New Roman" w:hAnsi="Times New Roman" w:cs="Times New Roman"/>
        </w:rPr>
        <w:t xml:space="preserve"> aggregate</w:t>
      </w:r>
      <w:r w:rsidRPr="00E72036">
        <w:rPr>
          <w:rFonts w:ascii="Times New Roman" w:hAnsi="Times New Roman" w:cs="Times New Roman"/>
        </w:rPr>
        <w:t xml:space="preserve"> fleet </w:t>
      </w:r>
      <w:r w:rsidR="00841E63">
        <w:rPr>
          <w:rFonts w:ascii="Times New Roman" w:hAnsi="Times New Roman" w:cs="Times New Roman"/>
        </w:rPr>
        <w:t xml:space="preserve">of data centers can offer a </w:t>
      </w:r>
      <w:r w:rsidR="00523A2D">
        <w:rPr>
          <w:rFonts w:ascii="Times New Roman" w:hAnsi="Times New Roman" w:cs="Times New Roman"/>
        </w:rPr>
        <w:t>portion</w:t>
      </w:r>
      <w:r w:rsidRPr="00E72036">
        <w:rPr>
          <w:rFonts w:ascii="Times New Roman" w:hAnsi="Times New Roman" w:cs="Times New Roman"/>
        </w:rPr>
        <w:t xml:space="preserve"> </w:t>
      </w:r>
      <w:r w:rsidR="00523A2D">
        <w:rPr>
          <w:rFonts w:ascii="Times New Roman" w:hAnsi="Times New Roman" w:cs="Times New Roman"/>
        </w:rPr>
        <w:t xml:space="preserve">of </w:t>
      </w:r>
      <w:r w:rsidRPr="00E72036">
        <w:rPr>
          <w:rFonts w:ascii="Times New Roman" w:hAnsi="Times New Roman" w:cs="Times New Roman"/>
        </w:rPr>
        <w:t xml:space="preserve">nameplate, removing </w:t>
      </w:r>
      <w:r w:rsidR="00523A2D">
        <w:rPr>
          <w:rFonts w:ascii="Times New Roman" w:hAnsi="Times New Roman" w:cs="Times New Roman"/>
        </w:rPr>
        <w:t>a significant amount</w:t>
      </w:r>
      <w:r w:rsidRPr="00E72036">
        <w:rPr>
          <w:rFonts w:ascii="Times New Roman" w:hAnsi="Times New Roman" w:cs="Times New Roman"/>
        </w:rPr>
        <w:t xml:space="preserve"> </w:t>
      </w:r>
      <w:r w:rsidR="00523A2D">
        <w:rPr>
          <w:rFonts w:ascii="Times New Roman" w:hAnsi="Times New Roman" w:cs="Times New Roman"/>
        </w:rPr>
        <w:t xml:space="preserve">of </w:t>
      </w:r>
      <w:r w:rsidRPr="00E72036">
        <w:rPr>
          <w:rFonts w:ascii="Times New Roman" w:hAnsi="Times New Roman" w:cs="Times New Roman"/>
        </w:rPr>
        <w:t xml:space="preserve">non-firm load directly from the Reliability Requirement before any supply-side DR enters the picture. Because each MW of load removed from the planning process avoids building (1 + IRM) MW of installed generation capacity, the total avoided installed capacity is </w:t>
      </w:r>
      <w:r w:rsidR="00523A2D">
        <w:rPr>
          <w:rFonts w:ascii="Times New Roman" w:hAnsi="Times New Roman" w:cs="Times New Roman"/>
        </w:rPr>
        <w:t>massive and represents an avoidance or delay of gas turbine buildout</w:t>
      </w:r>
      <w:r w:rsidRPr="00E72036">
        <w:rPr>
          <w:rFonts w:ascii="Times New Roman" w:hAnsi="Times New Roman" w:cs="Times New Roman"/>
        </w:rPr>
        <w:t>. This is a fundamentally different accounting outcome with identical physical grid behavior.</w:t>
      </w:r>
    </w:p>
    <w:p w14:paraId="41C2F66F" w14:textId="77777777" w:rsidR="00613FCB" w:rsidRDefault="00613FCB" w:rsidP="00C50051">
      <w:pPr>
        <w:rPr>
          <w:rFonts w:ascii="Times New Roman" w:hAnsi="Times New Roman" w:cs="Times New Roman"/>
          <w:sz w:val="28"/>
          <w:szCs w:val="28"/>
        </w:rPr>
      </w:pPr>
    </w:p>
    <w:p w14:paraId="2D716494" w14:textId="7B4D1DF0" w:rsidR="005B1E9A" w:rsidRPr="00613FCB" w:rsidRDefault="00B00FA5" w:rsidP="00C50051">
      <w:pPr>
        <w:rPr>
          <w:rFonts w:ascii="Times New Roman" w:hAnsi="Times New Roman" w:cs="Times New Roman"/>
          <w:b/>
          <w:bCs/>
        </w:rPr>
      </w:pPr>
      <w:r w:rsidRPr="00613FCB">
        <w:rPr>
          <w:rFonts w:ascii="Times New Roman" w:hAnsi="Times New Roman" w:cs="Times New Roman"/>
          <w:b/>
          <w:bCs/>
          <w:sz w:val="28"/>
          <w:szCs w:val="28"/>
        </w:rPr>
        <w:t>Non-Firm Service: Scenario Breakdown</w:t>
      </w:r>
      <w:r w:rsidR="005D064D" w:rsidRPr="00613FCB">
        <w:rPr>
          <w:rStyle w:val="FootnoteReference"/>
          <w:rFonts w:ascii="Times New Roman" w:hAnsi="Times New Roman" w:cs="Times New Roman"/>
          <w:b/>
          <w:bCs/>
          <w:sz w:val="28"/>
          <w:szCs w:val="28"/>
        </w:rPr>
        <w:footnoteReference w:id="17"/>
      </w:r>
      <w:r w:rsidR="00D419A7">
        <w:rPr>
          <w:rFonts w:ascii="Times New Roman" w:hAnsi="Times New Roman" w:cs="Times New Roman"/>
          <w:b/>
          <w:bCs/>
          <w:sz w:val="28"/>
          <w:szCs w:val="28"/>
        </w:rPr>
        <w:t xml:space="preserve"> </w:t>
      </w:r>
      <w:r w:rsidR="00D419A7" w:rsidRPr="00D419A7">
        <w:rPr>
          <w:rFonts w:ascii="Times New Roman" w:hAnsi="Times New Roman" w:cs="Times New Roman"/>
          <w:b/>
          <w:bCs/>
          <w:color w:val="FF0000"/>
          <w:sz w:val="28"/>
          <w:szCs w:val="28"/>
        </w:rPr>
        <w:t>(Directional Values Only)</w:t>
      </w:r>
    </w:p>
    <w:p w14:paraId="2D716495" w14:textId="77777777"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A critical implementation question: if a DC connects under a non-firm agreement (Option B), how does that interact with capacity market participation over time? PJM does not currently have a connect-and-manage framework for load, and ERCOT’s proposal is still being formalized. But we can reason through the scenarios that any implementation would need to </w:t>
      </w:r>
      <w:proofErr w:type="gramStart"/>
      <w:r w:rsidRPr="00E72036">
        <w:rPr>
          <w:rFonts w:ascii="Times New Roman" w:hAnsi="Times New Roman" w:cs="Times New Roman"/>
        </w:rPr>
        <w:t>address</w:t>
      </w:r>
      <w:proofErr w:type="gramEnd"/>
      <w:r w:rsidRPr="00E72036">
        <w:rPr>
          <w:rFonts w:ascii="Times New Roman" w:hAnsi="Times New Roman" w:cs="Times New Roman"/>
        </w:rPr>
        <w:t>.</w:t>
      </w:r>
    </w:p>
    <w:p w14:paraId="70695C49" w14:textId="77777777" w:rsidR="00D419A7" w:rsidRDefault="00D419A7" w:rsidP="00C50051">
      <w:pPr>
        <w:rPr>
          <w:rFonts w:ascii="Times New Roman" w:hAnsi="Times New Roman" w:cs="Times New Roman"/>
        </w:rPr>
      </w:pPr>
    </w:p>
    <w:p w14:paraId="2D716496" w14:textId="6C255CE3" w:rsidR="005B1E9A" w:rsidRPr="00E72036" w:rsidRDefault="00724FD2" w:rsidP="00C50051">
      <w:pPr>
        <w:rPr>
          <w:rFonts w:ascii="Times New Roman" w:hAnsi="Times New Roman" w:cs="Times New Roman"/>
        </w:rPr>
      </w:pPr>
      <w:r w:rsidRPr="00ED16C3">
        <w:rPr>
          <w:rFonts w:ascii="Times New Roman" w:hAnsi="Times New Roman" w:cs="Times New Roman"/>
          <w:b/>
          <w:bCs/>
        </w:rPr>
        <w:t>Scenario 1:</w:t>
      </w:r>
      <w:r w:rsidRPr="00E72036">
        <w:rPr>
          <w:rFonts w:ascii="Times New Roman" w:hAnsi="Times New Roman" w:cs="Times New Roman"/>
        </w:rPr>
        <w:t xml:space="preserve"> Stay non-firm, no BRA participation. The DC operates at 500 MW nameplate with 271 MW interruptible (54% commitment depth). The load forecast shows 229 MW. No capacity payment. The “payment” was getting online faster. This is the cleanest version with no accounting complications.</w:t>
      </w:r>
    </w:p>
    <w:p w14:paraId="495342C7" w14:textId="77777777" w:rsidR="00D419A7" w:rsidRDefault="00D419A7" w:rsidP="00C50051">
      <w:pPr>
        <w:rPr>
          <w:rFonts w:ascii="Times New Roman" w:hAnsi="Times New Roman" w:cs="Times New Roman"/>
        </w:rPr>
      </w:pPr>
    </w:p>
    <w:p w14:paraId="2D716497" w14:textId="4F429B79" w:rsidR="005B1E9A" w:rsidRPr="00E72036" w:rsidRDefault="00724FD2" w:rsidP="00C50051">
      <w:pPr>
        <w:rPr>
          <w:rFonts w:ascii="Times New Roman" w:hAnsi="Times New Roman" w:cs="Times New Roman"/>
        </w:rPr>
      </w:pPr>
      <w:r w:rsidRPr="00ED16C3">
        <w:rPr>
          <w:rFonts w:ascii="Times New Roman" w:hAnsi="Times New Roman" w:cs="Times New Roman"/>
          <w:b/>
          <w:bCs/>
        </w:rPr>
        <w:t>Scenario 2:</w:t>
      </w:r>
      <w:r w:rsidRPr="00E72036">
        <w:rPr>
          <w:rFonts w:ascii="Times New Roman" w:hAnsi="Times New Roman" w:cs="Times New Roman"/>
        </w:rPr>
        <w:t xml:space="preserve"> Stay non-firm, bid incremental flexibility into BRA. Say the DC can </w:t>
      </w:r>
      <w:proofErr w:type="gramStart"/>
      <w:r w:rsidRPr="00E72036">
        <w:rPr>
          <w:rFonts w:ascii="Times New Roman" w:hAnsi="Times New Roman" w:cs="Times New Roman"/>
        </w:rPr>
        <w:t>actually curtail</w:t>
      </w:r>
      <w:proofErr w:type="gramEnd"/>
      <w:r w:rsidRPr="00E72036">
        <w:rPr>
          <w:rFonts w:ascii="Times New Roman" w:hAnsi="Times New Roman" w:cs="Times New Roman"/>
        </w:rPr>
        <w:t xml:space="preserve"> more than the 271 MW committed in the interconnection agreement via BTM buildout improvements either on site or in DC network over time. The interconnection agreement already commits 271 MW (reflected as reduced demand). Any flexibility above that is genuinely incremental. In principle, the DC could offer this incremental amount as DR into the BRA and collect capacity revenue without double-counting. However, the accounting verification—proving the DR offer is genuinely additional to the interconnection commitment—would require new PJM mechanisms.</w:t>
      </w:r>
    </w:p>
    <w:p w14:paraId="1938A0BF" w14:textId="77777777" w:rsidR="00D419A7" w:rsidRDefault="00D419A7" w:rsidP="00C50051">
      <w:pPr>
        <w:rPr>
          <w:rFonts w:ascii="Times New Roman" w:hAnsi="Times New Roman" w:cs="Times New Roman"/>
        </w:rPr>
      </w:pPr>
    </w:p>
    <w:p w14:paraId="2D716498" w14:textId="1A35B39F" w:rsidR="005B1E9A" w:rsidRPr="00E72036" w:rsidRDefault="00724FD2" w:rsidP="00C50051">
      <w:pPr>
        <w:rPr>
          <w:rFonts w:ascii="Times New Roman" w:hAnsi="Times New Roman" w:cs="Times New Roman"/>
        </w:rPr>
      </w:pPr>
      <w:r w:rsidRPr="00305E2E">
        <w:rPr>
          <w:rFonts w:ascii="Times New Roman" w:hAnsi="Times New Roman" w:cs="Times New Roman"/>
          <w:b/>
          <w:bCs/>
        </w:rPr>
        <w:t>Scenario 3:</w:t>
      </w:r>
      <w:r w:rsidRPr="00E72036">
        <w:rPr>
          <w:rFonts w:ascii="Times New Roman" w:hAnsi="Times New Roman" w:cs="Times New Roman"/>
        </w:rPr>
        <w:t xml:space="preserve"> Convert to firm, then bid full DR. Once the transmission upgrades are built (either through PJM’s RTEP process or self-funded), the DC renegotiates to full firm service. Now 500 MW is in the load forecast. The Reliability Requirement goes back up. But the DC can offer </w:t>
      </w:r>
      <w:proofErr w:type="gramStart"/>
      <w:r w:rsidRPr="00E72036">
        <w:rPr>
          <w:rFonts w:ascii="Times New Roman" w:hAnsi="Times New Roman" w:cs="Times New Roman"/>
        </w:rPr>
        <w:t>the full</w:t>
      </w:r>
      <w:proofErr w:type="gramEnd"/>
      <w:r w:rsidRPr="00E72036">
        <w:rPr>
          <w:rFonts w:ascii="Times New Roman" w:hAnsi="Times New Roman" w:cs="Times New Roman"/>
        </w:rPr>
        <w:t xml:space="preserve"> flexibility as DR. </w:t>
      </w:r>
      <w:r w:rsidR="00E05439" w:rsidRPr="00E72036">
        <w:rPr>
          <w:rFonts w:ascii="Times New Roman" w:hAnsi="Times New Roman" w:cs="Times New Roman"/>
        </w:rPr>
        <w:t xml:space="preserve">The </w:t>
      </w:r>
      <w:r w:rsidRPr="00E72036">
        <w:rPr>
          <w:rFonts w:ascii="Times New Roman" w:hAnsi="Times New Roman" w:cs="Times New Roman"/>
        </w:rPr>
        <w:t xml:space="preserve">DC has already captured years of accelerated operations from Phase 1. The non-firm agreement </w:t>
      </w:r>
      <w:r w:rsidRPr="00E72036">
        <w:rPr>
          <w:rFonts w:ascii="Times New Roman" w:hAnsi="Times New Roman" w:cs="Times New Roman"/>
        </w:rPr>
        <w:lastRenderedPageBreak/>
        <w:t>persists until this underlying transmission constraint is resolved</w:t>
      </w:r>
      <w:r w:rsidR="00E05439" w:rsidRPr="00E72036">
        <w:rPr>
          <w:rFonts w:ascii="Times New Roman" w:hAnsi="Times New Roman" w:cs="Times New Roman"/>
        </w:rPr>
        <w:t>. This dampens the time constraint we have talked about.</w:t>
      </w:r>
    </w:p>
    <w:p w14:paraId="1AB26EC4" w14:textId="77777777" w:rsidR="00D419A7" w:rsidRDefault="00D419A7" w:rsidP="00C50051">
      <w:pPr>
        <w:rPr>
          <w:rFonts w:ascii="Times New Roman" w:hAnsi="Times New Roman" w:cs="Times New Roman"/>
        </w:rPr>
      </w:pPr>
    </w:p>
    <w:p w14:paraId="2D716499" w14:textId="7D844ACC" w:rsidR="005B1E9A" w:rsidRPr="00E72036" w:rsidRDefault="00724FD2" w:rsidP="00C50051">
      <w:pPr>
        <w:rPr>
          <w:rFonts w:ascii="Times New Roman" w:hAnsi="Times New Roman" w:cs="Times New Roman"/>
        </w:rPr>
      </w:pPr>
      <w:r w:rsidRPr="00305E2E">
        <w:rPr>
          <w:rFonts w:ascii="Times New Roman" w:hAnsi="Times New Roman" w:cs="Times New Roman"/>
          <w:b/>
          <w:bCs/>
        </w:rPr>
        <w:t>Scenario 4:</w:t>
      </w:r>
      <w:r w:rsidRPr="00E72036">
        <w:rPr>
          <w:rFonts w:ascii="Times New Roman" w:hAnsi="Times New Roman" w:cs="Times New Roman"/>
        </w:rPr>
        <w:t xml:space="preserve"> Th</w:t>
      </w:r>
      <w:r w:rsidR="00305E2E">
        <w:rPr>
          <w:rFonts w:ascii="Times New Roman" w:hAnsi="Times New Roman" w:cs="Times New Roman"/>
        </w:rPr>
        <w:t>is is the</w:t>
      </w:r>
      <w:r w:rsidRPr="00E72036">
        <w:rPr>
          <w:rFonts w:ascii="Times New Roman" w:hAnsi="Times New Roman" w:cs="Times New Roman"/>
        </w:rPr>
        <w:t xml:space="preserve"> one that must be prohibited. Convert to firm service without </w:t>
      </w:r>
      <w:proofErr w:type="gramStart"/>
      <w:r w:rsidRPr="00E72036">
        <w:rPr>
          <w:rFonts w:ascii="Times New Roman" w:hAnsi="Times New Roman" w:cs="Times New Roman"/>
        </w:rPr>
        <w:t>actually needing</w:t>
      </w:r>
      <w:proofErr w:type="gramEnd"/>
      <w:r w:rsidRPr="00E72036">
        <w:rPr>
          <w:rFonts w:ascii="Times New Roman" w:hAnsi="Times New Roman" w:cs="Times New Roman"/>
        </w:rPr>
        <w:t xml:space="preserve"> the upgrades because you’re going to curtail anyway. This would game the system: the DC inflates the Reliability Requirement by 271 MW (converting from 229 to 500 firm) and then “solves” that inflated requirement by bidding 271 MW of DR. Net grid impact: zero. But the DC has collected capacity payments for flexibility it was already providing for free. From an implementation standpoint this is something I am still trying to game out in my head to determine sufficient mitigation.</w:t>
      </w:r>
    </w:p>
    <w:p w14:paraId="7C0AC5A3" w14:textId="77777777" w:rsidR="00D419A7" w:rsidRDefault="00D419A7" w:rsidP="00C50051">
      <w:pPr>
        <w:rPr>
          <w:rFonts w:ascii="Times New Roman" w:hAnsi="Times New Roman" w:cs="Times New Roman"/>
        </w:rPr>
      </w:pPr>
    </w:p>
    <w:p w14:paraId="2D71649A" w14:textId="4A500CE0"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The strategic reality is that the capacity payment is a rounding error relative to the value of getting online. These </w:t>
      </w:r>
      <w:proofErr w:type="spellStart"/>
      <w:r w:rsidRPr="00E72036">
        <w:rPr>
          <w:rFonts w:ascii="Times New Roman" w:hAnsi="Times New Roman" w:cs="Times New Roman"/>
        </w:rPr>
        <w:t>hyperscalers</w:t>
      </w:r>
      <w:proofErr w:type="spellEnd"/>
      <w:r w:rsidRPr="00E72036">
        <w:rPr>
          <w:rFonts w:ascii="Times New Roman" w:hAnsi="Times New Roman" w:cs="Times New Roman"/>
        </w:rPr>
        <w:t xml:space="preserve"> are not resource-constrained on their balance sheets</w:t>
      </w:r>
      <w:r w:rsidR="00A473A0" w:rsidRPr="00E72036">
        <w:rPr>
          <w:rFonts w:ascii="Times New Roman" w:hAnsi="Times New Roman" w:cs="Times New Roman"/>
        </w:rPr>
        <w:t xml:space="preserve"> </w:t>
      </w:r>
      <w:r w:rsidRPr="00E72036">
        <w:rPr>
          <w:rFonts w:ascii="Times New Roman" w:hAnsi="Times New Roman" w:cs="Times New Roman"/>
        </w:rPr>
        <w:t>but nobody can do anything about time and supply chains. Flexible interconnection buys them the one thing money alone cannot: speed.</w:t>
      </w:r>
    </w:p>
    <w:p w14:paraId="58A0E26D" w14:textId="77777777" w:rsidR="00D419A7" w:rsidRDefault="00D419A7" w:rsidP="00C50051">
      <w:pPr>
        <w:rPr>
          <w:rFonts w:ascii="Times New Roman" w:hAnsi="Times New Roman" w:cs="Times New Roman"/>
        </w:rPr>
      </w:pPr>
    </w:p>
    <w:p w14:paraId="2D7164A4" w14:textId="609024FA" w:rsidR="005B1E9A" w:rsidRPr="00D419A7" w:rsidRDefault="00D419A7" w:rsidP="00C50051">
      <w:pPr>
        <w:rPr>
          <w:rFonts w:ascii="Times New Roman" w:hAnsi="Times New Roman" w:cs="Times New Roman"/>
          <w:b/>
          <w:bCs/>
          <w:sz w:val="24"/>
          <w:szCs w:val="24"/>
        </w:rPr>
      </w:pPr>
      <w:r>
        <w:rPr>
          <w:rFonts w:ascii="Times New Roman" w:hAnsi="Times New Roman" w:cs="Times New Roman"/>
          <w:b/>
          <w:bCs/>
          <w:sz w:val="24"/>
          <w:szCs w:val="24"/>
        </w:rPr>
        <w:t xml:space="preserve">Preview of </w:t>
      </w:r>
      <w:r w:rsidR="00724FD2" w:rsidRPr="00D419A7">
        <w:rPr>
          <w:rFonts w:ascii="Times New Roman" w:hAnsi="Times New Roman" w:cs="Times New Roman"/>
          <w:b/>
          <w:bCs/>
          <w:sz w:val="24"/>
          <w:szCs w:val="24"/>
        </w:rPr>
        <w:t>Long-Term Vision:</w:t>
      </w:r>
      <w:r w:rsidR="00823081" w:rsidRPr="00D419A7">
        <w:rPr>
          <w:rStyle w:val="FootnoteReference"/>
          <w:rFonts w:ascii="Times New Roman" w:hAnsi="Times New Roman" w:cs="Times New Roman"/>
          <w:b/>
          <w:bCs/>
          <w:sz w:val="24"/>
          <w:szCs w:val="24"/>
        </w:rPr>
        <w:footnoteReference w:id="18"/>
      </w:r>
    </w:p>
    <w:p w14:paraId="2D7164A5" w14:textId="563387AF"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The sequential framework (Option B → Option A) describes the near-to-medium term. But there is a longer arc that </w:t>
      </w:r>
      <w:r w:rsidR="00153823">
        <w:rPr>
          <w:rFonts w:ascii="Times New Roman" w:hAnsi="Times New Roman" w:cs="Times New Roman"/>
        </w:rPr>
        <w:t>I find fascinating to think about:</w:t>
      </w:r>
    </w:p>
    <w:p w14:paraId="58CBA93E" w14:textId="77777777" w:rsidR="00B005A9" w:rsidRDefault="00B005A9" w:rsidP="00C50051">
      <w:pPr>
        <w:rPr>
          <w:rFonts w:ascii="Times New Roman" w:hAnsi="Times New Roman" w:cs="Times New Roman"/>
        </w:rPr>
      </w:pPr>
    </w:p>
    <w:p w14:paraId="2D7164A6" w14:textId="21FCA52F"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If small modular reactors (SMRs) or other behind-the-meter generation becomes viable, the data center’s relationship with the grid inverts entirely. A DC with BTM generation sufficient to cover its own load could theoretically nominate its entire load—and then some—as DR, then sell surplus generation to the grid in real time. At that point the DC </w:t>
      </w:r>
      <w:proofErr w:type="gramStart"/>
      <w:r w:rsidRPr="00E72036">
        <w:rPr>
          <w:rFonts w:ascii="Times New Roman" w:hAnsi="Times New Roman" w:cs="Times New Roman"/>
        </w:rPr>
        <w:t>is</w:t>
      </w:r>
      <w:proofErr w:type="gramEnd"/>
      <w:r w:rsidRPr="00E72036">
        <w:rPr>
          <w:rFonts w:ascii="Times New Roman" w:hAnsi="Times New Roman" w:cs="Times New Roman"/>
        </w:rPr>
        <w:t xml:space="preserve"> not demand response. It is a dispatchable supply resource with a captive load that it can modulate in either direction: consume less from the </w:t>
      </w:r>
      <w:proofErr w:type="gramStart"/>
      <w:r w:rsidRPr="00E72036">
        <w:rPr>
          <w:rFonts w:ascii="Times New Roman" w:hAnsi="Times New Roman" w:cs="Times New Roman"/>
        </w:rPr>
        <w:t>grid, or</w:t>
      </w:r>
      <w:proofErr w:type="gramEnd"/>
      <w:r w:rsidRPr="00E72036">
        <w:rPr>
          <w:rFonts w:ascii="Times New Roman" w:hAnsi="Times New Roman" w:cs="Times New Roman"/>
        </w:rPr>
        <w:t xml:space="preserve"> inject surplus into it. That is a fundamentally different resource class than anything PJM currently categorizes</w:t>
      </w:r>
      <w:r w:rsidR="002176C4">
        <w:rPr>
          <w:rFonts w:ascii="Times New Roman" w:hAnsi="Times New Roman" w:cs="Times New Roman"/>
        </w:rPr>
        <w:t xml:space="preserve"> at scale</w:t>
      </w:r>
      <w:r w:rsidRPr="00E72036">
        <w:rPr>
          <w:rFonts w:ascii="Times New Roman" w:hAnsi="Times New Roman" w:cs="Times New Roman"/>
        </w:rPr>
        <w:t>.</w:t>
      </w:r>
    </w:p>
    <w:p w14:paraId="66E27E2E" w14:textId="77777777" w:rsidR="00B005A9" w:rsidRDefault="00B005A9" w:rsidP="00C50051">
      <w:pPr>
        <w:rPr>
          <w:rFonts w:ascii="Times New Roman" w:hAnsi="Times New Roman" w:cs="Times New Roman"/>
        </w:rPr>
      </w:pPr>
    </w:p>
    <w:p w14:paraId="2D7164A7" w14:textId="18288E29" w:rsidR="005B1E9A" w:rsidRPr="00E72036" w:rsidRDefault="00724FD2" w:rsidP="00C50051">
      <w:pPr>
        <w:rPr>
          <w:rFonts w:ascii="Times New Roman" w:hAnsi="Times New Roman" w:cs="Times New Roman"/>
        </w:rPr>
      </w:pPr>
      <w:r w:rsidRPr="00E72036">
        <w:rPr>
          <w:rFonts w:ascii="Times New Roman" w:hAnsi="Times New Roman" w:cs="Times New Roman"/>
        </w:rPr>
        <w:t xml:space="preserve">The economics could work. The capacity payments and energy market revenue from selling surplus power offset the </w:t>
      </w:r>
      <w:proofErr w:type="spellStart"/>
      <w:r w:rsidRPr="00E72036">
        <w:rPr>
          <w:rFonts w:ascii="Times New Roman" w:hAnsi="Times New Roman" w:cs="Times New Roman"/>
        </w:rPr>
        <w:t>CapEx</w:t>
      </w:r>
      <w:proofErr w:type="spellEnd"/>
      <w:r w:rsidRPr="00E72036">
        <w:rPr>
          <w:rFonts w:ascii="Times New Roman" w:hAnsi="Times New Roman" w:cs="Times New Roman"/>
        </w:rPr>
        <w:t xml:space="preserve"> of the SMR. The DC gets BTM power assurance (which they want anyway for reliability and operational independence) and gets paid for the excess. Build enough of these facilities and connect them via private fiber-optic networks, and you have a virtually connected power grid optimized specifically for data center operations—one that uses the general electricity grid opportunistically depending on conditions.</w:t>
      </w:r>
    </w:p>
    <w:p w14:paraId="61039F64" w14:textId="77777777" w:rsidR="00B005A9" w:rsidRDefault="00B005A9" w:rsidP="00C50051">
      <w:pPr>
        <w:rPr>
          <w:rFonts w:ascii="Times New Roman" w:hAnsi="Times New Roman" w:cs="Times New Roman"/>
        </w:rPr>
      </w:pPr>
    </w:p>
    <w:p w14:paraId="2D7164A8" w14:textId="42756058" w:rsidR="005B1E9A" w:rsidRPr="00E72036" w:rsidRDefault="00CB2281" w:rsidP="00C50051">
      <w:pPr>
        <w:rPr>
          <w:rFonts w:ascii="Times New Roman" w:hAnsi="Times New Roman" w:cs="Times New Roman"/>
        </w:rPr>
      </w:pPr>
      <w:r>
        <w:rPr>
          <w:rFonts w:ascii="Times New Roman" w:hAnsi="Times New Roman" w:cs="Times New Roman"/>
        </w:rPr>
        <w:t>If you think about it, t</w:t>
      </w:r>
      <w:r w:rsidR="00724FD2" w:rsidRPr="00E72036">
        <w:rPr>
          <w:rFonts w:ascii="Times New Roman" w:hAnsi="Times New Roman" w:cs="Times New Roman"/>
        </w:rPr>
        <w:t xml:space="preserve">his trajectory </w:t>
      </w:r>
      <w:proofErr w:type="gramStart"/>
      <w:r>
        <w:rPr>
          <w:rFonts w:ascii="Times New Roman" w:hAnsi="Times New Roman" w:cs="Times New Roman"/>
        </w:rPr>
        <w:t>would</w:t>
      </w:r>
      <w:proofErr w:type="gramEnd"/>
      <w:r>
        <w:rPr>
          <w:rFonts w:ascii="Times New Roman" w:hAnsi="Times New Roman" w:cs="Times New Roman"/>
        </w:rPr>
        <w:t xml:space="preserve"> </w:t>
      </w:r>
      <w:r w:rsidR="00724FD2" w:rsidRPr="00E72036">
        <w:rPr>
          <w:rFonts w:ascii="Times New Roman" w:hAnsi="Times New Roman" w:cs="Times New Roman"/>
        </w:rPr>
        <w:t xml:space="preserve">create a genuine competitive pressure mechanism on utilities. Today, utilities have a captive customer base and a guaranteed rate of return on infrastructure investment. They have little incentive to accelerate interconnection or modernize grid operations. But if </w:t>
      </w:r>
      <w:proofErr w:type="spellStart"/>
      <w:r w:rsidR="00724FD2" w:rsidRPr="00E72036">
        <w:rPr>
          <w:rFonts w:ascii="Times New Roman" w:hAnsi="Times New Roman" w:cs="Times New Roman"/>
        </w:rPr>
        <w:t>hyperscalers</w:t>
      </w:r>
      <w:proofErr w:type="spellEnd"/>
      <w:r w:rsidR="00724FD2" w:rsidRPr="00E72036">
        <w:rPr>
          <w:rFonts w:ascii="Times New Roman" w:hAnsi="Times New Roman" w:cs="Times New Roman"/>
        </w:rPr>
        <w:t xml:space="preserve"> can demonstrate a credible path to energy independence</w:t>
      </w:r>
      <w:r>
        <w:rPr>
          <w:rFonts w:ascii="Times New Roman" w:hAnsi="Times New Roman" w:cs="Times New Roman"/>
        </w:rPr>
        <w:t xml:space="preserve"> via </w:t>
      </w:r>
      <w:r w:rsidR="00724FD2" w:rsidRPr="00E72036">
        <w:rPr>
          <w:rFonts w:ascii="Times New Roman" w:hAnsi="Times New Roman" w:cs="Times New Roman"/>
        </w:rPr>
        <w:t>BTM generation, private campus networks, geographic load optimization across facilities</w:t>
      </w:r>
      <w:r>
        <w:rPr>
          <w:rFonts w:ascii="Times New Roman" w:hAnsi="Times New Roman" w:cs="Times New Roman"/>
        </w:rPr>
        <w:t xml:space="preserve">, </w:t>
      </w:r>
      <w:r w:rsidR="00724FD2" w:rsidRPr="00E72036">
        <w:rPr>
          <w:rFonts w:ascii="Times New Roman" w:hAnsi="Times New Roman" w:cs="Times New Roman"/>
        </w:rPr>
        <w:t xml:space="preserve">then the utility’s value proposition narrows to “we provide the last-mile wire.” The utility either accelerates interconnection and service quality to keep these large customers on the grid and paying </w:t>
      </w:r>
      <w:proofErr w:type="gramStart"/>
      <w:r w:rsidR="00724FD2" w:rsidRPr="00E72036">
        <w:rPr>
          <w:rFonts w:ascii="Times New Roman" w:hAnsi="Times New Roman" w:cs="Times New Roman"/>
        </w:rPr>
        <w:t>tariffs, or</w:t>
      </w:r>
      <w:proofErr w:type="gramEnd"/>
      <w:r w:rsidR="00724FD2" w:rsidRPr="00E72036">
        <w:rPr>
          <w:rFonts w:ascii="Times New Roman" w:hAnsi="Times New Roman" w:cs="Times New Roman"/>
        </w:rPr>
        <w:t xml:space="preserve"> watches them build around the utility entirely. That is a market discipline mechanism that does not exist today, and it emerges directly from the flexibility capability this thesis describes.</w:t>
      </w:r>
      <w:r>
        <w:rPr>
          <w:rFonts w:ascii="Times New Roman" w:hAnsi="Times New Roman" w:cs="Times New Roman"/>
        </w:rPr>
        <w:t xml:space="preserve"> Pretty crazy to think about.</w:t>
      </w:r>
    </w:p>
    <w:p w14:paraId="138A261E" w14:textId="77777777" w:rsidR="00B005A9" w:rsidRPr="00E72036" w:rsidRDefault="00B005A9" w:rsidP="00C50051">
      <w:pPr>
        <w:rPr>
          <w:rFonts w:ascii="Times New Roman" w:hAnsi="Times New Roman" w:cs="Times New Roman"/>
        </w:rPr>
      </w:pPr>
    </w:p>
    <w:p w14:paraId="795D032F" w14:textId="77777777" w:rsidR="00107CB1" w:rsidRPr="00E72036" w:rsidRDefault="00107CB1" w:rsidP="00C50051">
      <w:pPr>
        <w:rPr>
          <w:rFonts w:ascii="Times New Roman" w:hAnsi="Times New Roman" w:cs="Times New Roman"/>
        </w:rPr>
      </w:pPr>
    </w:p>
    <w:p w14:paraId="1D17915A" w14:textId="77777777" w:rsidR="00107CB1" w:rsidRPr="00E72036" w:rsidRDefault="00107CB1" w:rsidP="00C50051">
      <w:pPr>
        <w:rPr>
          <w:rFonts w:ascii="Times New Roman" w:hAnsi="Times New Roman" w:cs="Times New Roman"/>
        </w:rPr>
      </w:pPr>
    </w:p>
    <w:p w14:paraId="4724746D" w14:textId="77777777" w:rsidR="00107CB1" w:rsidRPr="00E72036" w:rsidRDefault="00107CB1" w:rsidP="00C50051">
      <w:pPr>
        <w:rPr>
          <w:rFonts w:ascii="Times New Roman" w:hAnsi="Times New Roman" w:cs="Times New Roman"/>
        </w:rPr>
      </w:pPr>
    </w:p>
    <w:p w14:paraId="19D26E6D" w14:textId="77777777" w:rsidR="00107CB1" w:rsidRPr="00E72036" w:rsidRDefault="00107CB1" w:rsidP="00C50051">
      <w:pPr>
        <w:rPr>
          <w:rFonts w:ascii="Times New Roman" w:hAnsi="Times New Roman" w:cs="Times New Roman"/>
        </w:rPr>
      </w:pPr>
    </w:p>
    <w:p w14:paraId="7671B84E" w14:textId="77777777" w:rsidR="00107CB1" w:rsidRPr="00E72036" w:rsidRDefault="00107CB1" w:rsidP="00C50051">
      <w:pPr>
        <w:rPr>
          <w:rFonts w:ascii="Times New Roman" w:hAnsi="Times New Roman" w:cs="Times New Roman"/>
        </w:rPr>
      </w:pPr>
    </w:p>
    <w:p w14:paraId="58CE0E4A" w14:textId="77777777" w:rsidR="00107CB1" w:rsidRPr="00E72036" w:rsidRDefault="00107CB1" w:rsidP="00C50051">
      <w:pPr>
        <w:rPr>
          <w:rFonts w:ascii="Times New Roman" w:hAnsi="Times New Roman" w:cs="Times New Roman"/>
        </w:rPr>
      </w:pPr>
    </w:p>
    <w:p w14:paraId="50233024" w14:textId="77777777" w:rsidR="00107CB1" w:rsidRPr="00E72036" w:rsidRDefault="00107CB1" w:rsidP="00C50051">
      <w:pPr>
        <w:rPr>
          <w:rFonts w:ascii="Times New Roman" w:hAnsi="Times New Roman" w:cs="Times New Roman"/>
        </w:rPr>
      </w:pPr>
    </w:p>
    <w:p w14:paraId="5CF574F4" w14:textId="77777777" w:rsidR="00107CB1" w:rsidRPr="00E72036" w:rsidRDefault="00107CB1" w:rsidP="00C50051">
      <w:pPr>
        <w:rPr>
          <w:rFonts w:ascii="Times New Roman" w:hAnsi="Times New Roman" w:cs="Times New Roman"/>
        </w:rPr>
      </w:pPr>
    </w:p>
    <w:p w14:paraId="14ABAE02" w14:textId="77777777" w:rsidR="00107CB1" w:rsidRPr="00E72036" w:rsidRDefault="00107CB1" w:rsidP="00C50051">
      <w:pPr>
        <w:rPr>
          <w:rFonts w:ascii="Times New Roman" w:hAnsi="Times New Roman" w:cs="Times New Roman"/>
        </w:rPr>
      </w:pPr>
    </w:p>
    <w:p w14:paraId="57F7C6BC" w14:textId="6BCF7C24" w:rsidR="00107CB1" w:rsidRPr="00E72036" w:rsidRDefault="00CB2281" w:rsidP="00C50051">
      <w:pPr>
        <w:rPr>
          <w:rFonts w:ascii="Times New Roman" w:hAnsi="Times New Roman" w:cs="Times New Roman"/>
        </w:rPr>
      </w:pPr>
      <w:r>
        <w:rPr>
          <w:rFonts w:ascii="Times New Roman" w:hAnsi="Times New Roman" w:cs="Times New Roman"/>
          <w:b/>
          <w:bCs/>
          <w:sz w:val="28"/>
          <w:szCs w:val="28"/>
        </w:rPr>
        <w:t xml:space="preserve">Additional </w:t>
      </w:r>
      <w:r w:rsidR="00B005A9">
        <w:rPr>
          <w:rFonts w:ascii="Times New Roman" w:hAnsi="Times New Roman" w:cs="Times New Roman"/>
          <w:b/>
          <w:bCs/>
          <w:sz w:val="28"/>
          <w:szCs w:val="28"/>
        </w:rPr>
        <w:t>References</w:t>
      </w:r>
    </w:p>
    <w:p w14:paraId="489B7421" w14:textId="77777777" w:rsidR="00107CB1" w:rsidRPr="00E72036" w:rsidRDefault="00107CB1" w:rsidP="00C50051">
      <w:pPr>
        <w:rPr>
          <w:rFonts w:ascii="Times New Roman" w:hAnsi="Times New Roman" w:cs="Times New Roman"/>
        </w:rPr>
      </w:pPr>
    </w:p>
    <w:p w14:paraId="65FDEC30" w14:textId="77777777" w:rsidR="00561EF7" w:rsidRPr="00E72036" w:rsidRDefault="00561EF7" w:rsidP="00561EF7">
      <w:pPr>
        <w:rPr>
          <w:rFonts w:ascii="Times New Roman" w:hAnsi="Times New Roman" w:cs="Times New Roman"/>
        </w:rPr>
      </w:pPr>
      <w:r w:rsidRPr="00E72036">
        <w:rPr>
          <w:rFonts w:ascii="Times New Roman" w:hAnsi="Times New Roman" w:cs="Times New Roman"/>
        </w:rPr>
        <w:t xml:space="preserve">E3 Illinois RA Study: Illinois Power Agency, Illinois Commerce Commission, and Illinois </w:t>
      </w:r>
      <w:r w:rsidRPr="00E72036">
        <w:rPr>
          <w:rFonts w:ascii="Times New Roman" w:hAnsi="Times New Roman" w:cs="Times New Roman"/>
        </w:rPr>
        <w:tab/>
        <w:t xml:space="preserve">Environmental Protection Agency. </w:t>
      </w:r>
      <w:r w:rsidRPr="00E72036">
        <w:rPr>
          <w:rFonts w:ascii="Times New Roman" w:hAnsi="Times New Roman" w:cs="Times New Roman"/>
          <w:i/>
        </w:rPr>
        <w:t xml:space="preserve">2025 Resource Adequacy Study. </w:t>
      </w:r>
      <w:r w:rsidRPr="00E72036">
        <w:rPr>
          <w:rFonts w:ascii="Times New Roman" w:hAnsi="Times New Roman" w:cs="Times New Roman"/>
        </w:rPr>
        <w:t xml:space="preserve">Prepared by </w:t>
      </w:r>
      <w:r w:rsidRPr="00E72036">
        <w:rPr>
          <w:rFonts w:ascii="Times New Roman" w:hAnsi="Times New Roman" w:cs="Times New Roman"/>
        </w:rPr>
        <w:tab/>
        <w:t xml:space="preserve">Energy and </w:t>
      </w:r>
      <w:r>
        <w:rPr>
          <w:rFonts w:ascii="Times New Roman" w:hAnsi="Times New Roman" w:cs="Times New Roman"/>
        </w:rPr>
        <w:tab/>
      </w:r>
      <w:r w:rsidRPr="00E72036">
        <w:rPr>
          <w:rFonts w:ascii="Times New Roman" w:hAnsi="Times New Roman" w:cs="Times New Roman"/>
        </w:rPr>
        <w:t xml:space="preserve">Environmental Economics, Inc. (E3). December 15, 2025. </w:t>
      </w:r>
      <w:r w:rsidRPr="00E72036">
        <w:rPr>
          <w:rFonts w:ascii="Times New Roman" w:hAnsi="Times New Roman" w:cs="Times New Roman"/>
        </w:rPr>
        <w:tab/>
        <w:t>https://ipa.illinois.gov/content/darn/soi/en/web/ipa/documents/20251215-illinois-</w:t>
      </w:r>
      <w:r w:rsidRPr="00E72036">
        <w:rPr>
          <w:rFonts w:ascii="Times New Roman" w:hAnsi="Times New Roman" w:cs="Times New Roman"/>
        </w:rPr>
        <w:tab/>
        <w:t>ra-study-2025-</w:t>
      </w:r>
      <w:r>
        <w:rPr>
          <w:rFonts w:ascii="Times New Roman" w:hAnsi="Times New Roman" w:cs="Times New Roman"/>
        </w:rPr>
        <w:tab/>
      </w:r>
      <w:r w:rsidRPr="00E72036">
        <w:rPr>
          <w:rFonts w:ascii="Times New Roman" w:hAnsi="Times New Roman" w:cs="Times New Roman"/>
        </w:rPr>
        <w:t>final.pdf.</w:t>
      </w:r>
    </w:p>
    <w:p w14:paraId="2BFB627C" w14:textId="77777777" w:rsidR="00561EF7" w:rsidRDefault="00561EF7" w:rsidP="00A91F15">
      <w:pPr>
        <w:rPr>
          <w:rFonts w:ascii="Times New Roman" w:hAnsi="Times New Roman" w:cs="Times New Roman"/>
        </w:rPr>
      </w:pPr>
    </w:p>
    <w:p w14:paraId="201DDEBF" w14:textId="6A14688A" w:rsidR="00A91F15" w:rsidRPr="00E72036" w:rsidRDefault="00A91F15" w:rsidP="00A91F15">
      <w:pPr>
        <w:rPr>
          <w:rFonts w:ascii="Times New Roman" w:hAnsi="Times New Roman" w:cs="Times New Roman"/>
        </w:rPr>
      </w:pPr>
      <w:r w:rsidRPr="00E72036">
        <w:rPr>
          <w:rFonts w:ascii="Times New Roman" w:hAnsi="Times New Roman" w:cs="Times New Roman"/>
        </w:rPr>
        <w:t xml:space="preserve">Emerald AI/ Nature Energy: Colangelo, Philip, et al. "AI Data </w:t>
      </w:r>
      <w:proofErr w:type="spellStart"/>
      <w:r w:rsidRPr="00E72036">
        <w:rPr>
          <w:rFonts w:ascii="Times New Roman" w:hAnsi="Times New Roman" w:cs="Times New Roman"/>
        </w:rPr>
        <w:t>Centres</w:t>
      </w:r>
      <w:proofErr w:type="spellEnd"/>
      <w:r w:rsidRPr="00E72036">
        <w:rPr>
          <w:rFonts w:ascii="Times New Roman" w:hAnsi="Times New Roman" w:cs="Times New Roman"/>
        </w:rPr>
        <w:t xml:space="preserve"> as Grid-Interactive</w:t>
      </w:r>
      <w:r>
        <w:rPr>
          <w:rFonts w:ascii="Times New Roman" w:hAnsi="Times New Roman" w:cs="Times New Roman"/>
        </w:rPr>
        <w:t xml:space="preserve"> </w:t>
      </w:r>
      <w:r w:rsidRPr="00E72036">
        <w:rPr>
          <w:rFonts w:ascii="Times New Roman" w:hAnsi="Times New Roman" w:cs="Times New Roman"/>
        </w:rPr>
        <w:t xml:space="preserve">Assets." </w:t>
      </w:r>
      <w:r w:rsidRPr="00E72036">
        <w:rPr>
          <w:rFonts w:ascii="Times New Roman" w:hAnsi="Times New Roman" w:cs="Times New Roman"/>
          <w:i/>
        </w:rPr>
        <w:t xml:space="preserve">Nature </w:t>
      </w:r>
      <w:r>
        <w:rPr>
          <w:rFonts w:ascii="Times New Roman" w:hAnsi="Times New Roman" w:cs="Times New Roman"/>
          <w:i/>
        </w:rPr>
        <w:tab/>
      </w:r>
      <w:r w:rsidRPr="00E72036">
        <w:rPr>
          <w:rFonts w:ascii="Times New Roman" w:hAnsi="Times New Roman" w:cs="Times New Roman"/>
          <w:i/>
        </w:rPr>
        <w:t xml:space="preserve">Energy </w:t>
      </w:r>
      <w:r w:rsidRPr="00E72036">
        <w:rPr>
          <w:rFonts w:ascii="Times New Roman" w:hAnsi="Times New Roman" w:cs="Times New Roman"/>
        </w:rPr>
        <w:t>(2025). https://doi.org/10.1038/s41560-025-01927-1.</w:t>
      </w:r>
    </w:p>
    <w:p w14:paraId="6629F8B0" w14:textId="032BB726" w:rsidR="00107CB1" w:rsidRPr="00E72036" w:rsidRDefault="00A91F15" w:rsidP="00C50051">
      <w:pPr>
        <w:rPr>
          <w:rFonts w:ascii="Times New Roman" w:hAnsi="Times New Roman" w:cs="Times New Roman"/>
        </w:rPr>
      </w:pPr>
      <w:r>
        <w:rPr>
          <w:rFonts w:ascii="Times New Roman" w:hAnsi="Times New Roman" w:cs="Times New Roman"/>
        </w:rPr>
        <w:tab/>
      </w:r>
    </w:p>
    <w:p w14:paraId="02B5E946" w14:textId="77777777" w:rsidR="00561EF7" w:rsidRDefault="00561EF7" w:rsidP="00561EF7">
      <w:pPr>
        <w:rPr>
          <w:rFonts w:ascii="Times New Roman" w:hAnsi="Times New Roman" w:cs="Times New Roman"/>
        </w:rPr>
      </w:pPr>
      <w:r w:rsidRPr="00E72036">
        <w:rPr>
          <w:rFonts w:ascii="Times New Roman" w:hAnsi="Times New Roman" w:cs="Times New Roman"/>
        </w:rPr>
        <w:t xml:space="preserve">ERCOT Connect-and-Manage: Howland, Ethan. "Can ERCOT Show the Way to Faster and Cheaper </w:t>
      </w:r>
      <w:r>
        <w:rPr>
          <w:rFonts w:ascii="Times New Roman" w:hAnsi="Times New Roman" w:cs="Times New Roman"/>
        </w:rPr>
        <w:tab/>
      </w:r>
      <w:r w:rsidRPr="00E72036">
        <w:rPr>
          <w:rFonts w:ascii="Times New Roman" w:hAnsi="Times New Roman" w:cs="Times New Roman"/>
        </w:rPr>
        <w:t xml:space="preserve">Grid Interconnection?" </w:t>
      </w:r>
      <w:r w:rsidRPr="00E72036">
        <w:rPr>
          <w:rFonts w:ascii="Times New Roman" w:hAnsi="Times New Roman" w:cs="Times New Roman"/>
          <w:i/>
        </w:rPr>
        <w:t xml:space="preserve">Utility Dive, </w:t>
      </w:r>
      <w:r w:rsidRPr="00E72036">
        <w:rPr>
          <w:rFonts w:ascii="Times New Roman" w:hAnsi="Times New Roman" w:cs="Times New Roman"/>
        </w:rPr>
        <w:t xml:space="preserve">November 27, 2023. </w:t>
      </w:r>
      <w:r>
        <w:rPr>
          <w:rFonts w:ascii="Times New Roman" w:hAnsi="Times New Roman" w:cs="Times New Roman"/>
          <w:u w:val="single"/>
        </w:rPr>
        <w:t xml:space="preserve"> </w:t>
      </w:r>
      <w:r w:rsidRPr="00DA68A2">
        <w:rPr>
          <w:rFonts w:ascii="Times New Roman" w:hAnsi="Times New Roman" w:cs="Times New Roman"/>
        </w:rPr>
        <w:tab/>
        <w:t>https://www.utilitydive.com/news/connect-and-manage-grid-interconnection-ferc-ercot-</w:t>
      </w:r>
      <w:r>
        <w:rPr>
          <w:rFonts w:ascii="Times New Roman" w:hAnsi="Times New Roman" w:cs="Times New Roman"/>
        </w:rPr>
        <w:tab/>
      </w:r>
      <w:r w:rsidRPr="00B005A9">
        <w:rPr>
          <w:rFonts w:ascii="Times New Roman" w:hAnsi="Times New Roman" w:cs="Times New Roman"/>
        </w:rPr>
        <w:t>transmission-planning/698949/.</w:t>
      </w:r>
    </w:p>
    <w:p w14:paraId="76372B30" w14:textId="77777777" w:rsidR="00A91F15" w:rsidRDefault="00A91F15" w:rsidP="00C50051">
      <w:pPr>
        <w:rPr>
          <w:rFonts w:ascii="Times New Roman" w:hAnsi="Times New Roman" w:cs="Times New Roman"/>
        </w:rPr>
      </w:pPr>
    </w:p>
    <w:p w14:paraId="06DBA527" w14:textId="77777777" w:rsidR="00B8322E" w:rsidRPr="00E72036" w:rsidRDefault="00B8322E" w:rsidP="00B8322E">
      <w:pPr>
        <w:rPr>
          <w:rFonts w:ascii="Times New Roman" w:hAnsi="Times New Roman" w:cs="Times New Roman"/>
        </w:rPr>
      </w:pPr>
      <w:r w:rsidRPr="00E72036">
        <w:rPr>
          <w:rFonts w:ascii="Times New Roman" w:hAnsi="Times New Roman" w:cs="Times New Roman"/>
          <w:noProof/>
        </w:rPr>
        <mc:AlternateContent>
          <mc:Choice Requires="wps">
            <w:drawing>
              <wp:anchor distT="0" distB="0" distL="0" distR="0" simplePos="0" relativeHeight="251662336" behindDoc="1" locked="0" layoutInCell="1" allowOverlap="1" wp14:anchorId="335B8A95" wp14:editId="59E03F8F">
                <wp:simplePos x="0" y="0"/>
                <wp:positionH relativeFrom="page">
                  <wp:posOffset>4974336</wp:posOffset>
                </wp:positionH>
                <wp:positionV relativeFrom="paragraph">
                  <wp:posOffset>531368</wp:posOffset>
                </wp:positionV>
                <wp:extent cx="21590" cy="1079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10795"/>
                        </a:xfrm>
                        <a:custGeom>
                          <a:avLst/>
                          <a:gdLst/>
                          <a:ahLst/>
                          <a:cxnLst/>
                          <a:rect l="l" t="t" r="r" b="b"/>
                          <a:pathLst>
                            <a:path w="21590" h="10795">
                              <a:moveTo>
                                <a:pt x="21336" y="10668"/>
                              </a:moveTo>
                              <a:lnTo>
                                <a:pt x="0" y="10668"/>
                              </a:lnTo>
                              <a:lnTo>
                                <a:pt x="0" y="0"/>
                              </a:lnTo>
                              <a:lnTo>
                                <a:pt x="21336" y="0"/>
                              </a:lnTo>
                              <a:lnTo>
                                <a:pt x="21336"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4DC571" id="Graphic 64" o:spid="_x0000_s1026" style="position:absolute;margin-left:391.7pt;margin-top:41.85pt;width:1.7pt;height:.85pt;z-index:-251654144;visibility:visible;mso-wrap-style:square;mso-wrap-distance-left:0;mso-wrap-distance-top:0;mso-wrap-distance-right:0;mso-wrap-distance-bottom:0;mso-position-horizontal:absolute;mso-position-horizontal-relative:page;mso-position-vertical:absolute;mso-position-vertical-relative:text;v-text-anchor:top" coordsize="215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" path="m21336,10668l,10668,,,21336,r,10668xe" fillcolor="black" stroked="f">
                <v:path arrowok="t"/>
                <w10:wrap anchorx="page"/>
              </v:shape>
            </w:pict>
          </mc:Fallback>
        </mc:AlternateContent>
      </w:r>
      <w:r w:rsidRPr="00E72036">
        <w:rPr>
          <w:rFonts w:ascii="Times New Roman" w:hAnsi="Times New Roman" w:cs="Times New Roman"/>
        </w:rPr>
        <w:t xml:space="preserve">PJM 2027/2028 BRA Report: PJM Interconnection. </w:t>
      </w:r>
      <w:r w:rsidRPr="00E72036">
        <w:rPr>
          <w:rFonts w:ascii="Times New Roman" w:hAnsi="Times New Roman" w:cs="Times New Roman"/>
          <w:i/>
        </w:rPr>
        <w:t>2027/2028 Base Residual Auction</w:t>
      </w:r>
      <w:r w:rsidRPr="00E72036">
        <w:rPr>
          <w:rFonts w:ascii="Times New Roman" w:hAnsi="Times New Roman" w:cs="Times New Roman"/>
          <w:i/>
        </w:rPr>
        <w:br/>
      </w:r>
      <w:r w:rsidRPr="00E72036">
        <w:rPr>
          <w:rFonts w:ascii="Times New Roman" w:hAnsi="Times New Roman" w:cs="Times New Roman"/>
          <w:i/>
        </w:rPr>
        <w:tab/>
        <w:t xml:space="preserve">Report. </w:t>
      </w:r>
      <w:r w:rsidRPr="00E72036">
        <w:rPr>
          <w:rFonts w:ascii="Times New Roman" w:hAnsi="Times New Roman" w:cs="Times New Roman"/>
        </w:rPr>
        <w:t xml:space="preserve">Valley Forge, PA: PJM Interconnection, December 17, 2025. </w:t>
      </w:r>
      <w:r w:rsidRPr="00DA68A2">
        <w:rPr>
          <w:rFonts w:ascii="Times New Roman" w:hAnsi="Times New Roman" w:cs="Times New Roman"/>
        </w:rPr>
        <w:t>https://www.pjm.com/-</w:t>
      </w:r>
      <w:r>
        <w:rPr>
          <w:rFonts w:ascii="Times New Roman" w:hAnsi="Times New Roman" w:cs="Times New Roman"/>
        </w:rPr>
        <w:tab/>
      </w:r>
      <w:r w:rsidRPr="00E72036">
        <w:rPr>
          <w:rFonts w:ascii="Times New Roman" w:hAnsi="Times New Roman" w:cs="Times New Roman"/>
        </w:rPr>
        <w:t>/media/DotCorn/markets-ops/rprn/rpm-auction-info/2027-2028/2027-2028-bra-report.pd</w:t>
      </w:r>
      <w:r w:rsidRPr="00E72036">
        <w:rPr>
          <w:rFonts w:ascii="Times New Roman" w:hAnsi="Times New Roman" w:cs="Times New Roman"/>
          <w:u w:val="single"/>
        </w:rPr>
        <w:t>f</w:t>
      </w:r>
      <w:r w:rsidRPr="00E72036">
        <w:rPr>
          <w:rFonts w:ascii="Times New Roman" w:hAnsi="Times New Roman" w:cs="Times New Roman"/>
        </w:rPr>
        <w:t>.</w:t>
      </w:r>
    </w:p>
    <w:p w14:paraId="052F68FF" w14:textId="77777777" w:rsidR="00B8322E" w:rsidRDefault="00B8322E" w:rsidP="00B8322E">
      <w:pPr>
        <w:rPr>
          <w:rFonts w:ascii="Times New Roman" w:hAnsi="Times New Roman" w:cs="Times New Roman"/>
        </w:rPr>
      </w:pPr>
    </w:p>
    <w:p w14:paraId="5FDF5B35" w14:textId="77777777" w:rsidR="00B8322E" w:rsidRPr="00E72036" w:rsidRDefault="00B8322E" w:rsidP="00B8322E">
      <w:pPr>
        <w:rPr>
          <w:rFonts w:ascii="Times New Roman" w:hAnsi="Times New Roman" w:cs="Times New Roman"/>
        </w:rPr>
      </w:pPr>
      <w:r w:rsidRPr="00E72036">
        <w:rPr>
          <w:rFonts w:ascii="Times New Roman" w:hAnsi="Times New Roman" w:cs="Times New Roman"/>
          <w:noProof/>
        </w:rPr>
        <mc:AlternateContent>
          <mc:Choice Requires="wps">
            <w:drawing>
              <wp:anchor distT="0" distB="0" distL="0" distR="0" simplePos="0" relativeHeight="251664384" behindDoc="0" locked="0" layoutInCell="1" allowOverlap="1" wp14:anchorId="16BAF9B7" wp14:editId="1E0AA5D1">
                <wp:simplePos x="0" y="0"/>
                <wp:positionH relativeFrom="page">
                  <wp:posOffset>4914900</wp:posOffset>
                </wp:positionH>
                <wp:positionV relativeFrom="paragraph">
                  <wp:posOffset>457147</wp:posOffset>
                </wp:positionV>
                <wp:extent cx="21590" cy="1079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10795"/>
                        </a:xfrm>
                        <a:custGeom>
                          <a:avLst/>
                          <a:gdLst/>
                          <a:ahLst/>
                          <a:cxnLst/>
                          <a:rect l="l" t="t" r="r" b="b"/>
                          <a:pathLst>
                            <a:path w="21590" h="10795">
                              <a:moveTo>
                                <a:pt x="21336" y="10668"/>
                              </a:moveTo>
                              <a:lnTo>
                                <a:pt x="0" y="10668"/>
                              </a:lnTo>
                              <a:lnTo>
                                <a:pt x="0" y="0"/>
                              </a:lnTo>
                              <a:lnTo>
                                <a:pt x="21336" y="0"/>
                              </a:lnTo>
                              <a:lnTo>
                                <a:pt x="21336"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EBBD66" id="Graphic 65" o:spid="_x0000_s1026" style="position:absolute;margin-left:387pt;margin-top:36pt;width:1.7pt;height:.8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15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" path="m21336,10668l,10668,,,21336,r,10668xe" fillcolor="black" stroked="f">
                <v:path arrowok="t"/>
                <w10:wrap anchorx="page"/>
              </v:shape>
            </w:pict>
          </mc:Fallback>
        </mc:AlternateContent>
      </w:r>
      <w:r w:rsidRPr="00E72036">
        <w:rPr>
          <w:rFonts w:ascii="Times New Roman" w:hAnsi="Times New Roman" w:cs="Times New Roman"/>
          <w:noProof/>
        </w:rPr>
        <mc:AlternateContent>
          <mc:Choice Requires="wps">
            <w:drawing>
              <wp:anchor distT="0" distB="0" distL="0" distR="0" simplePos="0" relativeHeight="251665408" behindDoc="0" locked="0" layoutInCell="1" allowOverlap="1" wp14:anchorId="19880F95" wp14:editId="13CA73A4">
                <wp:simplePos x="0" y="0"/>
                <wp:positionH relativeFrom="page">
                  <wp:posOffset>5495544</wp:posOffset>
                </wp:positionH>
                <wp:positionV relativeFrom="paragraph">
                  <wp:posOffset>457147</wp:posOffset>
                </wp:positionV>
                <wp:extent cx="21590" cy="1079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10795"/>
                        </a:xfrm>
                        <a:custGeom>
                          <a:avLst/>
                          <a:gdLst/>
                          <a:ahLst/>
                          <a:cxnLst/>
                          <a:rect l="l" t="t" r="r" b="b"/>
                          <a:pathLst>
                            <a:path w="21590" h="10795">
                              <a:moveTo>
                                <a:pt x="21336" y="10668"/>
                              </a:moveTo>
                              <a:lnTo>
                                <a:pt x="0" y="10668"/>
                              </a:lnTo>
                              <a:lnTo>
                                <a:pt x="0" y="0"/>
                              </a:lnTo>
                              <a:lnTo>
                                <a:pt x="21336" y="0"/>
                              </a:lnTo>
                              <a:lnTo>
                                <a:pt x="21336"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6642A" id="Graphic 66" o:spid="_x0000_s1026" style="position:absolute;margin-left:432.7pt;margin-top:36pt;width:1.7pt;height:.8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15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" path="m21336,10668l,10668,,,21336,r,10668xe" fillcolor="black" stroked="f">
                <v:path arrowok="t"/>
                <w10:wrap anchorx="page"/>
              </v:shape>
            </w:pict>
          </mc:Fallback>
        </mc:AlternateContent>
      </w:r>
      <w:r w:rsidRPr="00E72036">
        <w:rPr>
          <w:rFonts w:ascii="Times New Roman" w:hAnsi="Times New Roman" w:cs="Times New Roman"/>
        </w:rPr>
        <w:t>PJM BRA Press Release: PJM Interconnection. "PJM Auction Procures 134,479 MW of</w:t>
      </w:r>
      <w:r w:rsidRPr="00E72036">
        <w:rPr>
          <w:rFonts w:ascii="Times New Roman" w:hAnsi="Times New Roman" w:cs="Times New Roman"/>
        </w:rPr>
        <w:tab/>
        <w:t xml:space="preserve">Generation </w:t>
      </w:r>
      <w:r>
        <w:rPr>
          <w:rFonts w:ascii="Times New Roman" w:hAnsi="Times New Roman" w:cs="Times New Roman"/>
        </w:rPr>
        <w:tab/>
      </w:r>
      <w:r w:rsidRPr="00E72036">
        <w:rPr>
          <w:rFonts w:ascii="Times New Roman" w:hAnsi="Times New Roman" w:cs="Times New Roman"/>
        </w:rPr>
        <w:t xml:space="preserve">Resources." News release, December 17, 2025. </w:t>
      </w:r>
      <w:r w:rsidRPr="00E72036">
        <w:rPr>
          <w:rFonts w:ascii="Times New Roman" w:hAnsi="Times New Roman" w:cs="Times New Roman"/>
        </w:rPr>
        <w:tab/>
      </w:r>
      <w:r w:rsidRPr="00DA68A2">
        <w:rPr>
          <w:rFonts w:ascii="Times New Roman" w:hAnsi="Times New Roman" w:cs="Times New Roman"/>
        </w:rPr>
        <w:t>https://insidelines.pjm.corn/pjm-auction-</w:t>
      </w:r>
      <w:r>
        <w:rPr>
          <w:rFonts w:ascii="Times New Roman" w:hAnsi="Times New Roman" w:cs="Times New Roman"/>
        </w:rPr>
        <w:tab/>
      </w:r>
      <w:r w:rsidRPr="00E72036">
        <w:rPr>
          <w:rFonts w:ascii="Times New Roman" w:hAnsi="Times New Roman" w:cs="Times New Roman"/>
        </w:rPr>
        <w:t>procures-134479-mw-of-generation-resources/.</w:t>
      </w:r>
    </w:p>
    <w:p w14:paraId="34C0B4A8" w14:textId="77777777" w:rsidR="00B8322E" w:rsidRDefault="00B8322E" w:rsidP="00B8322E">
      <w:pPr>
        <w:rPr>
          <w:rFonts w:ascii="Times New Roman" w:hAnsi="Times New Roman" w:cs="Times New Roman"/>
        </w:rPr>
      </w:pPr>
    </w:p>
    <w:p w14:paraId="41C299A2" w14:textId="14726F95" w:rsidR="00B8322E" w:rsidRPr="00E72036" w:rsidRDefault="00B8322E" w:rsidP="00B8322E">
      <w:pPr>
        <w:rPr>
          <w:rFonts w:ascii="Times New Roman" w:hAnsi="Times New Roman" w:cs="Times New Roman"/>
        </w:rPr>
      </w:pPr>
      <w:r w:rsidRPr="00E72036">
        <w:rPr>
          <w:rFonts w:ascii="Times New Roman" w:hAnsi="Times New Roman" w:cs="Times New Roman"/>
        </w:rPr>
        <w:t xml:space="preserve">PJM ELCC/RRS Study: PJM Interconnection. </w:t>
      </w:r>
      <w:r w:rsidRPr="00E72036">
        <w:rPr>
          <w:rFonts w:ascii="Times New Roman" w:hAnsi="Times New Roman" w:cs="Times New Roman"/>
          <w:i/>
        </w:rPr>
        <w:t xml:space="preserve">2025 PJM Effective Load Carrying Capability and Reserve </w:t>
      </w:r>
      <w:r>
        <w:rPr>
          <w:rFonts w:ascii="Times New Roman" w:hAnsi="Times New Roman" w:cs="Times New Roman"/>
          <w:i/>
        </w:rPr>
        <w:tab/>
      </w:r>
      <w:r w:rsidRPr="00E72036">
        <w:rPr>
          <w:rFonts w:ascii="Times New Roman" w:hAnsi="Times New Roman" w:cs="Times New Roman"/>
          <w:i/>
        </w:rPr>
        <w:t xml:space="preserve">Requirement Study. </w:t>
      </w:r>
      <w:r w:rsidRPr="00E72036">
        <w:rPr>
          <w:rFonts w:ascii="Times New Roman" w:hAnsi="Times New Roman" w:cs="Times New Roman"/>
        </w:rPr>
        <w:t>Valley Forge, PA: PJM Interconnection, 2025.</w:t>
      </w:r>
      <w:r w:rsidRPr="00E72036">
        <w:rPr>
          <w:rFonts w:ascii="Times New Roman" w:hAnsi="Times New Roman" w:cs="Times New Roman"/>
        </w:rPr>
        <w:br/>
      </w:r>
      <w:r w:rsidRPr="00E72036">
        <w:rPr>
          <w:rFonts w:ascii="Times New Roman" w:hAnsi="Times New Roman" w:cs="Times New Roman"/>
        </w:rPr>
        <w:tab/>
      </w:r>
      <w:r w:rsidRPr="00E72036">
        <w:rPr>
          <w:rFonts w:ascii="Times New Roman" w:hAnsi="Times New Roman" w:cs="Times New Roman"/>
          <w:u w:val="single"/>
        </w:rPr>
        <w:t>https://www.</w:t>
      </w:r>
      <w:r w:rsidRPr="00E72036">
        <w:rPr>
          <w:rFonts w:ascii="Times New Roman" w:hAnsi="Times New Roman" w:cs="Times New Roman"/>
        </w:rPr>
        <w:t>pj</w:t>
      </w:r>
      <w:r w:rsidRPr="00E72036">
        <w:rPr>
          <w:rFonts w:ascii="Times New Roman" w:hAnsi="Times New Roman" w:cs="Times New Roman"/>
          <w:u w:val="single"/>
        </w:rPr>
        <w:t>m.com/-/media/DotCorn/planning /res-</w:t>
      </w:r>
      <w:proofErr w:type="spellStart"/>
      <w:r w:rsidRPr="00E72036">
        <w:rPr>
          <w:rFonts w:ascii="Times New Roman" w:hAnsi="Times New Roman" w:cs="Times New Roman"/>
          <w:u w:val="single"/>
        </w:rPr>
        <w:t>adeq</w:t>
      </w:r>
      <w:proofErr w:type="spellEnd"/>
      <w:r w:rsidRPr="00E72036">
        <w:rPr>
          <w:rFonts w:ascii="Times New Roman" w:hAnsi="Times New Roman" w:cs="Times New Roman"/>
          <w:u w:val="single"/>
        </w:rPr>
        <w:t>/</w:t>
      </w:r>
      <w:proofErr w:type="spellStart"/>
      <w:r w:rsidRPr="00E72036">
        <w:rPr>
          <w:rFonts w:ascii="Times New Roman" w:hAnsi="Times New Roman" w:cs="Times New Roman"/>
          <w:u w:val="single"/>
        </w:rPr>
        <w:t>elcc</w:t>
      </w:r>
      <w:proofErr w:type="spellEnd"/>
      <w:r w:rsidRPr="00E72036">
        <w:rPr>
          <w:rFonts w:ascii="Times New Roman" w:hAnsi="Times New Roman" w:cs="Times New Roman"/>
          <w:u w:val="single"/>
        </w:rPr>
        <w:t>/2025-</w:t>
      </w:r>
      <w:r w:rsidRPr="00E72036">
        <w:rPr>
          <w:rFonts w:ascii="Times New Roman" w:hAnsi="Times New Roman" w:cs="Times New Roman"/>
        </w:rPr>
        <w:t>pj</w:t>
      </w:r>
      <w:r w:rsidRPr="00E72036">
        <w:rPr>
          <w:rFonts w:ascii="Times New Roman" w:hAnsi="Times New Roman" w:cs="Times New Roman"/>
          <w:u w:val="single"/>
        </w:rPr>
        <w:t xml:space="preserve"> m-</w:t>
      </w:r>
      <w:proofErr w:type="spellStart"/>
      <w:r w:rsidRPr="00E72036">
        <w:rPr>
          <w:rFonts w:ascii="Times New Roman" w:hAnsi="Times New Roman" w:cs="Times New Roman"/>
          <w:u w:val="single"/>
        </w:rPr>
        <w:t>elcc</w:t>
      </w:r>
      <w:proofErr w:type="spellEnd"/>
      <w:r w:rsidRPr="00E72036">
        <w:rPr>
          <w:rFonts w:ascii="Times New Roman" w:hAnsi="Times New Roman" w:cs="Times New Roman"/>
          <w:u w:val="single"/>
        </w:rPr>
        <w:t>-</w:t>
      </w:r>
      <w:r w:rsidRPr="00E72036">
        <w:rPr>
          <w:rFonts w:ascii="Times New Roman" w:hAnsi="Times New Roman" w:cs="Times New Roman"/>
        </w:rPr>
        <w:tab/>
      </w:r>
      <w:r w:rsidRPr="00E72036">
        <w:rPr>
          <w:rFonts w:ascii="Times New Roman" w:hAnsi="Times New Roman" w:cs="Times New Roman"/>
          <w:u w:val="single"/>
        </w:rPr>
        <w:t>rrs.pdf</w:t>
      </w:r>
      <w:r w:rsidRPr="00E72036">
        <w:rPr>
          <w:rFonts w:ascii="Times New Roman" w:hAnsi="Times New Roman" w:cs="Times New Roman"/>
        </w:rPr>
        <w:t>.</w:t>
      </w:r>
    </w:p>
    <w:p w14:paraId="3A5AA040" w14:textId="77777777" w:rsidR="00B8322E" w:rsidRDefault="00B8322E" w:rsidP="00C50051">
      <w:pPr>
        <w:rPr>
          <w:rFonts w:ascii="Times New Roman" w:hAnsi="Times New Roman" w:cs="Times New Roman"/>
        </w:rPr>
      </w:pPr>
    </w:p>
    <w:p w14:paraId="2F1557D7" w14:textId="288967AA" w:rsidR="00B8322E" w:rsidRDefault="00B8322E" w:rsidP="00C50051">
      <w:pPr>
        <w:rPr>
          <w:rFonts w:ascii="Times New Roman" w:hAnsi="Times New Roman" w:cs="Times New Roman"/>
        </w:rPr>
      </w:pPr>
      <w:r w:rsidRPr="00E72036">
        <w:rPr>
          <w:rFonts w:ascii="Times New Roman" w:hAnsi="Times New Roman" w:cs="Times New Roman"/>
        </w:rPr>
        <w:t xml:space="preserve">PJM Manual 13: PJM Interconnection. </w:t>
      </w:r>
      <w:r w:rsidRPr="00E72036">
        <w:rPr>
          <w:rFonts w:ascii="Times New Roman" w:hAnsi="Times New Roman" w:cs="Times New Roman"/>
          <w:i/>
        </w:rPr>
        <w:t xml:space="preserve">PJM Manual 13: Emergency Operations. </w:t>
      </w:r>
      <w:r w:rsidRPr="00E72036">
        <w:rPr>
          <w:rFonts w:ascii="Times New Roman" w:hAnsi="Times New Roman" w:cs="Times New Roman"/>
        </w:rPr>
        <w:t>Rev. 86.</w:t>
      </w:r>
      <w:r>
        <w:rPr>
          <w:rFonts w:ascii="Times New Roman" w:hAnsi="Times New Roman" w:cs="Times New Roman"/>
        </w:rPr>
        <w:t xml:space="preserve"> </w:t>
      </w:r>
      <w:r w:rsidRPr="00E72036">
        <w:rPr>
          <w:rFonts w:ascii="Times New Roman" w:hAnsi="Times New Roman" w:cs="Times New Roman"/>
        </w:rPr>
        <w:t>Valley Forge</w:t>
      </w:r>
      <w:proofErr w:type="gramStart"/>
      <w:r w:rsidRPr="00E72036">
        <w:rPr>
          <w:rFonts w:ascii="Times New Roman" w:hAnsi="Times New Roman" w:cs="Times New Roman"/>
        </w:rPr>
        <w:t xml:space="preserve">, </w:t>
      </w:r>
      <w:r>
        <w:rPr>
          <w:rFonts w:ascii="Times New Roman" w:hAnsi="Times New Roman" w:cs="Times New Roman"/>
        </w:rPr>
        <w:tab/>
      </w:r>
      <w:r w:rsidRPr="00E72036">
        <w:rPr>
          <w:rFonts w:ascii="Times New Roman" w:hAnsi="Times New Roman" w:cs="Times New Roman"/>
        </w:rPr>
        <w:t>PA</w:t>
      </w:r>
      <w:proofErr w:type="gramEnd"/>
      <w:r w:rsidRPr="00E72036">
        <w:rPr>
          <w:rFonts w:ascii="Times New Roman" w:hAnsi="Times New Roman" w:cs="Times New Roman"/>
        </w:rPr>
        <w:t>: PJM Interconnection, 2025</w:t>
      </w:r>
    </w:p>
    <w:p w14:paraId="6F1122AD" w14:textId="77777777" w:rsidR="00B8322E" w:rsidRDefault="00B8322E" w:rsidP="00B8322E">
      <w:pPr>
        <w:rPr>
          <w:rFonts w:ascii="Times New Roman" w:hAnsi="Times New Roman" w:cs="Times New Roman"/>
        </w:rPr>
      </w:pPr>
    </w:p>
    <w:p w14:paraId="37446B42" w14:textId="1028249C" w:rsidR="00B8322E" w:rsidRPr="00E72036" w:rsidRDefault="00B8322E" w:rsidP="00B8322E">
      <w:pPr>
        <w:rPr>
          <w:rFonts w:ascii="Times New Roman" w:hAnsi="Times New Roman" w:cs="Times New Roman"/>
        </w:rPr>
      </w:pPr>
      <w:r w:rsidRPr="00E72036">
        <w:rPr>
          <w:rFonts w:ascii="Times New Roman" w:hAnsi="Times New Roman" w:cs="Times New Roman"/>
        </w:rPr>
        <w:t xml:space="preserve">PJM Manual 18: PJM Interconnection. </w:t>
      </w:r>
      <w:r w:rsidRPr="00E72036">
        <w:rPr>
          <w:rFonts w:ascii="Times New Roman" w:hAnsi="Times New Roman" w:cs="Times New Roman"/>
          <w:i/>
        </w:rPr>
        <w:t xml:space="preserve">PJM Manual 18: PJM Capacity Market. </w:t>
      </w:r>
      <w:r w:rsidRPr="00E72036">
        <w:rPr>
          <w:rFonts w:ascii="Times New Roman" w:hAnsi="Times New Roman" w:cs="Times New Roman"/>
        </w:rPr>
        <w:t>Rev. 48.</w:t>
      </w:r>
      <w:r>
        <w:rPr>
          <w:rFonts w:ascii="Times New Roman" w:hAnsi="Times New Roman" w:cs="Times New Roman"/>
        </w:rPr>
        <w:t xml:space="preserve"> </w:t>
      </w:r>
      <w:r w:rsidRPr="00E72036">
        <w:rPr>
          <w:rFonts w:ascii="Times New Roman" w:hAnsi="Times New Roman" w:cs="Times New Roman"/>
        </w:rPr>
        <w:t>Valley Forge</w:t>
      </w:r>
      <w:proofErr w:type="gramStart"/>
      <w:r w:rsidRPr="00E72036">
        <w:rPr>
          <w:rFonts w:ascii="Times New Roman" w:hAnsi="Times New Roman" w:cs="Times New Roman"/>
        </w:rPr>
        <w:t xml:space="preserve">, </w:t>
      </w:r>
      <w:r w:rsidRPr="00561EF7">
        <w:rPr>
          <w:rFonts w:ascii="Times New Roman" w:hAnsi="Times New Roman" w:cs="Times New Roman"/>
        </w:rPr>
        <w:tab/>
      </w:r>
      <w:r w:rsidRPr="00E72036">
        <w:rPr>
          <w:rFonts w:ascii="Times New Roman" w:hAnsi="Times New Roman" w:cs="Times New Roman"/>
        </w:rPr>
        <w:t>PA</w:t>
      </w:r>
      <w:proofErr w:type="gramEnd"/>
      <w:r w:rsidRPr="00E72036">
        <w:rPr>
          <w:rFonts w:ascii="Times New Roman" w:hAnsi="Times New Roman" w:cs="Times New Roman"/>
        </w:rPr>
        <w:t>: PJM Interconnection, 2025.</w:t>
      </w:r>
    </w:p>
    <w:p w14:paraId="1F8B1F81" w14:textId="77777777" w:rsidR="00B8322E" w:rsidRDefault="00B8322E" w:rsidP="00C50051">
      <w:pPr>
        <w:rPr>
          <w:rFonts w:ascii="Times New Roman" w:hAnsi="Times New Roman" w:cs="Times New Roman"/>
        </w:rPr>
      </w:pPr>
    </w:p>
    <w:p w14:paraId="49BD691C" w14:textId="4199896F" w:rsidR="00107CB1" w:rsidRPr="00E72036" w:rsidRDefault="00107CB1" w:rsidP="00C50051">
      <w:pPr>
        <w:rPr>
          <w:rFonts w:ascii="Times New Roman" w:hAnsi="Times New Roman" w:cs="Times New Roman"/>
        </w:rPr>
      </w:pPr>
      <w:r w:rsidRPr="00E72036">
        <w:rPr>
          <w:rFonts w:ascii="Times New Roman" w:hAnsi="Times New Roman" w:cs="Times New Roman"/>
        </w:rPr>
        <w:t xml:space="preserve">PJM Manual 20A: PJM Interconnection. </w:t>
      </w:r>
      <w:r w:rsidRPr="00E72036">
        <w:rPr>
          <w:rFonts w:ascii="Times New Roman" w:hAnsi="Times New Roman" w:cs="Times New Roman"/>
          <w:i/>
        </w:rPr>
        <w:t xml:space="preserve">PJM Manual 20A: Resource Adequacy Analysis. </w:t>
      </w:r>
      <w:r w:rsidRPr="00E72036">
        <w:rPr>
          <w:rFonts w:ascii="Times New Roman" w:hAnsi="Times New Roman" w:cs="Times New Roman"/>
        </w:rPr>
        <w:t xml:space="preserve">Rev. 2. Valley </w:t>
      </w:r>
      <w:r w:rsidR="00561EF7">
        <w:rPr>
          <w:rFonts w:ascii="Times New Roman" w:hAnsi="Times New Roman" w:cs="Times New Roman"/>
        </w:rPr>
        <w:tab/>
      </w:r>
      <w:r w:rsidRPr="00E72036">
        <w:rPr>
          <w:rFonts w:ascii="Times New Roman" w:hAnsi="Times New Roman" w:cs="Times New Roman"/>
        </w:rPr>
        <w:t>Forge, PA: PJM Interconnection, 2025.</w:t>
      </w:r>
      <w:r w:rsidR="007C5A54" w:rsidRPr="00E72036">
        <w:rPr>
          <w:rFonts w:ascii="Times New Roman" w:hAnsi="Times New Roman" w:cs="Times New Roman"/>
        </w:rPr>
        <w:t>https://www.pjm.com/</w:t>
      </w:r>
      <w:r w:rsidR="00561EF7">
        <w:rPr>
          <w:rFonts w:ascii="Times New Roman" w:hAnsi="Times New Roman" w:cs="Times New Roman"/>
        </w:rPr>
        <w:t xml:space="preserve"> </w:t>
      </w:r>
      <w:r w:rsidR="00561EF7">
        <w:rPr>
          <w:rFonts w:ascii="Times New Roman" w:hAnsi="Times New Roman" w:cs="Times New Roman"/>
        </w:rPr>
        <w:tab/>
      </w:r>
      <w:r w:rsidR="007C5A54" w:rsidRPr="00E72036">
        <w:rPr>
          <w:rFonts w:ascii="Times New Roman" w:hAnsi="Times New Roman" w:cs="Times New Roman"/>
        </w:rPr>
        <w:t>/media/</w:t>
      </w:r>
      <w:proofErr w:type="spellStart"/>
      <w:r w:rsidR="007C5A54" w:rsidRPr="00E72036">
        <w:rPr>
          <w:rFonts w:ascii="Times New Roman" w:hAnsi="Times New Roman" w:cs="Times New Roman"/>
        </w:rPr>
        <w:t>DotCorn</w:t>
      </w:r>
      <w:proofErr w:type="spellEnd"/>
      <w:r w:rsidR="007C5A54" w:rsidRPr="00E72036">
        <w:rPr>
          <w:rFonts w:ascii="Times New Roman" w:hAnsi="Times New Roman" w:cs="Times New Roman"/>
        </w:rPr>
        <w:t>/documents/manuals/m20a.ashx.</w:t>
      </w:r>
    </w:p>
    <w:p w14:paraId="62126FE3" w14:textId="77777777" w:rsidR="00B005A9" w:rsidRDefault="00B005A9" w:rsidP="00C50051">
      <w:pPr>
        <w:rPr>
          <w:rFonts w:ascii="Times New Roman" w:hAnsi="Times New Roman" w:cs="Times New Roman"/>
        </w:rPr>
      </w:pPr>
    </w:p>
    <w:p w14:paraId="0CE99EC1" w14:textId="3A3A3F97" w:rsidR="00107CB1" w:rsidRPr="00E72036" w:rsidRDefault="00107CB1" w:rsidP="00C50051">
      <w:pPr>
        <w:rPr>
          <w:rFonts w:ascii="Times New Roman" w:hAnsi="Times New Roman" w:cs="Times New Roman"/>
        </w:rPr>
      </w:pPr>
      <w:r w:rsidRPr="00E72036">
        <w:rPr>
          <w:rFonts w:ascii="Times New Roman" w:hAnsi="Times New Roman" w:cs="Times New Roman"/>
        </w:rPr>
        <w:t xml:space="preserve">Winter Storm Elliott Report: PJM Interconnection. </w:t>
      </w:r>
      <w:r w:rsidRPr="00E72036">
        <w:rPr>
          <w:rFonts w:ascii="Times New Roman" w:hAnsi="Times New Roman" w:cs="Times New Roman"/>
          <w:i/>
        </w:rPr>
        <w:t xml:space="preserve">Winter Storm Elliott Event Analysis and </w:t>
      </w:r>
      <w:r w:rsidR="00561EF7">
        <w:rPr>
          <w:rFonts w:ascii="Times New Roman" w:hAnsi="Times New Roman" w:cs="Times New Roman"/>
          <w:i/>
        </w:rPr>
        <w:tab/>
      </w:r>
      <w:r w:rsidRPr="00E72036">
        <w:rPr>
          <w:rFonts w:ascii="Times New Roman" w:hAnsi="Times New Roman" w:cs="Times New Roman"/>
          <w:i/>
        </w:rPr>
        <w:t xml:space="preserve">Recommendation Report. </w:t>
      </w:r>
      <w:r w:rsidRPr="00E72036">
        <w:rPr>
          <w:rFonts w:ascii="Times New Roman" w:hAnsi="Times New Roman" w:cs="Times New Roman"/>
        </w:rPr>
        <w:t xml:space="preserve">Valley Forge, PA: PJM Interconnection, July 2023. </w:t>
      </w:r>
      <w:r w:rsidR="007C5A54" w:rsidRPr="00E72036">
        <w:rPr>
          <w:rFonts w:ascii="Times New Roman" w:hAnsi="Times New Roman" w:cs="Times New Roman"/>
        </w:rPr>
        <w:tab/>
        <w:t>https://www.pjm.com/markets-and-operations/winter-storrn-elliott.</w:t>
      </w:r>
    </w:p>
    <w:p w14:paraId="5F7C181E" w14:textId="77777777" w:rsidR="00B005A9" w:rsidRDefault="00B005A9" w:rsidP="00C50051">
      <w:pPr>
        <w:rPr>
          <w:rFonts w:ascii="Times New Roman" w:hAnsi="Times New Roman" w:cs="Times New Roman"/>
        </w:rPr>
      </w:pPr>
    </w:p>
    <w:p w14:paraId="77D4BFCD" w14:textId="77777777" w:rsidR="00DA68A2" w:rsidRDefault="00DA68A2" w:rsidP="00C50051">
      <w:pPr>
        <w:rPr>
          <w:rFonts w:ascii="Times New Roman" w:hAnsi="Times New Roman" w:cs="Times New Roman"/>
        </w:rPr>
      </w:pPr>
    </w:p>
    <w:p w14:paraId="08813339" w14:textId="77777777" w:rsidR="00107CB1" w:rsidRPr="00E72036" w:rsidRDefault="00107CB1" w:rsidP="00C50051">
      <w:pPr>
        <w:rPr>
          <w:rFonts w:ascii="Times New Roman" w:hAnsi="Times New Roman" w:cs="Times New Roman"/>
        </w:rPr>
      </w:pPr>
    </w:p>
    <w:sectPr w:rsidR="00107CB1" w:rsidRPr="00E720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5348" w14:textId="77777777" w:rsidR="00877439" w:rsidRDefault="00877439" w:rsidP="00A01C41">
      <w:r>
        <w:separator/>
      </w:r>
    </w:p>
  </w:endnote>
  <w:endnote w:type="continuationSeparator" w:id="0">
    <w:p w14:paraId="340B2D36" w14:textId="77777777" w:rsidR="00877439" w:rsidRDefault="00877439" w:rsidP="00A0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21E0" w14:textId="77777777" w:rsidR="00877439" w:rsidRDefault="00877439" w:rsidP="00A01C41">
      <w:r>
        <w:separator/>
      </w:r>
    </w:p>
  </w:footnote>
  <w:footnote w:type="continuationSeparator" w:id="0">
    <w:p w14:paraId="3F1FA2AA" w14:textId="77777777" w:rsidR="00877439" w:rsidRDefault="00877439" w:rsidP="00A01C41">
      <w:r>
        <w:continuationSeparator/>
      </w:r>
    </w:p>
  </w:footnote>
  <w:footnote w:id="1">
    <w:p w14:paraId="30F03FC8" w14:textId="6085A62D" w:rsidR="00A01C41" w:rsidRDefault="00A01C41">
      <w:pPr>
        <w:pStyle w:val="FootnoteText"/>
      </w:pPr>
      <w:r>
        <w:rPr>
          <w:rStyle w:val="FootnoteReference"/>
        </w:rPr>
        <w:footnoteRef/>
      </w:r>
      <w:r>
        <w:t xml:space="preserve"> </w:t>
      </w:r>
      <w:r w:rsidR="00AF552E" w:rsidRPr="00AF552E">
        <w:t>PJM Interconnection, 2025 PJM Effective Load Carrying Capability and Reserve Requirement Study (Valley Forge, PA: PJM Interconnection, 2025), https://www.pjm.com/-/media/DotCom/planning/res-adeq/elcc/2025-pjm-elcc-rrs.pdf.</w:t>
      </w:r>
    </w:p>
  </w:footnote>
  <w:footnote w:id="2">
    <w:p w14:paraId="2F06F88B" w14:textId="53EA22A1" w:rsidR="00986F73" w:rsidRDefault="00986F73">
      <w:pPr>
        <w:pStyle w:val="FootnoteText"/>
      </w:pPr>
      <w:r>
        <w:rPr>
          <w:rStyle w:val="FootnoteReference"/>
        </w:rPr>
        <w:footnoteRef/>
      </w:r>
      <w:r>
        <w:t xml:space="preserve"> </w:t>
      </w:r>
      <w:r w:rsidRPr="00986F73">
        <w:t>PJM Interconnection, "PJM Auction Procures 134,479 MW of Generation Resources," news release, December 17, 2025, https://insidelines.pjm.com/pjm-auction-procures-134479-mw-of-generation-resources/.</w:t>
      </w:r>
    </w:p>
  </w:footnote>
  <w:footnote w:id="3">
    <w:p w14:paraId="486FBE2A" w14:textId="7F78D963" w:rsidR="00A24C6D" w:rsidRDefault="00A24C6D">
      <w:pPr>
        <w:pStyle w:val="FootnoteText"/>
      </w:pPr>
      <w:r>
        <w:rPr>
          <w:rStyle w:val="FootnoteReference"/>
        </w:rPr>
        <w:footnoteRef/>
      </w:r>
      <w:r>
        <w:t xml:space="preserve"> </w:t>
      </w:r>
      <w:r w:rsidRPr="00A24C6D">
        <w:t>The 2025/2026 BRA cleared at $269.92/MW-day (the effective cap under pre-reform VRR curve parameters); the 2026/2027 BRA cleared at the explicit cap of $329.17/MW-day; the 2027/2028 BRA cleared at $333.44/MW-day. See PJM Interconnection, 2027/2028 Base Residual Auction Report (Valley Forge, PA: PJM Interconnection, December 17, 2025</w:t>
      </w:r>
      <w:proofErr w:type="gramStart"/>
      <w:r w:rsidRPr="00A24C6D">
        <w:t>),  https://www.pjm.com/-/media/DotCom/markets-ops/rpm/rpm-auction-info/2027-2028/2027-2028-bra-report.pdf</w:t>
      </w:r>
      <w:proofErr w:type="gramEnd"/>
      <w:r w:rsidRPr="00A24C6D">
        <w:t>.</w:t>
      </w:r>
    </w:p>
  </w:footnote>
  <w:footnote w:id="4">
    <w:p w14:paraId="3513CB41" w14:textId="5A6958A1" w:rsidR="009750EE" w:rsidRDefault="009750EE">
      <w:pPr>
        <w:pStyle w:val="FootnoteText"/>
      </w:pPr>
      <w:r>
        <w:rPr>
          <w:rStyle w:val="FootnoteReference"/>
        </w:rPr>
        <w:footnoteRef/>
      </w:r>
      <w:r>
        <w:t xml:space="preserve"> </w:t>
      </w:r>
      <w:r w:rsidRPr="009750EE">
        <w:t>The cleared supply times the clearing price totals $16.4 billion. PJM Interconnection, 2027/2028 Base Residual Auction Report, December 17, 2025. For the uncapped counterfactual estimate, see analysis of the 6,623 MW shortfall relative to the reliability requirement in the same report. The $26 billion figure circulates in industry commentary but should be characterized as an estimate; verify against your preferred source or flag as approximation.</w:t>
      </w:r>
    </w:p>
  </w:footnote>
  <w:footnote w:id="5">
    <w:p w14:paraId="2317AB61" w14:textId="25540D91" w:rsidR="00891380" w:rsidRDefault="00891380">
      <w:pPr>
        <w:pStyle w:val="FootnoteText"/>
      </w:pPr>
      <w:r>
        <w:rPr>
          <w:rStyle w:val="FootnoteReference"/>
        </w:rPr>
        <w:footnoteRef/>
      </w:r>
      <w:r>
        <w:t xml:space="preserve"> </w:t>
      </w:r>
      <w:r w:rsidRPr="00891380">
        <w:t>PJM Interconnection, "PJM Auction Procures 134,479 MW of Generation Resources," December 17, 2025. The cleared resource mix included 5% demand response, with DR rising from 5,531 MW in the 2026/2027 auction to 7,299 MW due to increased ELCC ratings.</w:t>
      </w:r>
    </w:p>
  </w:footnote>
  <w:footnote w:id="6">
    <w:p w14:paraId="49FEE1A8" w14:textId="022E01A1" w:rsidR="009D7932" w:rsidRDefault="009D7932">
      <w:pPr>
        <w:pStyle w:val="FootnoteText"/>
      </w:pPr>
      <w:r>
        <w:rPr>
          <w:rStyle w:val="FootnoteReference"/>
        </w:rPr>
        <w:footnoteRef/>
      </w:r>
      <w:r>
        <w:t xml:space="preserve"> </w:t>
      </w:r>
      <w:r w:rsidRPr="009D7932">
        <w:t>PJM Interconnection, PJM Manual 18: PJM Capacity Market, rev. 48 (Valley Forge, PA: PJM Interconnection, 2025), Section 11: Non-Performance Assessment. The Non-Performance Charge Rate is derived from Net CONE x the number of Performance Assessment Hours, resulting in potential charges that substantially exceed annual capacity revenues.</w:t>
      </w:r>
    </w:p>
  </w:footnote>
  <w:footnote w:id="7">
    <w:p w14:paraId="1A37186E" w14:textId="5ACB2825" w:rsidR="005D29B7" w:rsidRDefault="005D29B7">
      <w:pPr>
        <w:pStyle w:val="FootnoteText"/>
      </w:pPr>
      <w:r>
        <w:rPr>
          <w:rStyle w:val="FootnoteReference"/>
        </w:rPr>
        <w:footnoteRef/>
      </w:r>
      <w:r>
        <w:t xml:space="preserve"> </w:t>
      </w:r>
      <w:r w:rsidRPr="005D29B7">
        <w:t>PJM Interconnection, PJM Manual 13: Emergency Operations, rev. 86 (Valley Forge, PA: PJM Interconnection, 2025); PJM Interconnection, State of the Market Report (Monitoring Analytics, various years). See also Pillar 2 stress analysis, which derives 16 events/year and 122 dispatch hours/year from empirical data.</w:t>
      </w:r>
    </w:p>
  </w:footnote>
  <w:footnote w:id="8">
    <w:p w14:paraId="3D6F2EA0" w14:textId="26A5FA31" w:rsidR="005D29B7" w:rsidRDefault="005D29B7">
      <w:pPr>
        <w:pStyle w:val="FootnoteText"/>
      </w:pPr>
      <w:r>
        <w:rPr>
          <w:rStyle w:val="FootnoteReference"/>
        </w:rPr>
        <w:footnoteRef/>
      </w:r>
      <w:r>
        <w:t xml:space="preserve"> </w:t>
      </w:r>
      <w:r w:rsidR="001B4C3F" w:rsidRPr="001B4C3F">
        <w:t>PJM Interconnection, Winter Storm Elliott Event Analysis and Recommendation Report (Valley Forge, PA: PJM Interconnection, July 2023), https://www.pjm.com/markets-and-operations/winter-storm-elliott. The storm affected the PJM region December 23-25, 2022, with emergency procedures spanning approximately 17 hours.</w:t>
      </w:r>
    </w:p>
  </w:footnote>
  <w:footnote w:id="9">
    <w:p w14:paraId="3261F945" w14:textId="56A47A79" w:rsidR="00EE4EA2" w:rsidRDefault="00EE4EA2">
      <w:pPr>
        <w:pStyle w:val="FootnoteText"/>
      </w:pPr>
      <w:r>
        <w:rPr>
          <w:rStyle w:val="FootnoteReference"/>
        </w:rPr>
        <w:footnoteRef/>
      </w:r>
      <w:r>
        <w:t xml:space="preserve"> </w:t>
      </w:r>
      <w:r w:rsidRPr="00EE4EA2">
        <w:t>PJM Interconnection, PJM Manual 13: Emergency Operations, rev. 86 (Valley Forge, PA: PJM Interconnection, 2025), Section 2: Emergency Procedures.</w:t>
      </w:r>
    </w:p>
  </w:footnote>
  <w:footnote w:id="10">
    <w:p w14:paraId="4598067F" w14:textId="5082DAF1" w:rsidR="002D3963" w:rsidRDefault="002D3963">
      <w:pPr>
        <w:pStyle w:val="FootnoteText"/>
      </w:pPr>
      <w:r>
        <w:rPr>
          <w:rStyle w:val="FootnoteReference"/>
        </w:rPr>
        <w:footnoteRef/>
      </w:r>
      <w:r>
        <w:t xml:space="preserve"> </w:t>
      </w:r>
      <w:r w:rsidRPr="002D3963">
        <w:t>PJM Interconnection, 2025 PJM Effective Load Carrying Capability and Reserve Requirement Study, 2025. See dispatch order assumptions in ELCC methodology documentation.</w:t>
      </w:r>
    </w:p>
  </w:footnote>
  <w:footnote w:id="11">
    <w:p w14:paraId="58CA6444" w14:textId="19A10700" w:rsidR="001307BA" w:rsidRDefault="001307BA">
      <w:pPr>
        <w:pStyle w:val="FootnoteText"/>
      </w:pPr>
      <w:r>
        <w:rPr>
          <w:rStyle w:val="FootnoteReference"/>
        </w:rPr>
        <w:footnoteRef/>
      </w:r>
      <w:r>
        <w:t xml:space="preserve"> </w:t>
      </w:r>
      <w:r w:rsidRPr="001307BA">
        <w:t>PJM Interconnection, PJM Manual 20A: Resource Adequacy Analysis, rev. 2 (Valley Forge, PA: PJM Interconnection, 2025), https://www.pjm.com/-/media/DotCom/documents/manuals/m20a.ashx.</w:t>
      </w:r>
    </w:p>
  </w:footnote>
  <w:footnote w:id="12">
    <w:p w14:paraId="268540EB" w14:textId="75A32B98" w:rsidR="008020F8" w:rsidRDefault="008020F8">
      <w:pPr>
        <w:pStyle w:val="FootnoteText"/>
      </w:pPr>
      <w:r>
        <w:rPr>
          <w:rStyle w:val="FootnoteReference"/>
        </w:rPr>
        <w:footnoteRef/>
      </w:r>
      <w:r>
        <w:t xml:space="preserve"> </w:t>
      </w:r>
      <w:r w:rsidRPr="008020F8">
        <w:t>PJM Interconnection, 2025 PJM ELCC/RRS Study, 2025: "The increase is a direct result of eliminating the DR performance window (making DR a 24/7 resource)." See also American Public Power Association, "PJM Details Auction Procurement Results," December 17, 2025, https://www.publicpower.org/periodical/article/pjm-details-auction-procurement-results-says-capacity-resources-procured-plus-frr-resources-short.</w:t>
      </w:r>
    </w:p>
  </w:footnote>
  <w:footnote w:id="13">
    <w:p w14:paraId="20F8D686" w14:textId="4CF70FF2" w:rsidR="003C6D93" w:rsidRDefault="003C6D93">
      <w:pPr>
        <w:pStyle w:val="FootnoteText"/>
      </w:pPr>
      <w:r>
        <w:rPr>
          <w:rStyle w:val="FootnoteReference"/>
        </w:rPr>
        <w:footnoteRef/>
      </w:r>
      <w:r>
        <w:t xml:space="preserve"> </w:t>
      </w:r>
      <w:r w:rsidR="00B5517C" w:rsidRPr="00B5517C">
        <w:t>PJM Interconnection, 2025 PJM ELCCIRRS Study, 2025. Storage resources are modeled with two-part dispatch and state-of-charge tracking; DR is modeled without an energy constraint and dispatched whenever load exceeds available supply.</w:t>
      </w:r>
    </w:p>
  </w:footnote>
  <w:footnote w:id="14">
    <w:p w14:paraId="347CA2E9" w14:textId="25FF6C3D" w:rsidR="00BC165A" w:rsidRDefault="00BC165A">
      <w:pPr>
        <w:pStyle w:val="FootnoteText"/>
      </w:pPr>
      <w:r>
        <w:rPr>
          <w:rStyle w:val="FootnoteReference"/>
        </w:rPr>
        <w:footnoteRef/>
      </w:r>
      <w:r>
        <w:t xml:space="preserve"> </w:t>
      </w:r>
      <w:r w:rsidRPr="00BC165A">
        <w:t xml:space="preserve">Ethan Howland, "Can ERCOT Show the Way to Faster and Cheaper Grid </w:t>
      </w:r>
      <w:proofErr w:type="gramStart"/>
      <w:r w:rsidRPr="00BC165A">
        <w:t>Interconnection?,</w:t>
      </w:r>
      <w:proofErr w:type="gramEnd"/>
      <w:r w:rsidRPr="00BC165A">
        <w:t>" Utility Dive, November 27, 2023, https://www.utilitydive.com/news/connect-and-manage-grid-interconnection-ferc-ercot-transmission-planning/698949/.</w:t>
      </w:r>
    </w:p>
  </w:footnote>
  <w:footnote w:id="15">
    <w:p w14:paraId="4B597176" w14:textId="10BA0EA1" w:rsidR="00697816" w:rsidRDefault="00697816">
      <w:pPr>
        <w:pStyle w:val="FootnoteText"/>
      </w:pPr>
      <w:r>
        <w:rPr>
          <w:rStyle w:val="FootnoteReference"/>
        </w:rPr>
        <w:footnoteRef/>
      </w:r>
      <w:r>
        <w:t xml:space="preserve"> </w:t>
      </w:r>
      <w:r w:rsidR="00BC528C" w:rsidRPr="00BC528C">
        <w:t>Ibid. Data from S&amp;P Global, as reported in Howland (2023). ERCOT interconnected 14.2 GW in 2021-2022, compared to 5.6 GW for PJM over the same period. See also Lawrence Berkeley National Laboratory interconnection analysis confirming ERCOT's continued outperformance through 2024.</w:t>
      </w:r>
    </w:p>
  </w:footnote>
  <w:footnote w:id="16">
    <w:p w14:paraId="23DF70B9" w14:textId="0A4BF482" w:rsidR="00FF2CBD" w:rsidRDefault="00FF2CBD">
      <w:pPr>
        <w:pStyle w:val="FootnoteText"/>
      </w:pPr>
      <w:r>
        <w:rPr>
          <w:rStyle w:val="FootnoteReference"/>
        </w:rPr>
        <w:footnoteRef/>
      </w:r>
      <w:r>
        <w:t xml:space="preserve"> </w:t>
      </w:r>
      <w:r w:rsidRPr="00FF2CBD">
        <w:t>PJM Interconnection, 2025 PJM Effective Load Carrying Capability and Reserve Requirement Study, 2025, https://www.pjm.com/-/media/DotCom/planning/res-adeq/elcc/2025-pjm-elcc-rrs.pdf. See forward-year projections in Section: Delivery Years 2028/2029 Through 2035/2036.</w:t>
      </w:r>
    </w:p>
  </w:footnote>
  <w:footnote w:id="17">
    <w:p w14:paraId="462A95DE" w14:textId="3E29858D" w:rsidR="005D064D" w:rsidRDefault="005D064D">
      <w:pPr>
        <w:pStyle w:val="FootnoteText"/>
      </w:pPr>
      <w:r>
        <w:rPr>
          <w:rStyle w:val="FootnoteReference"/>
        </w:rPr>
        <w:footnoteRef/>
      </w:r>
      <w:r>
        <w:t xml:space="preserve"> </w:t>
      </w:r>
      <w:r w:rsidRPr="005D064D">
        <w:t>PJM does not currently have a formal connect-and-manage framework for load. The scenarios described here are the author's analytical construction based on existing PJM tariff provisions and the ERCOT precedent. See PJM Interconnection, "Large Load Additions: Stakeholder Feedback," presented September 15, 2025; White &amp; Case LLP, "Grid Operators Propose Innovative Measures to Manage Electricity Demand from Data Centers," 2025, https://www.whitecase.com/insight-alert/grid-operators-propose-innovative-measures-manage-electricity-demand-data-centers.</w:t>
      </w:r>
    </w:p>
  </w:footnote>
  <w:footnote w:id="18">
    <w:p w14:paraId="4D7C45E1" w14:textId="3D4CD2DA" w:rsidR="00823081" w:rsidRDefault="00823081">
      <w:pPr>
        <w:pStyle w:val="FootnoteText"/>
      </w:pPr>
      <w:r>
        <w:rPr>
          <w:rStyle w:val="FootnoteReference"/>
        </w:rPr>
        <w:footnoteRef/>
      </w:r>
      <w:r>
        <w:t xml:space="preserve"> </w:t>
      </w:r>
      <w:r w:rsidRPr="00823081">
        <w:t>For discussion of behind-the-meter nuclear as a data center power source, see, e.g., Department of Energy, "Pathways to Commercial Liftoff: Advanced Nuclear" (Washington, DC: DOE,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0CA"/>
    <w:multiLevelType w:val="hybridMultilevel"/>
    <w:tmpl w:val="5CE0984A"/>
    <w:lvl w:ilvl="0" w:tplc="0ECC201C">
      <w:start w:val="4"/>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40E15"/>
    <w:multiLevelType w:val="hybridMultilevel"/>
    <w:tmpl w:val="E658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83E39"/>
    <w:multiLevelType w:val="hybridMultilevel"/>
    <w:tmpl w:val="94309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1706B"/>
    <w:multiLevelType w:val="hybridMultilevel"/>
    <w:tmpl w:val="2474C4B6"/>
    <w:lvl w:ilvl="0" w:tplc="2818AB1E">
      <w:start w:val="1"/>
      <w:numFmt w:val="decimal"/>
      <w:lvlText w:val="%1."/>
      <w:lvlJc w:val="left"/>
      <w:pPr>
        <w:ind w:left="962" w:hanging="351"/>
        <w:jc w:val="right"/>
      </w:pPr>
      <w:rPr>
        <w:rFonts w:hint="default"/>
        <w:spacing w:val="0"/>
        <w:w w:val="92"/>
        <w:lang w:val="en-US" w:eastAsia="en-US" w:bidi="ar-SA"/>
      </w:rPr>
    </w:lvl>
    <w:lvl w:ilvl="1" w:tplc="075A74E4">
      <w:numFmt w:val="bullet"/>
      <w:lvlText w:val="•"/>
      <w:lvlJc w:val="left"/>
      <w:pPr>
        <w:ind w:left="2016" w:hanging="351"/>
      </w:pPr>
      <w:rPr>
        <w:rFonts w:hint="default"/>
        <w:lang w:val="en-US" w:eastAsia="en-US" w:bidi="ar-SA"/>
      </w:rPr>
    </w:lvl>
    <w:lvl w:ilvl="2" w:tplc="C0DC3E3E">
      <w:numFmt w:val="bullet"/>
      <w:lvlText w:val="•"/>
      <w:lvlJc w:val="left"/>
      <w:pPr>
        <w:ind w:left="3072" w:hanging="351"/>
      </w:pPr>
      <w:rPr>
        <w:rFonts w:hint="default"/>
        <w:lang w:val="en-US" w:eastAsia="en-US" w:bidi="ar-SA"/>
      </w:rPr>
    </w:lvl>
    <w:lvl w:ilvl="3" w:tplc="45C639CA">
      <w:numFmt w:val="bullet"/>
      <w:lvlText w:val="•"/>
      <w:lvlJc w:val="left"/>
      <w:pPr>
        <w:ind w:left="4128" w:hanging="351"/>
      </w:pPr>
      <w:rPr>
        <w:rFonts w:hint="default"/>
        <w:lang w:val="en-US" w:eastAsia="en-US" w:bidi="ar-SA"/>
      </w:rPr>
    </w:lvl>
    <w:lvl w:ilvl="4" w:tplc="6456C240">
      <w:numFmt w:val="bullet"/>
      <w:lvlText w:val="•"/>
      <w:lvlJc w:val="left"/>
      <w:pPr>
        <w:ind w:left="5184" w:hanging="351"/>
      </w:pPr>
      <w:rPr>
        <w:rFonts w:hint="default"/>
        <w:lang w:val="en-US" w:eastAsia="en-US" w:bidi="ar-SA"/>
      </w:rPr>
    </w:lvl>
    <w:lvl w:ilvl="5" w:tplc="8C28462C">
      <w:numFmt w:val="bullet"/>
      <w:lvlText w:val="•"/>
      <w:lvlJc w:val="left"/>
      <w:pPr>
        <w:ind w:left="6240" w:hanging="351"/>
      </w:pPr>
      <w:rPr>
        <w:rFonts w:hint="default"/>
        <w:lang w:val="en-US" w:eastAsia="en-US" w:bidi="ar-SA"/>
      </w:rPr>
    </w:lvl>
    <w:lvl w:ilvl="6" w:tplc="8466D24A">
      <w:numFmt w:val="bullet"/>
      <w:lvlText w:val="•"/>
      <w:lvlJc w:val="left"/>
      <w:pPr>
        <w:ind w:left="7296" w:hanging="351"/>
      </w:pPr>
      <w:rPr>
        <w:rFonts w:hint="default"/>
        <w:lang w:val="en-US" w:eastAsia="en-US" w:bidi="ar-SA"/>
      </w:rPr>
    </w:lvl>
    <w:lvl w:ilvl="7" w:tplc="1FEE3D6E">
      <w:numFmt w:val="bullet"/>
      <w:lvlText w:val="•"/>
      <w:lvlJc w:val="left"/>
      <w:pPr>
        <w:ind w:left="8352" w:hanging="351"/>
      </w:pPr>
      <w:rPr>
        <w:rFonts w:hint="default"/>
        <w:lang w:val="en-US" w:eastAsia="en-US" w:bidi="ar-SA"/>
      </w:rPr>
    </w:lvl>
    <w:lvl w:ilvl="8" w:tplc="22B8349E">
      <w:numFmt w:val="bullet"/>
      <w:lvlText w:val="•"/>
      <w:lvlJc w:val="left"/>
      <w:pPr>
        <w:ind w:left="9408" w:hanging="351"/>
      </w:pPr>
      <w:rPr>
        <w:rFonts w:hint="default"/>
        <w:lang w:val="en-US" w:eastAsia="en-US" w:bidi="ar-SA"/>
      </w:rPr>
    </w:lvl>
  </w:abstractNum>
  <w:abstractNum w:abstractNumId="4" w15:restartNumberingAfterBreak="0">
    <w:nsid w:val="72143E5D"/>
    <w:multiLevelType w:val="hybridMultilevel"/>
    <w:tmpl w:val="677EE2EC"/>
    <w:lvl w:ilvl="0" w:tplc="0C5A466E">
      <w:start w:val="1"/>
      <w:numFmt w:val="bullet"/>
      <w:lvlText w:val="●"/>
      <w:lvlJc w:val="left"/>
      <w:pPr>
        <w:ind w:left="720" w:hanging="360"/>
      </w:pPr>
    </w:lvl>
    <w:lvl w:ilvl="1" w:tplc="6E54258C">
      <w:start w:val="1"/>
      <w:numFmt w:val="bullet"/>
      <w:lvlText w:val="○"/>
      <w:lvlJc w:val="left"/>
      <w:pPr>
        <w:ind w:left="1440" w:hanging="360"/>
      </w:pPr>
    </w:lvl>
    <w:lvl w:ilvl="2" w:tplc="B478DC18">
      <w:start w:val="1"/>
      <w:numFmt w:val="bullet"/>
      <w:lvlText w:val="■"/>
      <w:lvlJc w:val="left"/>
      <w:pPr>
        <w:ind w:left="2160" w:hanging="360"/>
      </w:pPr>
    </w:lvl>
    <w:lvl w:ilvl="3" w:tplc="42B44548">
      <w:start w:val="1"/>
      <w:numFmt w:val="bullet"/>
      <w:lvlText w:val="●"/>
      <w:lvlJc w:val="left"/>
      <w:pPr>
        <w:ind w:left="2880" w:hanging="360"/>
      </w:pPr>
    </w:lvl>
    <w:lvl w:ilvl="4" w:tplc="67A6BF16">
      <w:start w:val="1"/>
      <w:numFmt w:val="bullet"/>
      <w:lvlText w:val="○"/>
      <w:lvlJc w:val="left"/>
      <w:pPr>
        <w:ind w:left="3600" w:hanging="360"/>
      </w:pPr>
    </w:lvl>
    <w:lvl w:ilvl="5" w:tplc="485EB906">
      <w:start w:val="1"/>
      <w:numFmt w:val="bullet"/>
      <w:lvlText w:val="■"/>
      <w:lvlJc w:val="left"/>
      <w:pPr>
        <w:ind w:left="4320" w:hanging="360"/>
      </w:pPr>
    </w:lvl>
    <w:lvl w:ilvl="6" w:tplc="D516665A">
      <w:start w:val="1"/>
      <w:numFmt w:val="bullet"/>
      <w:lvlText w:val="●"/>
      <w:lvlJc w:val="left"/>
      <w:pPr>
        <w:ind w:left="5040" w:hanging="360"/>
      </w:pPr>
    </w:lvl>
    <w:lvl w:ilvl="7" w:tplc="0EE81C8A">
      <w:start w:val="1"/>
      <w:numFmt w:val="bullet"/>
      <w:lvlText w:val="●"/>
      <w:lvlJc w:val="left"/>
      <w:pPr>
        <w:ind w:left="5760" w:hanging="360"/>
      </w:pPr>
    </w:lvl>
    <w:lvl w:ilvl="8" w:tplc="2096A4B0">
      <w:start w:val="1"/>
      <w:numFmt w:val="bullet"/>
      <w:lvlText w:val="●"/>
      <w:lvlJc w:val="left"/>
      <w:pPr>
        <w:ind w:left="6480" w:hanging="360"/>
      </w:pPr>
    </w:lvl>
  </w:abstractNum>
  <w:num w:numId="1" w16cid:durableId="620890247">
    <w:abstractNumId w:val="4"/>
    <w:lvlOverride w:ilvl="0">
      <w:startOverride w:val="1"/>
    </w:lvlOverride>
  </w:num>
  <w:num w:numId="2" w16cid:durableId="1270696211">
    <w:abstractNumId w:val="3"/>
  </w:num>
  <w:num w:numId="3" w16cid:durableId="416827119">
    <w:abstractNumId w:val="1"/>
  </w:num>
  <w:num w:numId="4" w16cid:durableId="708384307">
    <w:abstractNumId w:val="2"/>
  </w:num>
  <w:num w:numId="5" w16cid:durableId="1752971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9A"/>
    <w:rsid w:val="000066C6"/>
    <w:rsid w:val="00025213"/>
    <w:rsid w:val="00047A76"/>
    <w:rsid w:val="00085A81"/>
    <w:rsid w:val="000B05E1"/>
    <w:rsid w:val="000C438F"/>
    <w:rsid w:val="000C7FF2"/>
    <w:rsid w:val="000D7C93"/>
    <w:rsid w:val="000D7D82"/>
    <w:rsid w:val="000F5509"/>
    <w:rsid w:val="001011B4"/>
    <w:rsid w:val="00107CB1"/>
    <w:rsid w:val="00116799"/>
    <w:rsid w:val="001208DB"/>
    <w:rsid w:val="001307BA"/>
    <w:rsid w:val="00141DA6"/>
    <w:rsid w:val="00151DCD"/>
    <w:rsid w:val="00153823"/>
    <w:rsid w:val="00170157"/>
    <w:rsid w:val="00170E52"/>
    <w:rsid w:val="001762AA"/>
    <w:rsid w:val="001779E2"/>
    <w:rsid w:val="00186136"/>
    <w:rsid w:val="00194B68"/>
    <w:rsid w:val="001A5A10"/>
    <w:rsid w:val="001A651C"/>
    <w:rsid w:val="001B440A"/>
    <w:rsid w:val="001B4C3F"/>
    <w:rsid w:val="001C1458"/>
    <w:rsid w:val="001C4712"/>
    <w:rsid w:val="001D3D82"/>
    <w:rsid w:val="001D4877"/>
    <w:rsid w:val="002176C4"/>
    <w:rsid w:val="00232EDA"/>
    <w:rsid w:val="00243232"/>
    <w:rsid w:val="00293E1C"/>
    <w:rsid w:val="002B0F06"/>
    <w:rsid w:val="002D3963"/>
    <w:rsid w:val="002D7BB0"/>
    <w:rsid w:val="002E7A34"/>
    <w:rsid w:val="002F3A54"/>
    <w:rsid w:val="00303313"/>
    <w:rsid w:val="00305E2E"/>
    <w:rsid w:val="0033367C"/>
    <w:rsid w:val="00336122"/>
    <w:rsid w:val="0035207B"/>
    <w:rsid w:val="003728ED"/>
    <w:rsid w:val="00373C5E"/>
    <w:rsid w:val="00396A32"/>
    <w:rsid w:val="003A2269"/>
    <w:rsid w:val="003C476D"/>
    <w:rsid w:val="003C6D93"/>
    <w:rsid w:val="003D7541"/>
    <w:rsid w:val="003E2AD4"/>
    <w:rsid w:val="0040474D"/>
    <w:rsid w:val="0042234D"/>
    <w:rsid w:val="00440E3B"/>
    <w:rsid w:val="004626F3"/>
    <w:rsid w:val="00476193"/>
    <w:rsid w:val="00494C2E"/>
    <w:rsid w:val="004C319B"/>
    <w:rsid w:val="004D6F52"/>
    <w:rsid w:val="00523A2D"/>
    <w:rsid w:val="005424F6"/>
    <w:rsid w:val="00550DC0"/>
    <w:rsid w:val="0055626A"/>
    <w:rsid w:val="00561EF7"/>
    <w:rsid w:val="0056487C"/>
    <w:rsid w:val="005A544B"/>
    <w:rsid w:val="005B0B37"/>
    <w:rsid w:val="005B1E9A"/>
    <w:rsid w:val="005C50EA"/>
    <w:rsid w:val="005D064D"/>
    <w:rsid w:val="005D29B7"/>
    <w:rsid w:val="00613FCB"/>
    <w:rsid w:val="00665421"/>
    <w:rsid w:val="00697816"/>
    <w:rsid w:val="006F4D74"/>
    <w:rsid w:val="00701CD7"/>
    <w:rsid w:val="00712924"/>
    <w:rsid w:val="00724FD2"/>
    <w:rsid w:val="007268A3"/>
    <w:rsid w:val="007349EA"/>
    <w:rsid w:val="00792F63"/>
    <w:rsid w:val="007A201B"/>
    <w:rsid w:val="007B71E4"/>
    <w:rsid w:val="007C2FE4"/>
    <w:rsid w:val="007C5A54"/>
    <w:rsid w:val="007C73C3"/>
    <w:rsid w:val="00800722"/>
    <w:rsid w:val="008020F8"/>
    <w:rsid w:val="00822FCB"/>
    <w:rsid w:val="00823081"/>
    <w:rsid w:val="00841E63"/>
    <w:rsid w:val="00847CA5"/>
    <w:rsid w:val="00850FC9"/>
    <w:rsid w:val="00854B85"/>
    <w:rsid w:val="00865A04"/>
    <w:rsid w:val="00877439"/>
    <w:rsid w:val="00880AF9"/>
    <w:rsid w:val="00891380"/>
    <w:rsid w:val="008A42AB"/>
    <w:rsid w:val="008F7EBF"/>
    <w:rsid w:val="00900FB1"/>
    <w:rsid w:val="00955DD1"/>
    <w:rsid w:val="00957F3A"/>
    <w:rsid w:val="009750EE"/>
    <w:rsid w:val="009760F5"/>
    <w:rsid w:val="00986F73"/>
    <w:rsid w:val="00994972"/>
    <w:rsid w:val="00997652"/>
    <w:rsid w:val="009A26D4"/>
    <w:rsid w:val="009B559D"/>
    <w:rsid w:val="009C3324"/>
    <w:rsid w:val="009D7932"/>
    <w:rsid w:val="009F5EF0"/>
    <w:rsid w:val="00A01C41"/>
    <w:rsid w:val="00A030D2"/>
    <w:rsid w:val="00A07FD8"/>
    <w:rsid w:val="00A124E9"/>
    <w:rsid w:val="00A24C6D"/>
    <w:rsid w:val="00A46E14"/>
    <w:rsid w:val="00A473A0"/>
    <w:rsid w:val="00A91F15"/>
    <w:rsid w:val="00AD1013"/>
    <w:rsid w:val="00AF552E"/>
    <w:rsid w:val="00B005A9"/>
    <w:rsid w:val="00B00FA5"/>
    <w:rsid w:val="00B24F1C"/>
    <w:rsid w:val="00B32456"/>
    <w:rsid w:val="00B53A60"/>
    <w:rsid w:val="00B5517C"/>
    <w:rsid w:val="00B56B8B"/>
    <w:rsid w:val="00B7773A"/>
    <w:rsid w:val="00B8322E"/>
    <w:rsid w:val="00B90725"/>
    <w:rsid w:val="00B96935"/>
    <w:rsid w:val="00BC165A"/>
    <w:rsid w:val="00BC269C"/>
    <w:rsid w:val="00BC528C"/>
    <w:rsid w:val="00BE48CF"/>
    <w:rsid w:val="00BF44CE"/>
    <w:rsid w:val="00BF52FB"/>
    <w:rsid w:val="00C132BD"/>
    <w:rsid w:val="00C2304A"/>
    <w:rsid w:val="00C43849"/>
    <w:rsid w:val="00C50051"/>
    <w:rsid w:val="00C55C8D"/>
    <w:rsid w:val="00C953A6"/>
    <w:rsid w:val="00CB2281"/>
    <w:rsid w:val="00CD4011"/>
    <w:rsid w:val="00CD7785"/>
    <w:rsid w:val="00CE56F0"/>
    <w:rsid w:val="00D228C5"/>
    <w:rsid w:val="00D30D02"/>
    <w:rsid w:val="00D35F8D"/>
    <w:rsid w:val="00D419A7"/>
    <w:rsid w:val="00D962EC"/>
    <w:rsid w:val="00DA2422"/>
    <w:rsid w:val="00DA68A2"/>
    <w:rsid w:val="00DD2814"/>
    <w:rsid w:val="00E05439"/>
    <w:rsid w:val="00E132D8"/>
    <w:rsid w:val="00E368A6"/>
    <w:rsid w:val="00E4204C"/>
    <w:rsid w:val="00E47DE4"/>
    <w:rsid w:val="00E72036"/>
    <w:rsid w:val="00E80C4F"/>
    <w:rsid w:val="00EB428F"/>
    <w:rsid w:val="00ED16C3"/>
    <w:rsid w:val="00ED79C2"/>
    <w:rsid w:val="00ED7FAF"/>
    <w:rsid w:val="00EE4EA2"/>
    <w:rsid w:val="00F230B4"/>
    <w:rsid w:val="00F26845"/>
    <w:rsid w:val="00F323AA"/>
    <w:rsid w:val="00F32C61"/>
    <w:rsid w:val="00FC45D3"/>
    <w:rsid w:val="00FE42CF"/>
    <w:rsid w:val="00FF2CBD"/>
    <w:rsid w:val="00FF7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63FC"/>
  <w15:docId w15:val="{29E870BF-5AE4-4375-91F0-CCE97B58C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A651C"/>
    <w:rPr>
      <w:color w:val="605E5C"/>
      <w:shd w:val="clear" w:color="auto" w:fill="E1DFDD"/>
    </w:rPr>
  </w:style>
  <w:style w:type="paragraph" w:styleId="NoSpacing">
    <w:name w:val="No Spacing"/>
    <w:uiPriority w:val="1"/>
    <w:qFormat/>
    <w:rsid w:val="00C50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B0773-E149-4D72-9324-76A168B34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8</Pages>
  <Words>3565</Words>
  <Characters>19720</Characters>
  <Application>Microsoft Office Word</Application>
  <DocSecurity>0</DocSecurity>
  <Lines>334</Lines>
  <Paragraphs>87</Paragraphs>
  <ScaleCrop>false</ScaleCrop>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Dunlap</cp:lastModifiedBy>
  <cp:revision>171</cp:revision>
  <dcterms:created xsi:type="dcterms:W3CDTF">2026-02-27T16:00:00Z</dcterms:created>
  <dcterms:modified xsi:type="dcterms:W3CDTF">2026-03-23T14:59:00Z</dcterms:modified>
</cp:coreProperties>
</file>