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2873E" w14:textId="77777777" w:rsidR="005F3939" w:rsidRPr="00E72036" w:rsidRDefault="005F3939" w:rsidP="005F3939">
      <w:pPr>
        <w:rPr>
          <w:b/>
          <w:bCs/>
          <w:sz w:val="28"/>
          <w:szCs w:val="28"/>
        </w:rPr>
      </w:pPr>
      <w:r>
        <w:rPr>
          <w:b/>
          <w:bCs/>
          <w:sz w:val="28"/>
          <w:szCs w:val="28"/>
        </w:rPr>
        <w:t>The Four Central Questions of my Data Center Flexibility Idea:</w:t>
      </w:r>
    </w:p>
    <w:p w14:paraId="1CAB300A" w14:textId="77777777" w:rsidR="005F3939" w:rsidRPr="005F3939" w:rsidRDefault="005F3939" w:rsidP="005F3939">
      <w:pPr>
        <w:pStyle w:val="ListParagraph"/>
        <w:numPr>
          <w:ilvl w:val="0"/>
          <w:numId w:val="2"/>
        </w:numPr>
        <w:rPr>
          <w:color w:val="FF0000"/>
        </w:rPr>
      </w:pPr>
      <w:r>
        <w:rPr>
          <w:color w:val="FF0000"/>
        </w:rPr>
        <w:t xml:space="preserve">Technical feasibility of compute migration — Can workloads physically move? What are the bounded limits on latency, ramp rates, workload types, and opportunity costs? </w:t>
      </w:r>
    </w:p>
    <w:p w14:paraId="6E5EB34A" w14:textId="77777777" w:rsidR="005F3939" w:rsidRPr="00E72036" w:rsidRDefault="005F3939" w:rsidP="005F3939">
      <w:pPr>
        <w:pStyle w:val="ListParagraph"/>
        <w:numPr>
          <w:ilvl w:val="0"/>
          <w:numId w:val="2"/>
        </w:numPr>
      </w:pPr>
      <w:r>
        <w:t>Grid physical feasibility — When the source zone is overstressed, can we reliably expect power availability at destination zones? What does the empirical pricing record actually show?</w:t>
      </w:r>
    </w:p>
    <w:p w14:paraId="42111EE9" w14:textId="77777777" w:rsidR="005F3939" w:rsidRPr="005F3939" w:rsidRDefault="005F3939" w:rsidP="005F3939">
      <w:pPr>
        <w:pStyle w:val="ListParagraph"/>
        <w:numPr>
          <w:ilvl w:val="0"/>
          <w:numId w:val="2"/>
        </w:numPr>
      </w:pPr>
      <w:r>
        <w:t xml:space="preserve">Administrative and market integration — How does this capability fit into PJM’s capacity construct? Given PJM’s existing 92% ELCC class rating for demand response, what commitment depth can a data center fleet credibly sustain, what are the avoided cost implications, and how does the depth of commitment create the incentive structure? </w:t>
      </w:r>
    </w:p>
    <w:p w14:paraId="25DBA265" w14:textId="77777777" w:rsidR="005F3939" w:rsidRPr="00E72036" w:rsidRDefault="005F3939" w:rsidP="005F3939">
      <w:pPr>
        <w:pStyle w:val="ListParagraph"/>
        <w:numPr>
          <w:ilvl w:val="0"/>
          <w:numId w:val="2"/>
        </w:numPr>
      </w:pPr>
      <w:r>
        <w:t xml:space="preserve">Mechanical implementation — What does the actual operational protocol look like for both the grid operator and the data center? Dispatch signals, certification requirements, performance assessment, penalty structures. </w:t>
      </w:r>
    </w:p>
    <w:p w14:paraId="21138898" w14:textId="77777777" w:rsidR="005F3939" w:rsidRDefault="005F3939" w:rsidP="00E93D49">
      <w:pPr>
        <w:rPr>
          <w:i/>
          <w:iCs/>
        </w:rPr>
      </w:pPr>
    </w:p>
    <w:p w14:paraId="1B2EA6F0" w14:textId="77777777" w:rsidR="005F3939" w:rsidRDefault="005F3939" w:rsidP="00E93D49">
      <w:pPr>
        <w:rPr>
          <w:i/>
          <w:iCs/>
        </w:rPr>
      </w:pPr>
    </w:p>
    <w:p w14:paraId="25F5AB82" w14:textId="67C6F6DD" w:rsidR="00CD5EEF" w:rsidRPr="005F3939" w:rsidRDefault="00273057" w:rsidP="00E93D49">
      <w:pPr>
        <w:rPr>
          <w:b/>
          <w:bCs/>
          <w:sz w:val="28"/>
          <w:szCs w:val="28"/>
        </w:rPr>
      </w:pPr>
      <w:r>
        <w:rPr>
          <w:b/>
          <w:bCs/>
          <w:sz w:val="28"/>
          <w:szCs w:val="28"/>
        </w:rPr>
        <w:t>Context</w:t>
      </w:r>
    </w:p>
    <w:p w14:paraId="25F5AB83" w14:textId="1B3D27B2" w:rsidR="00CD5EEF" w:rsidRDefault="00273057" w:rsidP="00E93D49">
      <w:r>
        <w:t xml:space="preserve">The Pillar 3 framework establishes that PJM assigns a 92% ELCC to demand response and that the analytical question is commitment depth: how many MW can a data center fleet credibly commit as DR, given its mechanism portfolio? The DVFS-only floor of 25% is grounded in the Emerald AI pilot (Colangelo et al., </w:t>
      </w:r>
      <w:r>
        <w:rPr>
          <w:i/>
          <w:iCs/>
        </w:rPr>
        <w:t>Nature Energy</w:t>
      </w:r>
      <w:r>
        <w:t xml:space="preserve"> 2025). The spatial migration uplift</w:t>
      </w:r>
      <w:r w:rsidR="00C6536C">
        <w:t xml:space="preserve"> </w:t>
      </w:r>
      <w:r>
        <w:t>from 25% to approximately 56%</w:t>
      </w:r>
      <w:r w:rsidR="00C6536C">
        <w:t xml:space="preserve"> </w:t>
      </w:r>
      <w:r>
        <w:t xml:space="preserve">depends on a separate empirical question: what fraction of a facility’s load can </w:t>
      </w:r>
      <w:proofErr w:type="gramStart"/>
      <w:r>
        <w:t>actually be</w:t>
      </w:r>
      <w:proofErr w:type="gramEnd"/>
      <w:r>
        <w:t xml:space="preserve"> relocated to an unstressed grid during a dispatch event?</w:t>
      </w:r>
    </w:p>
    <w:p w14:paraId="026A0B17" w14:textId="77777777" w:rsidR="005F3939" w:rsidRDefault="005F3939" w:rsidP="00E93D49"/>
    <w:p w14:paraId="25F5AB84" w14:textId="02A155ED" w:rsidR="00CD5EEF" w:rsidRDefault="00273057" w:rsidP="00E93D49">
      <w:r>
        <w:t>This document answers that question through a seven-parameter cascade model. Each parameter represents an independent filter on the spatial migration pathway, and the product of all seven yields the effective spatial fraction: the share of facility load that disappears from the source node during a capacity market dispatch event. This effective spatial fraction is the key input to Pillar 3’s commitment depth optimization.</w:t>
      </w:r>
    </w:p>
    <w:p w14:paraId="3A7101F9" w14:textId="77777777" w:rsidR="005F3939" w:rsidRDefault="005F3939" w:rsidP="00E93D49"/>
    <w:p w14:paraId="25F5AB85" w14:textId="51A46D31" w:rsidR="00CD5EEF" w:rsidRDefault="00273057" w:rsidP="00E93D49">
      <w:r>
        <w:t>The cascade is: Effective Spatial Fraction = S1 × S2 × D1 × D2 × D3 × E1 × E2</w:t>
      </w:r>
    </w:p>
    <w:p w14:paraId="25F5AB86" w14:textId="424D36EA" w:rsidR="00CD5EEF" w:rsidRDefault="00273057" w:rsidP="00E93D49">
      <w:r>
        <w:t>The seven parameters are grouped in three stages. Source-side parameters (S1 &amp; S2) determine what fraction of facility load is both a candidate workload type and operationally executable: S1 is workload candidacy (what share of compute is a workload type architecturally capable of spatial migration) and S2 is execution feasibility (of those candidates, what fraction can actually execute the migration given data locality constraints and advance notice windows). Destination-side parameters (D1-D3) determine whether migrated load has somewhere to go: D1 is stress correlation availability (is an unstressed destination available), D2 is destination headroom (can the unstressed destination absorb the load), and D3 is destination hardware compatibility (can the destination run the workload). Execution parameters (E1 &amp; E2) determine whether the migration operation succeeds mechanically: E1 is migration completion probability (does the routing operation succeed) and E2 is WAN transfer feasibility (is there sufficient bandwidth).</w:t>
      </w:r>
    </w:p>
    <w:p w14:paraId="7B2A2120" w14:textId="77777777" w:rsidR="005F3939" w:rsidRDefault="005F3939" w:rsidP="00E93D49"/>
    <w:p w14:paraId="25F5AB87" w14:textId="140A05D2" w:rsidR="00CD5EEF" w:rsidRDefault="00E06F11" w:rsidP="00E93D49">
      <w:r>
        <w:t xml:space="preserve">Based on my research, I decided to primarily scope the discussion of this cascade framework to stateless inference workloads for two primary reasons. First, the empirical grounding (production traces, published measurements) is strongest for inference. Second, inference is the fastest-growing segment of data center load (35% CAGR per McKinsey’s December 2025 projection), </w:t>
      </w:r>
      <w:r>
        <w:lastRenderedPageBreak/>
        <w:t>meaning inference-dominant facilities are the likely marginal participants in any DR program. Training-heavy facilities may participate through the DVFS-only (Emerald Conductor type) floor, but I think it unlikely that they will require or choose to utilize spatial shifting in a meaningful way.</w:t>
      </w:r>
    </w:p>
    <w:p w14:paraId="03C8ACA9" w14:textId="77777777" w:rsidR="005F3939" w:rsidRDefault="005F3939" w:rsidP="00E93D49"/>
    <w:p w14:paraId="25F5AB88" w14:textId="6F9B57D9" w:rsidR="00CD5EEF" w:rsidRPr="005F3939" w:rsidRDefault="005867AA" w:rsidP="00E93D49">
      <w:pPr>
        <w:rPr>
          <w:b/>
          <w:bCs/>
        </w:rPr>
      </w:pPr>
      <w:r>
        <w:rPr>
          <w:b/>
          <w:bCs/>
          <w:sz w:val="28"/>
          <w:szCs w:val="28"/>
        </w:rPr>
        <w:t>S1: Workload Spatial Candidacy</w:t>
      </w:r>
    </w:p>
    <w:p w14:paraId="44128A1C" w14:textId="77777777" w:rsidR="00A473AF" w:rsidRDefault="005867AA" w:rsidP="00E93D49">
      <w:pPr>
        <w:rPr>
          <w:i/>
          <w:iCs/>
          <w:color w:val="156082" w:themeColor="accent1"/>
        </w:rPr>
      </w:pPr>
      <w:r>
        <w:t xml:space="preserve">S1 answers a classification question: </w:t>
      </w:r>
      <w:r>
        <w:rPr>
          <w:i/>
          <w:iCs/>
          <w:color w:val="156082" w:themeColor="accent1"/>
        </w:rPr>
        <w:t xml:space="preserve">of the </w:t>
      </w:r>
      <w:proofErr w:type="gramStart"/>
      <w:r>
        <w:rPr>
          <w:i/>
          <w:iCs/>
          <w:color w:val="156082" w:themeColor="accent1"/>
        </w:rPr>
        <w:t>compute</w:t>
      </w:r>
      <w:proofErr w:type="gramEnd"/>
      <w:r>
        <w:rPr>
          <w:i/>
          <w:iCs/>
          <w:color w:val="156082" w:themeColor="accent1"/>
        </w:rPr>
        <w:t xml:space="preserve"> running at a facility, what fraction is a workload type that is architecturally capable of spatial migration?</w:t>
      </w:r>
    </w:p>
    <w:p w14:paraId="507FBCEC" w14:textId="79C98C26" w:rsidR="0080435E" w:rsidRDefault="005867AA" w:rsidP="00E93D49">
      <w:r>
        <w:t xml:space="preserve"> </w:t>
      </w:r>
    </w:p>
    <w:p w14:paraId="25F5AB89" w14:textId="1EC6ED06" w:rsidR="00CD5EEF" w:rsidRDefault="005867AA" w:rsidP="00E93D49">
      <w:r>
        <w:t>S1 is determined by the facility’s workload mix and is fixed within a given scenario archetype. The uncertainty in workload composition across facility types is captured by the scenario framework (inference-dominant S1 = 0.70, training-heavy S1 = 0.35, mixed cloud S1 = 0.53, enterprise AI S1 = 0.57), not by a within-scenario range.</w:t>
      </w:r>
    </w:p>
    <w:p w14:paraId="6217FF8A" w14:textId="77777777" w:rsidR="005F3939" w:rsidRDefault="005F3939" w:rsidP="00E93D49"/>
    <w:p w14:paraId="25F5AB92" w14:textId="2EDCA7A4" w:rsidR="00CD5EEF" w:rsidRPr="005F3939" w:rsidRDefault="00273057" w:rsidP="00E93D49">
      <w:pPr>
        <w:rPr>
          <w:b/>
          <w:bCs/>
        </w:rPr>
      </w:pPr>
      <w:r>
        <w:rPr>
          <w:b/>
          <w:bCs/>
        </w:rPr>
        <w:t>AI-Era Workload Composition</w:t>
      </w:r>
    </w:p>
    <w:p w14:paraId="25F5AB93" w14:textId="504FD203" w:rsidR="00CD5EEF" w:rsidRDefault="00273057" w:rsidP="00E93D49">
      <w:r>
        <w:t>The workload composition of modern data centers has shifted dramatically toward inference, which has fundamentally different flexibility characteristics than traditional batch computing.</w:t>
      </w:r>
    </w:p>
    <w:p w14:paraId="704A642F" w14:textId="77777777" w:rsidR="005F3939" w:rsidRDefault="005F3939" w:rsidP="00E93D49">
      <w:pPr>
        <w:rPr>
          <w:i/>
          <w:iCs/>
        </w:rPr>
      </w:pPr>
    </w:p>
    <w:p w14:paraId="25F5AB94" w14:textId="4DB33D7B" w:rsidR="00CD5EEF" w:rsidRDefault="00273057" w:rsidP="00E93D49">
      <w:r>
        <w:rPr>
          <w:i/>
          <w:iCs/>
        </w:rPr>
        <w:t>McKinsey Data Center Demand Model (December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1800"/>
        <w:gridCol w:w="1800"/>
        <w:gridCol w:w="2460"/>
      </w:tblGrid>
      <w:tr w:rsidR="00CD5EEF" w14:paraId="25F5AB9A" w14:textId="77777777">
        <w:tc>
          <w:tcPr>
            <w:tcW w:w="15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B95" w14:textId="77777777" w:rsidR="00CD5EEF" w:rsidRDefault="00273057" w:rsidP="00E93D49">
            <w:r>
              <w:rPr>
                <w:sz w:val="20"/>
                <w:szCs w:val="20"/>
              </w:rPr>
              <w:t>Year</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B96" w14:textId="77777777" w:rsidR="00CD5EEF" w:rsidRDefault="00273057" w:rsidP="00E93D49">
            <w:r>
              <w:rPr>
                <w:sz w:val="20"/>
                <w:szCs w:val="20"/>
              </w:rPr>
              <w:t>Non-AI (GW)</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B97" w14:textId="77777777" w:rsidR="00CD5EEF" w:rsidRDefault="00273057" w:rsidP="00E93D49">
            <w:r>
              <w:rPr>
                <w:sz w:val="20"/>
                <w:szCs w:val="20"/>
              </w:rPr>
              <w:t>Inference (GW)</w:t>
            </w:r>
          </w:p>
        </w:tc>
        <w:tc>
          <w:tcPr>
            <w:tcW w:w="18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B98" w14:textId="77777777" w:rsidR="00CD5EEF" w:rsidRDefault="00273057" w:rsidP="00E93D49">
            <w:r>
              <w:rPr>
                <w:sz w:val="20"/>
                <w:szCs w:val="20"/>
              </w:rPr>
              <w:t>Training (GW)</w:t>
            </w:r>
          </w:p>
        </w:tc>
        <w:tc>
          <w:tcPr>
            <w:tcW w:w="24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B99" w14:textId="77777777" w:rsidR="00CD5EEF" w:rsidRDefault="00273057" w:rsidP="00E93D49">
            <w:r>
              <w:rPr>
                <w:sz w:val="20"/>
                <w:szCs w:val="20"/>
              </w:rPr>
              <w:t>Total (GW)</w:t>
            </w:r>
          </w:p>
        </w:tc>
      </w:tr>
      <w:tr w:rsidR="00CD5EEF" w14:paraId="25F5ABA0"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9B" w14:textId="77777777" w:rsidR="00CD5EEF" w:rsidRDefault="00273057" w:rsidP="00E93D49">
            <w:r>
              <w:t>2025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9C" w14:textId="77777777" w:rsidR="00CD5EEF" w:rsidRDefault="00273057" w:rsidP="00E93D49">
            <w:r>
              <w:t>38.3 (47%)</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9D" w14:textId="77777777" w:rsidR="00CD5EEF" w:rsidRDefault="00273057" w:rsidP="00E93D49">
            <w:r>
              <w:t>20.9 (25%)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9E" w14:textId="77777777" w:rsidR="00CD5EEF" w:rsidRDefault="00273057" w:rsidP="00E93D49">
            <w:r>
              <w:t>23.1 (28%)</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9F" w14:textId="77777777" w:rsidR="00CD5EEF" w:rsidRDefault="00273057" w:rsidP="00E93D49">
            <w:r>
              <w:t>82.3</w:t>
            </w:r>
          </w:p>
        </w:tc>
      </w:tr>
      <w:tr w:rsidR="00CD5EEF" w14:paraId="25F5ABA6"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74A025" w14:textId="77777777" w:rsidR="005A5883" w:rsidRDefault="00273057" w:rsidP="00E93D49">
            <w:r>
              <w:t xml:space="preserve">2027 </w:t>
            </w:r>
          </w:p>
          <w:p w14:paraId="25F5ABA1" w14:textId="0A6F64A4" w:rsidR="00CD5EEF" w:rsidRDefault="005A5883" w:rsidP="00E93D49">
            <w:r>
              <w:rPr>
                <w:sz w:val="16"/>
                <w:szCs w:val="16"/>
              </w:rPr>
              <w:t>(CAGR derived extrapolation)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A2" w14:textId="77777777" w:rsidR="00CD5EEF" w:rsidRDefault="00273057" w:rsidP="00E93D49">
            <w:r>
              <w:t>~47 (38%)</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A3" w14:textId="77777777" w:rsidR="00CD5EEF" w:rsidRDefault="00273057" w:rsidP="00E93D49">
            <w:r>
              <w:t>~45 (36%)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A4" w14:textId="77777777" w:rsidR="00CD5EEF" w:rsidRDefault="00273057" w:rsidP="00E93D49">
            <w:r>
              <w:t>~33 (26%)</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A5" w14:textId="77777777" w:rsidR="00CD5EEF" w:rsidRDefault="00273057" w:rsidP="00E93D49">
            <w:r>
              <w:t>~125</w:t>
            </w:r>
          </w:p>
        </w:tc>
      </w:tr>
      <w:tr w:rsidR="00CD5EEF" w14:paraId="25F5ABAC"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A7" w14:textId="77777777" w:rsidR="00CD5EEF" w:rsidRDefault="00273057" w:rsidP="00E93D49">
            <w:r>
              <w:t>2030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A8" w14:textId="77777777" w:rsidR="00CD5EEF" w:rsidRDefault="00273057" w:rsidP="00E93D49">
            <w:r>
              <w:t>63.5 (29%)</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A9" w14:textId="77777777" w:rsidR="00CD5EEF" w:rsidRDefault="00273057" w:rsidP="00E93D49">
            <w:r>
              <w:t>93.3 (43%)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AA" w14:textId="77777777" w:rsidR="00CD5EEF" w:rsidRDefault="00273057" w:rsidP="00E93D49">
            <w:r>
              <w:t>62.2 (28%)</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AB" w14:textId="77777777" w:rsidR="00CD5EEF" w:rsidRDefault="00273057" w:rsidP="00E93D49">
            <w:r>
              <w:t>219.0</w:t>
            </w:r>
          </w:p>
        </w:tc>
      </w:tr>
    </w:tbl>
    <w:p w14:paraId="25F5ABAD" w14:textId="77777777" w:rsidR="00CD5EEF" w:rsidRDefault="00CD5EEF" w:rsidP="00E93D49"/>
    <w:p w14:paraId="1A1BFC8D" w14:textId="77777777" w:rsidR="005F3939" w:rsidRDefault="005F3939" w:rsidP="00E93D49"/>
    <w:p w14:paraId="25F5ABAF" w14:textId="6A1052CB" w:rsidR="00CD5EEF" w:rsidRDefault="00273057" w:rsidP="00E93D49">
      <w:r>
        <w:t>Deloitte (November 2025) reports inference was approximately one-third of compute in 2023, roughly half in 2025, and projects two-thirds by 2026. Deloitte further notes that post-training and test-time scaling can be “relatively interruptible” compared to pre-training, which helps enable DR participation.</w:t>
      </w:r>
    </w:p>
    <w:p w14:paraId="50D1B30A" w14:textId="77777777" w:rsidR="005F3939" w:rsidRDefault="005F3939" w:rsidP="00E93D49"/>
    <w:p w14:paraId="25F5ABB0" w14:textId="43E55A9B" w:rsidR="00CD5EEF" w:rsidRPr="005F3939" w:rsidRDefault="00273057" w:rsidP="00E93D49">
      <w:pPr>
        <w:rPr>
          <w:b/>
          <w:bCs/>
        </w:rPr>
      </w:pPr>
      <w:r>
        <w:rPr>
          <w:b/>
          <w:bCs/>
        </w:rPr>
        <w:t>Workload Taxonomy and Flexibility Profiles</w:t>
      </w:r>
    </w:p>
    <w:p w14:paraId="25F5ABB1" w14:textId="33388450" w:rsidR="00CD5EEF" w:rsidRDefault="00273057" w:rsidP="00E93D49">
      <w:r>
        <w:t>Rather than estimating S1 as a single universal constant for which I had no direct or reliable data, I defined workload-type-specific flexibility profiles and composed them based on general facility workload mixes. Four workload categories are relevant:</w:t>
      </w:r>
    </w:p>
    <w:p w14:paraId="6609B497" w14:textId="77777777" w:rsidR="005F3939" w:rsidRDefault="005F3939" w:rsidP="00E93D49">
      <w:pPr>
        <w:rPr>
          <w:i/>
          <w:iCs/>
        </w:rPr>
      </w:pPr>
    </w:p>
    <w:p w14:paraId="79A6F30C" w14:textId="307BB875" w:rsidR="00514DD1" w:rsidRPr="00514DD1" w:rsidRDefault="00273057" w:rsidP="00E93D49">
      <w:pPr>
        <w:rPr>
          <w:b/>
          <w:bCs/>
        </w:rPr>
      </w:pPr>
      <w:r>
        <w:rPr>
          <w:b/>
          <w:bCs/>
          <w:i/>
          <w:iCs/>
        </w:rPr>
        <w:t>A. AI Inference (Stateless/Near-Stateless) — Architectural Spatial Flexibility: HIGH (0.80–0.95)</w:t>
      </w:r>
    </w:p>
    <w:p w14:paraId="25F5ABB3" w14:textId="007DEAD7" w:rsidR="00CD5EEF" w:rsidRDefault="00273057" w:rsidP="00E93D49">
      <w:r>
        <w:t xml:space="preserve">Inference workloads are stateless at the request level: no persistent GPU state between requests, model weights loaded but not modified, KV-cache per-request and ephemeral. McKinsey (December 2025) characterizes inference as “highly </w:t>
      </w:r>
      <w:proofErr w:type="spellStart"/>
      <w:r>
        <w:t>atomizable</w:t>
      </w:r>
      <w:proofErr w:type="spellEnd"/>
      <w:r>
        <w:t>—individual tasks can be handled independently—unlike training, which relies on large-scale, tightly synchronized GPU clusters.”</w:t>
      </w:r>
    </w:p>
    <w:p w14:paraId="348B557F" w14:textId="77777777" w:rsidR="00514DD1" w:rsidRDefault="00514DD1" w:rsidP="00E93D49"/>
    <w:p w14:paraId="25F5ABB4" w14:textId="2289DF26" w:rsidR="00CD5EEF" w:rsidRDefault="00273057" w:rsidP="00E93D49">
      <w:r>
        <w:lastRenderedPageBreak/>
        <w:t xml:space="preserve">The </w:t>
      </w:r>
      <w:proofErr w:type="spellStart"/>
      <w:r>
        <w:t>Splitwise</w:t>
      </w:r>
      <w:proofErr w:type="spellEnd"/>
      <w:r>
        <w:t xml:space="preserve"> system (Patel et al., </w:t>
      </w:r>
      <w:r>
        <w:rPr>
          <w:i/>
          <w:iCs/>
        </w:rPr>
        <w:t>ISCA</w:t>
      </w:r>
      <w:r>
        <w:t xml:space="preserve"> 2024) demonstrates that even within a single inference request, prompt and decode phases can be split across different machines with KV-cache transfer</w:t>
      </w:r>
      <w:r w:rsidR="003E3213">
        <w:t xml:space="preserve"> </w:t>
      </w:r>
      <w:r>
        <w:t xml:space="preserve">implying inter-facility request routing is architecturally trivial compared to intra-request splitting. </w:t>
      </w:r>
      <w:proofErr w:type="spellStart"/>
      <w:r>
        <w:t>SageServe</w:t>
      </w:r>
      <w:proofErr w:type="spellEnd"/>
      <w:r>
        <w:t xml:space="preserve"> (Microsoft, 2025) production O365 traces show strong diurnal periodicity (ρ ≈ 0.95) for interactive foreground inference, confirming load is predictable and schedulable. </w:t>
      </w:r>
      <w:proofErr w:type="spellStart"/>
      <w:r>
        <w:t>DynamoLLM</w:t>
      </w:r>
      <w:proofErr w:type="spellEnd"/>
      <w:r>
        <w:t xml:space="preserve"> (Stojkovic et al., </w:t>
      </w:r>
      <w:r>
        <w:rPr>
          <w:i/>
          <w:iCs/>
        </w:rPr>
        <w:t>HPCA</w:t>
      </w:r>
      <w:r>
        <w:t xml:space="preserve"> 2025) demonstrates inference clusters have significant load variation, with periods of low utilization where DVFS plus scale-in saves 53% energy.</w:t>
      </w:r>
    </w:p>
    <w:p w14:paraId="38D2BF55" w14:textId="77777777" w:rsidR="00514DD1" w:rsidRDefault="00514DD1" w:rsidP="00E93D49"/>
    <w:p w14:paraId="25F5ABB5" w14:textId="03756B7C" w:rsidR="00CD5EEF" w:rsidRDefault="00273057" w:rsidP="00E93D49">
      <w:r>
        <w:t>The 0.80–0.95 range represents the architectural ceiling on spatial flexibility</w:t>
      </w:r>
      <w:r w:rsidR="00FD3916">
        <w:t xml:space="preserve">: </w:t>
      </w:r>
      <w:r>
        <w:t>the fraction of inference compute that could in principle migrate, based on workload architecture alone. The operational fraction that can execute migration in a specific event, accounting for data locality constraints and advance notice timing, is captured separately by D1.</w:t>
      </w:r>
    </w:p>
    <w:p w14:paraId="74DF7D43" w14:textId="77777777" w:rsidR="00514DD1" w:rsidRDefault="00514DD1" w:rsidP="00E93D49"/>
    <w:p w14:paraId="25F5ABB6" w14:textId="0802F78C" w:rsidR="00CD5EEF" w:rsidRDefault="00273057" w:rsidP="00E93D49">
      <w:r>
        <w:t>DVFS amenability for inference is high. Patel et al. (</w:t>
      </w:r>
      <w:r>
        <w:rPr>
          <w:i/>
          <w:iCs/>
        </w:rPr>
        <w:t>ASPLOS</w:t>
      </w:r>
      <w:r>
        <w:t xml:space="preserve"> 2024) measured approximately 21% power headroom at the cluster level in Azure production inference clusters due to statistical multiplexing. </w:t>
      </w:r>
      <w:proofErr w:type="spellStart"/>
      <w:r>
        <w:t>Kakolyris</w:t>
      </w:r>
      <w:proofErr w:type="spellEnd"/>
      <w:r>
        <w:t xml:space="preserve"> et al. (</w:t>
      </w:r>
      <w:r>
        <w:rPr>
          <w:i/>
          <w:iCs/>
        </w:rPr>
        <w:t>CAL</w:t>
      </w:r>
      <w:r>
        <w:t xml:space="preserve"> 2024) achieved 22.8–45.5% energy savings under SLO constraints for inference serving through iteration-level GPU DVFS.</w:t>
      </w:r>
    </w:p>
    <w:p w14:paraId="6456C650" w14:textId="77777777" w:rsidR="00514DD1" w:rsidRDefault="00514DD1" w:rsidP="00E93D49">
      <w:pPr>
        <w:rPr>
          <w:i/>
          <w:iCs/>
        </w:rPr>
      </w:pPr>
    </w:p>
    <w:p w14:paraId="25F5ABB7" w14:textId="3CD57784" w:rsidR="00CD5EEF" w:rsidRPr="00514DD1" w:rsidRDefault="00273057" w:rsidP="00E93D49">
      <w:pPr>
        <w:rPr>
          <w:b/>
          <w:bCs/>
        </w:rPr>
      </w:pPr>
      <w:r>
        <w:rPr>
          <w:b/>
          <w:bCs/>
          <w:i/>
          <w:iCs/>
        </w:rPr>
        <w:t>B. AI Training (Synchronous, Stateful) — Spatial Flexibility: LOW (0.10–0.25)</w:t>
      </w:r>
    </w:p>
    <w:p w14:paraId="25F5ABB8" w14:textId="26ACA02A" w:rsidR="00CD5EEF" w:rsidRDefault="00273057" w:rsidP="00E93D49">
      <w:r>
        <w:t xml:space="preserve">Training requires tight GPU synchronization across thousands of GPUs via </w:t>
      </w:r>
      <w:proofErr w:type="spellStart"/>
      <w:r>
        <w:t>NVLink</w:t>
      </w:r>
      <w:proofErr w:type="spellEnd"/>
      <w:r>
        <w:t>/InfiniBand. Patel et al. (</w:t>
      </w:r>
      <w:r>
        <w:rPr>
          <w:i/>
          <w:iCs/>
        </w:rPr>
        <w:t>ASPLOS</w:t>
      </w:r>
      <w:r>
        <w:t xml:space="preserve"> 2024) measured only approximately 3% power headroom in training clusters due to massive, coordinated power peaks from synchronous operations. Mid-job migration requires full checkpoint (tens of GB to TB), cluster drain, and restart. Dubey et al. (2024) documented 466 job interruptions during Llama 3’s 54-day training run, with recovery taking hours per event</w:t>
      </w:r>
      <w:r w:rsidR="000646DC">
        <w:t xml:space="preserve"> and worth noting that </w:t>
      </w:r>
      <w:r>
        <w:t xml:space="preserve">this </w:t>
      </w:r>
      <w:r w:rsidR="000646DC">
        <w:t>was</w:t>
      </w:r>
      <w:r>
        <w:t xml:space="preserve"> failure recovery, not planned migration.</w:t>
      </w:r>
    </w:p>
    <w:p w14:paraId="28A52864" w14:textId="77777777" w:rsidR="00514DD1" w:rsidRDefault="00514DD1" w:rsidP="00E93D49"/>
    <w:p w14:paraId="25F5ABB9" w14:textId="156040DD" w:rsidR="00CD5EEF" w:rsidRDefault="00273057" w:rsidP="00E93D49">
      <w:r>
        <w:t>However, training has moderate-to-high temporal flexibility (0.60–0.80): runs last days to months, so completing six hours later is negligible impact. Deloitte explicitly identifies post-training as “relatively interruptible.” Training participates in DR through DVFS and checkpoint-defer-restart, not through spatial migration.</w:t>
      </w:r>
    </w:p>
    <w:p w14:paraId="441A60F6" w14:textId="77777777" w:rsidR="00514DD1" w:rsidRDefault="00514DD1" w:rsidP="00E93D49">
      <w:pPr>
        <w:rPr>
          <w:i/>
          <w:iCs/>
        </w:rPr>
      </w:pPr>
    </w:p>
    <w:p w14:paraId="25F5ABBA" w14:textId="630B5074" w:rsidR="00CD5EEF" w:rsidRPr="00514DD1" w:rsidRDefault="00273057" w:rsidP="00E93D49">
      <w:pPr>
        <w:rPr>
          <w:b/>
          <w:bCs/>
        </w:rPr>
      </w:pPr>
      <w:r>
        <w:rPr>
          <w:b/>
          <w:bCs/>
          <w:i/>
          <w:iCs/>
        </w:rPr>
        <w:t>C. Traditional Cloud — Spatial Flexibility: MODERATE (0.30–0.50)</w:t>
      </w:r>
    </w:p>
    <w:p w14:paraId="25F5ABBB" w14:textId="1E391CC6" w:rsidR="00CD5EEF" w:rsidRDefault="00273057" w:rsidP="00E93D49">
      <w:r>
        <w:t xml:space="preserve">Google’s Borg cluster management system reports approximately 40% of CPU usage allocated to non-production batch tiers (Verma et al., </w:t>
      </w:r>
      <w:proofErr w:type="spellStart"/>
      <w:r>
        <w:t>EuroSys</w:t>
      </w:r>
      <w:proofErr w:type="spellEnd"/>
      <w:r>
        <w:t xml:space="preserve"> 2015; </w:t>
      </w:r>
      <w:proofErr w:type="spellStart"/>
      <w:r>
        <w:t>Tirmazi</w:t>
      </w:r>
      <w:proofErr w:type="spellEnd"/>
      <w:r>
        <w:t xml:space="preserve"> et al., </w:t>
      </w:r>
      <w:proofErr w:type="spellStart"/>
      <w:r>
        <w:t>EuroSys</w:t>
      </w:r>
      <w:proofErr w:type="spellEnd"/>
      <w:r>
        <w:t xml:space="preserve"> 2020). Azure reports 60% of VMs with average CPU utilization below 20%. Zhang &amp; Chien show a [0.4, 1.0] dynamic range achievable with intelligent scheduling but with goodput degradation. The upper bound of 0.50 reflects that achieving 60% dynamic range requires sophisticated scheduling with 24-hour foresight and produces 40–60% goodput loss per Zhang; typical operations without such scheduling are closer to 0.30–0.40.</w:t>
      </w:r>
    </w:p>
    <w:p w14:paraId="6CDB5555" w14:textId="77777777" w:rsidR="00514DD1" w:rsidRDefault="00514DD1" w:rsidP="00E93D49">
      <w:pPr>
        <w:rPr>
          <w:i/>
          <w:iCs/>
        </w:rPr>
      </w:pPr>
    </w:p>
    <w:p w14:paraId="25F5ABBC" w14:textId="430689A5" w:rsidR="00CD5EEF" w:rsidRPr="00514DD1" w:rsidRDefault="00273057" w:rsidP="00E93D49">
      <w:pPr>
        <w:rPr>
          <w:b/>
          <w:bCs/>
        </w:rPr>
      </w:pPr>
      <w:r>
        <w:rPr>
          <w:b/>
          <w:bCs/>
          <w:i/>
          <w:iCs/>
        </w:rPr>
        <w:t>D. Fine-Tuning / Post-Training — Spatial Flexibility: MODERATE (0.30–0.50)</w:t>
      </w:r>
    </w:p>
    <w:p w14:paraId="25F5ABBD" w14:textId="77777777" w:rsidR="00CD5EEF" w:rsidRDefault="00273057" w:rsidP="00E93D49">
      <w:r w:rsidRPr="009443C3">
        <w:t>Smaller scale than pre-training (typically single-node or few-node). Checkpoints are smaller, enabling faster migration. Can be paused and resumed more readily. Non-real-time, not user-facing. High temporal flexibility (0.70–0.90). The 0.30–0.50 range is the author’s estimate based on these architectural characteristics; no production measurement of fine-tuning spatial migration is available in the cited literature.</w:t>
      </w:r>
    </w:p>
    <w:p w14:paraId="1329E2F0" w14:textId="77777777" w:rsidR="00514DD1" w:rsidRDefault="00514DD1" w:rsidP="00E93D49"/>
    <w:p w14:paraId="25F5ABBE" w14:textId="103A0CAE" w:rsidR="00CD5EEF" w:rsidRPr="00514DD1" w:rsidRDefault="00273057" w:rsidP="00E93D49">
      <w:pPr>
        <w:rPr>
          <w:b/>
          <w:bCs/>
        </w:rPr>
      </w:pPr>
      <w:r>
        <w:rPr>
          <w:b/>
          <w:bCs/>
        </w:rPr>
        <w:t>Scenario-Based S1 Profiles</w:t>
      </w:r>
    </w:p>
    <w:p w14:paraId="25F5ABBF" w14:textId="2EE1BC23" w:rsidR="00CD5EEF" w:rsidRDefault="00BC5E19" w:rsidP="00E93D49">
      <w:r>
        <w:t>The four facility archetypes reflecting different workload mixes: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100"/>
        <w:gridCol w:w="1500"/>
        <w:gridCol w:w="1560"/>
        <w:gridCol w:w="2000"/>
      </w:tblGrid>
      <w:tr w:rsidR="00CD5EEF" w14:paraId="25F5ABC6" w14:textId="77777777">
        <w:tc>
          <w:tcPr>
            <w:tcW w:w="2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BC0" w14:textId="77777777" w:rsidR="00CD5EEF" w:rsidRDefault="00273057" w:rsidP="00E93D49">
            <w:r>
              <w:rPr>
                <w:sz w:val="20"/>
                <w:szCs w:val="20"/>
              </w:rPr>
              <w:t>Scenario</w:t>
            </w:r>
          </w:p>
        </w:tc>
        <w:tc>
          <w:tcPr>
            <w:tcW w:w="1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BC1" w14:textId="458691D1" w:rsidR="00CD5EEF" w:rsidRDefault="005867AA" w:rsidP="00E93D49">
            <w:r>
              <w:rPr>
                <w:sz w:val="20"/>
                <w:szCs w:val="20"/>
              </w:rPr>
              <w:t>S1</w:t>
            </w:r>
          </w:p>
        </w:tc>
        <w:tc>
          <w:tcPr>
            <w:tcW w:w="11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BC2" w14:textId="77777777" w:rsidR="00CD5EEF" w:rsidRDefault="00273057" w:rsidP="00E93D49">
            <w:r>
              <w:rPr>
                <w:sz w:val="20"/>
                <w:szCs w:val="20"/>
              </w:rPr>
              <w:t>DVFS Depth</w:t>
            </w:r>
          </w:p>
        </w:tc>
        <w:tc>
          <w:tcPr>
            <w:tcW w:w="15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BC3" w14:textId="77777777" w:rsidR="00CD5EEF" w:rsidRDefault="00273057" w:rsidP="00E93D49">
            <w:r>
              <w:rPr>
                <w:sz w:val="20"/>
                <w:szCs w:val="20"/>
              </w:rPr>
              <w:t>Workload Mix</w:t>
            </w:r>
          </w:p>
        </w:tc>
        <w:tc>
          <w:tcPr>
            <w:tcW w:w="15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BC4" w14:textId="77777777" w:rsidR="00CD5EEF" w:rsidRDefault="00273057" w:rsidP="00E93D49">
            <w:r>
              <w:rPr>
                <w:sz w:val="20"/>
                <w:szCs w:val="20"/>
              </w:rPr>
              <w:t>Trend</w:t>
            </w:r>
          </w:p>
        </w:tc>
        <w:tc>
          <w:tcPr>
            <w:tcW w:w="2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BC5" w14:textId="77777777" w:rsidR="00CD5EEF" w:rsidRDefault="00273057" w:rsidP="00E93D49">
            <w:r>
              <w:rPr>
                <w:sz w:val="20"/>
                <w:szCs w:val="20"/>
              </w:rPr>
              <w:t>GW Share</w:t>
            </w:r>
          </w:p>
        </w:tc>
      </w:tr>
      <w:tr w:rsidR="00CD5EEF" w14:paraId="25F5ABCD"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C7" w14:textId="77777777" w:rsidR="00CD5EEF" w:rsidRDefault="00273057" w:rsidP="00E93D49">
            <w:r>
              <w:t>Inference-Dominant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C8" w14:textId="77777777" w:rsidR="00CD5EEF" w:rsidRDefault="00273057" w:rsidP="00E93D49">
            <w:r>
              <w:t>0.70</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C9" w14:textId="77777777" w:rsidR="00CD5EEF" w:rsidRDefault="00273057" w:rsidP="00E93D49">
            <w:r>
              <w:t>HIGH (~25%)</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CA" w14:textId="77777777" w:rsidR="00CD5EEF" w:rsidRDefault="00273057" w:rsidP="00E93D49">
            <w:r>
              <w:t>70/10/10/10</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CB" w14:textId="77777777" w:rsidR="00CD5EEF" w:rsidRDefault="00273057" w:rsidP="00E93D49">
            <w:r>
              <w:t>Growing</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CC" w14:textId="77777777" w:rsidR="00CD5EEF" w:rsidRDefault="00273057" w:rsidP="00E93D49">
            <w:r>
              <w:t>35% CAGR</w:t>
            </w:r>
          </w:p>
        </w:tc>
      </w:tr>
      <w:tr w:rsidR="00CD5EEF" w14:paraId="25F5ABD4"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CE" w14:textId="77777777" w:rsidR="00CD5EEF" w:rsidRDefault="00273057" w:rsidP="00E93D49">
            <w:r>
              <w:t>Training-Heavy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CF" w14:textId="77777777" w:rsidR="00CD5EEF" w:rsidRDefault="00273057" w:rsidP="00E93D49">
            <w:r>
              <w:t>0.35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D0" w14:textId="77777777" w:rsidR="00CD5EEF" w:rsidRDefault="00273057" w:rsidP="00E93D49">
            <w:r>
              <w:t>LOW (~10%)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D1" w14:textId="77777777" w:rsidR="00CD5EEF" w:rsidRDefault="00273057" w:rsidP="00E93D49">
            <w:r>
              <w:t>10/60/20/10</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D2" w14:textId="77777777" w:rsidR="00CD5EEF" w:rsidRDefault="00273057" w:rsidP="00E93D49">
            <w:r>
              <w:t>Stable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D3" w14:textId="77777777" w:rsidR="00CD5EEF" w:rsidRDefault="00273057" w:rsidP="00E93D49">
            <w:r>
              <w:t>Flat</w:t>
            </w:r>
          </w:p>
        </w:tc>
      </w:tr>
      <w:tr w:rsidR="00CD5EEF" w14:paraId="25F5ABDB"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D5" w14:textId="77777777" w:rsidR="00CD5EEF" w:rsidRDefault="00273057" w:rsidP="00E93D49">
            <w:r>
              <w:t>Mixed Cloud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D6" w14:textId="77777777" w:rsidR="00CD5EEF" w:rsidRDefault="00273057" w:rsidP="00E93D49">
            <w:r>
              <w:t>0.53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D7" w14:textId="77777777" w:rsidR="00CD5EEF" w:rsidRDefault="00273057" w:rsidP="00E93D49">
            <w:r>
              <w:t>MOD (~20%)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D8" w14:textId="77777777" w:rsidR="00CD5EEF" w:rsidRDefault="00273057" w:rsidP="00E93D49">
            <w:r>
              <w:t>25/15/50/10</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D9" w14:textId="77777777" w:rsidR="00CD5EEF" w:rsidRDefault="00273057" w:rsidP="00E93D49">
            <w:r>
              <w:t>Transitioning</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DA" w14:textId="77777777" w:rsidR="00CD5EEF" w:rsidRDefault="00273057" w:rsidP="00E93D49">
            <w:r>
              <w:t>Declining</w:t>
            </w:r>
          </w:p>
        </w:tc>
      </w:tr>
      <w:tr w:rsidR="00CD5EEF" w14:paraId="25F5ABE2"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DC" w14:textId="77777777" w:rsidR="00CD5EEF" w:rsidRDefault="00273057" w:rsidP="00E93D49">
            <w:r>
              <w:t>Enterprise AI</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DD" w14:textId="77777777" w:rsidR="00CD5EEF" w:rsidRDefault="00273057" w:rsidP="00E93D49">
            <w:r>
              <w:t>0.57</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DE" w14:textId="77777777" w:rsidR="00CD5EEF" w:rsidRDefault="00273057" w:rsidP="00E93D49">
            <w:r>
              <w:t>MOD-HIGH</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DF" w14:textId="77777777" w:rsidR="00CD5EEF" w:rsidRDefault="00273057" w:rsidP="00E93D49">
            <w:r>
              <w:t>40/10/30/20</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E0" w14:textId="77777777" w:rsidR="00CD5EEF" w:rsidRDefault="00273057" w:rsidP="00E93D49">
            <w:r>
              <w:t>Growing</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BE1" w14:textId="77777777" w:rsidR="00CD5EEF" w:rsidRDefault="00273057" w:rsidP="00E93D49">
            <w:r>
              <w:t>Growing</w:t>
            </w:r>
          </w:p>
        </w:tc>
      </w:tr>
    </w:tbl>
    <w:p w14:paraId="25F5ABE3" w14:textId="77777777" w:rsidR="00CD5EEF" w:rsidRDefault="00CD5EEF" w:rsidP="00E93D49"/>
    <w:p w14:paraId="25F5ABE4" w14:textId="3B9EE30A" w:rsidR="00CD5EEF" w:rsidRDefault="00617428" w:rsidP="00E93D49">
      <w:r>
        <w:t>Ultimately, I decided to treat S1 as a classification parameter that measures workload composition, not operational execution. S1 selects the inference-eligible share of facility compute; all subsequent cascade parameters (S2 through E2) apply exclusively to this selected fraction. The effective spatial fraction for any facility also depends on S2 (execution feasibility), which applies the data locality, operational timing constraints, and other Service Level Agreement constraints that further reduce the fraction that can feasibly migrate. It is important to note that the specific S1 values assigned to each archetype (0.70, 0.35, 0.53, 0.57) are the author’s modeling assumptions informed by industry projections, not published benchmarks. The conceptual basis for distinct facility archetypes is well-supported by McKinsey, Uptime Institute, and Deloitte analyses of diverging infrastructure requirements, but no published source provides exact inference-share coefficients by facility type.</w:t>
      </w:r>
    </w:p>
    <w:p w14:paraId="4C398F01" w14:textId="77777777" w:rsidR="00514DD1" w:rsidRDefault="00514DD1" w:rsidP="00E93D49"/>
    <w:p w14:paraId="25F5ABE5" w14:textId="1E09C66F" w:rsidR="00CD5EEF" w:rsidRDefault="00083CA2" w:rsidP="00E93D49">
      <w:r>
        <w:t>It’s worth noting that although I expect this to be most relevant to inference heavy facilities, if participation is driven by regulatory mandate or interconnection requirements rather than voluntary cost optimization then a broader mix of facility types would participate. The relevant S1 for capacity market analysis depends on which self-selection mechanism dominates.</w:t>
      </w:r>
    </w:p>
    <w:p w14:paraId="678EACAB" w14:textId="77777777" w:rsidR="00514DD1" w:rsidRDefault="00514DD1" w:rsidP="00E93D49"/>
    <w:p w14:paraId="25F5ABE6" w14:textId="57300077" w:rsidR="00CD5EEF" w:rsidRPr="00514DD1" w:rsidRDefault="00273057" w:rsidP="00E93D49">
      <w:pPr>
        <w:rPr>
          <w:b/>
          <w:bCs/>
        </w:rPr>
      </w:pPr>
      <w:r>
        <w:rPr>
          <w:b/>
          <w:bCs/>
        </w:rPr>
        <w:t>Empirical Grounding: Azure LLM Inference Trace Analysis</w:t>
      </w:r>
    </w:p>
    <w:p w14:paraId="25F5ABE7" w14:textId="588050F2" w:rsidR="00CD5EEF" w:rsidRDefault="00273057" w:rsidP="00E93D49">
      <w:r>
        <w:t xml:space="preserve">To ground the inference flexibility profile in production data, I analyzed the </w:t>
      </w:r>
      <w:proofErr w:type="spellStart"/>
      <w:r>
        <w:t>DynamoLLM</w:t>
      </w:r>
      <w:proofErr w:type="spellEnd"/>
      <w:r>
        <w:t xml:space="preserve"> dataset (Stojkovic et al., </w:t>
      </w:r>
      <w:r>
        <w:rPr>
          <w:i/>
          <w:iCs/>
        </w:rPr>
        <w:t>HPCA</w:t>
      </w:r>
      <w:r>
        <w:t xml:space="preserve"> 2025): 44.1 million production LLM inference requests across two Azure services, collected May 10–18, 2024. The dataset includes per-request timestamps, context tokens, generated tokens, and TTFT for two distinct service traces (Code and Conversation).</w:t>
      </w:r>
    </w:p>
    <w:p w14:paraId="2BBD0F82" w14:textId="77777777" w:rsidR="00514DD1" w:rsidRDefault="00514DD1" w:rsidP="00E93D49"/>
    <w:p w14:paraId="25F5ABE8" w14:textId="67831B59" w:rsidR="00CD5EEF" w:rsidRPr="00514DD1" w:rsidRDefault="00273057" w:rsidP="00E93D49">
      <w:pPr>
        <w:rPr>
          <w:b/>
          <w:bCs/>
        </w:rPr>
      </w:pPr>
      <w:r>
        <w:rPr>
          <w:b/>
          <w:bCs/>
        </w:rPr>
        <w:t>Key findings relevant to the cascade:</w:t>
      </w:r>
    </w:p>
    <w:p w14:paraId="29B09C29" w14:textId="77777777" w:rsidR="00514DD1" w:rsidRDefault="00273057" w:rsidP="00E93D49">
      <w:pPr>
        <w:pStyle w:val="ListParagraph"/>
        <w:numPr>
          <w:ilvl w:val="0"/>
          <w:numId w:val="3"/>
        </w:numPr>
      </w:pPr>
      <w:r>
        <w:rPr>
          <w:b/>
          <w:bCs/>
        </w:rPr>
        <w:t>Load variability</w:t>
      </w:r>
      <w:r>
        <w:t xml:space="preserve">: Hourly request coefficient of variation (CoV) ranges from 0.29 (Conversation) to 0.85 (Coding) across the two services, reflecting the sharper diurnal cycle in code-generation workloads. The 24-hour autocorrelation is moderate to strong (ρ ≈ 0.40–0.75), confirming diurnal periodicity, with Coding exhibiting the stronger cycle (ρ = 0.75). Weekday peak-to-trough ratios average 2.0:1 (Conversation) to 10.0:1 (Coding), with weekend load reduction of 43–68%. Median headroom versus peak is 38% </w:t>
      </w:r>
      <w:r>
        <w:lastRenderedPageBreak/>
        <w:t>(Conversation) to 80% (Coding) of instantaneous capacity. This variability is the temporal flexibility that DVFS exploits.</w:t>
      </w:r>
    </w:p>
    <w:p w14:paraId="32FBE896" w14:textId="77777777" w:rsidR="00514DD1" w:rsidRDefault="00273057" w:rsidP="00E93D49">
      <w:pPr>
        <w:pStyle w:val="ListParagraph"/>
        <w:numPr>
          <w:ilvl w:val="0"/>
          <w:numId w:val="3"/>
        </w:numPr>
      </w:pPr>
      <w:r>
        <w:rPr>
          <w:b/>
          <w:bCs/>
        </w:rPr>
        <w:t>Drain time:</w:t>
      </w:r>
      <w:r>
        <w:t xml:space="preserve"> P99 generated token counts imply drain times of 4.5–11.6 seconds at typical throughput (60 </w:t>
      </w:r>
      <w:proofErr w:type="spellStart"/>
      <w:r>
        <w:t>tok</w:t>
      </w:r>
      <w:proofErr w:type="spellEnd"/>
      <w:r>
        <w:t xml:space="preserve">/s per GPU), spanning Coding (4.5 s) and Conversation (11.6 s) services. At optimistic throughput (100 </w:t>
      </w:r>
      <w:proofErr w:type="spellStart"/>
      <w:r>
        <w:t>tok</w:t>
      </w:r>
      <w:proofErr w:type="spellEnd"/>
      <w:r>
        <w:t>/s), drain times compress to 2.7–7.0 seconds. Even at the P99.9 level, individual requests complete well within one minute. This confirms that for inference, the “migration” operation (finishing in-flight requests and routing new ones elsewhere) completes in seconds to tens of seconds, not minutes.</w:t>
      </w:r>
    </w:p>
    <w:p w14:paraId="7A3E4485" w14:textId="77777777" w:rsidR="00514DD1" w:rsidRDefault="00273057" w:rsidP="00E93D49">
      <w:pPr>
        <w:pStyle w:val="ListParagraph"/>
        <w:numPr>
          <w:ilvl w:val="0"/>
          <w:numId w:val="3"/>
        </w:numPr>
      </w:pPr>
      <w:r>
        <w:rPr>
          <w:b/>
          <w:bCs/>
        </w:rPr>
        <w:t>Request independence:</w:t>
      </w:r>
      <w:r>
        <w:t xml:space="preserve"> Inter-arrival time distributions are approximately exponential (consistent with independent Poisson arrivals). This supports the architectural argument that inference requests are statistically independent and can be routed to any available endpoint without coordination.</w:t>
      </w:r>
    </w:p>
    <w:p w14:paraId="25F5ABEC" w14:textId="23A7DFB7" w:rsidR="00CD5EEF" w:rsidRDefault="00273057" w:rsidP="00E93D49">
      <w:pPr>
        <w:pStyle w:val="ListParagraph"/>
        <w:numPr>
          <w:ilvl w:val="0"/>
          <w:numId w:val="3"/>
        </w:numPr>
      </w:pPr>
      <w:r>
        <w:rPr>
          <w:b/>
          <w:bCs/>
        </w:rPr>
        <w:t>Token throughput versus request count:</w:t>
      </w:r>
      <w:r>
        <w:t xml:space="preserve"> Correlation between hourly request counts and hourly token throughput is 0.85–0.95, meaning request-count-based load metrics are a reasonable proxy for compute-weighted load. This simplifies the operational implementation: the orchestrator can make routing decisions based on request counts without needing per-request compute profiling.</w:t>
      </w:r>
    </w:p>
    <w:p w14:paraId="09712F68" w14:textId="77777777" w:rsidR="00514DD1" w:rsidRDefault="00514DD1" w:rsidP="00E93D49"/>
    <w:p w14:paraId="25F5ABED" w14:textId="4D6CCC55" w:rsidR="00CD5EEF" w:rsidRDefault="00273057" w:rsidP="00E93D49">
      <w:r>
        <w:t xml:space="preserve">These findings support two cascade parameters. The load variability, request independence, and token throughput results confirm that inference workloads are architecturally suited for spatial migration, grounding the S1 classification of inference as a high-flexibility workload type. The P99 </w:t>
      </w:r>
      <w:r w:rsidR="003755A0">
        <w:t xml:space="preserve">drain time results </w:t>
      </w:r>
      <w:r>
        <w:t xml:space="preserve">of 4.5–11.6 seconds (at 60 </w:t>
      </w:r>
      <w:proofErr w:type="spellStart"/>
      <w:r>
        <w:t>tok</w:t>
      </w:r>
      <w:proofErr w:type="spellEnd"/>
      <w:r>
        <w:t>/s) against a 10–</w:t>
      </w:r>
      <w:proofErr w:type="gramStart"/>
      <w:r>
        <w:t>30 minute</w:t>
      </w:r>
      <w:proofErr w:type="gramEnd"/>
      <w:r>
        <w:t xml:space="preserve"> PJM advance notice window</w:t>
      </w:r>
      <w:r w:rsidR="003755A0">
        <w:t xml:space="preserve"> </w:t>
      </w:r>
      <w:proofErr w:type="gramStart"/>
      <w:r>
        <w:t>provide</w:t>
      </w:r>
      <w:proofErr w:type="gramEnd"/>
      <w:r>
        <w:t xml:space="preserve"> the primary empirical basis for D1 Factor C (operational feasibility given advance notice).</w:t>
      </w:r>
    </w:p>
    <w:p w14:paraId="71FCD4AF" w14:textId="77777777" w:rsidR="0023209F" w:rsidRDefault="0023209F" w:rsidP="00E93D49"/>
    <w:p w14:paraId="25F5ABEE" w14:textId="5B926DCB" w:rsidR="00CD5EEF" w:rsidRPr="0023209F" w:rsidRDefault="005867AA" w:rsidP="00E93D49">
      <w:pPr>
        <w:rPr>
          <w:b/>
          <w:bCs/>
        </w:rPr>
      </w:pPr>
      <w:r>
        <w:rPr>
          <w:b/>
          <w:bCs/>
        </w:rPr>
        <w:t>S1 Computation for Inference-Dominant Scenario</w:t>
      </w:r>
    </w:p>
    <w:p w14:paraId="25F5ABEF" w14:textId="7075158F" w:rsidR="00CD5EEF" w:rsidRDefault="005867AA" w:rsidP="00E93D49">
      <w:r>
        <w:t>S1 is determined by the facility’s workload composition. For each scenario archetype, S1 is the share of total facility load running workload types that are architecturally capable of spatial migration, weighted by the per-type spatial flexibility profiles defined in the workload taxonomy above.</w:t>
      </w:r>
    </w:p>
    <w:p w14:paraId="1EB8CF1C" w14:textId="77777777" w:rsidR="0023209F" w:rsidRDefault="0023209F" w:rsidP="00E93D49"/>
    <w:p w14:paraId="25F5ABF0" w14:textId="79E42216" w:rsidR="00CD5EEF" w:rsidRDefault="00273057" w:rsidP="00E93D49">
      <w:r>
        <w:t>For the inference-dominant scenario (70/10/10/10 workload mix), the computation is straightforward. Inference workloads have high architectural spatial flexibility: they are stateless at the request level, require no persistent GPU state between requests, and complete individual operations in seconds. The remaining workload types contribute minimally: training has low spatial flexibility (0.10–0.25), traditional cloud moderate (0.30–0.50), and fine-tuning moderate (0.30–0.50). The composition-weighted S1 is dominated by the inference share.</w:t>
      </w:r>
    </w:p>
    <w:p w14:paraId="78504F21" w14:textId="77777777" w:rsidR="0023209F" w:rsidRDefault="0023209F" w:rsidP="00E93D49"/>
    <w:p w14:paraId="25F5ABF1" w14:textId="2354D701" w:rsidR="00CD5EEF" w:rsidRDefault="005867AA" w:rsidP="00E93D49">
      <w:r>
        <w:t>S1 for the inference-dominant scenario: 0.70. This is grounded in McKinsey projections for 2027+ metro facilities, which estimate inference at approximately 70% of compute load at inference-specialized sites. The value is a scenario construction, not a stochastic variable: within the inference-dominant archetype, S1 does not carry a range.</w:t>
      </w:r>
    </w:p>
    <w:p w14:paraId="4D89F31A" w14:textId="77777777" w:rsidR="0023209F" w:rsidRDefault="0023209F" w:rsidP="00E93D49"/>
    <w:p w14:paraId="25F5ABF2" w14:textId="153D6CC0" w:rsidR="00CD5EEF" w:rsidRDefault="005867AA" w:rsidP="00E93D49">
      <w:r>
        <w:t xml:space="preserve">S1 answers a classification question only: what share of this facility’s load is the </w:t>
      </w:r>
      <w:r>
        <w:rPr>
          <w:i/>
          <w:iCs/>
        </w:rPr>
        <w:t>type</w:t>
      </w:r>
      <w:r>
        <w:t xml:space="preserve"> of work that could, in principle, migrate spatially? It does not assess whether a specific workload instance will actually execute the migration in a given event. Two additional constraints determine that: </w:t>
      </w:r>
      <w:r>
        <w:lastRenderedPageBreak/>
        <w:t>whether the workload is geographically pinned by data residency or latency requirements, and whether the migration can complete within the PJM dispatch advance notice window. These execution feasibility constraints are quantified separately by D1.</w:t>
      </w:r>
    </w:p>
    <w:p w14:paraId="72FE8E4C" w14:textId="77777777" w:rsidR="00DD2703" w:rsidRDefault="00DD2703" w:rsidP="00E93D49">
      <w:pPr>
        <w:rPr>
          <w:b/>
          <w:bCs/>
          <w:sz w:val="28"/>
          <w:szCs w:val="28"/>
        </w:rPr>
      </w:pPr>
    </w:p>
    <w:p w14:paraId="25F5ABF3" w14:textId="50FF737E" w:rsidR="00CD5EEF" w:rsidRPr="0023209F" w:rsidRDefault="005867AA" w:rsidP="00E93D49">
      <w:pPr>
        <w:rPr>
          <w:b/>
          <w:bCs/>
          <w:sz w:val="28"/>
          <w:szCs w:val="28"/>
        </w:rPr>
      </w:pPr>
      <w:r>
        <w:rPr>
          <w:b/>
          <w:bCs/>
          <w:sz w:val="28"/>
          <w:szCs w:val="28"/>
        </w:rPr>
        <w:t>S2: Execution Feasibility</w:t>
      </w:r>
    </w:p>
    <w:p w14:paraId="3D228A3D" w14:textId="77777777" w:rsidR="00DD2703" w:rsidRDefault="00EE0277" w:rsidP="00E93D49">
      <w:r>
        <w:t xml:space="preserve">Parameter 2 asks: </w:t>
      </w:r>
      <w:r>
        <w:rPr>
          <w:i/>
          <w:iCs/>
          <w:color w:val="156082" w:themeColor="accent1"/>
        </w:rPr>
        <w:t xml:space="preserve">of the viable S1 candidate workloads, what fraction can </w:t>
      </w:r>
      <w:proofErr w:type="gramStart"/>
      <w:r>
        <w:rPr>
          <w:i/>
          <w:iCs/>
          <w:color w:val="156082" w:themeColor="accent1"/>
        </w:rPr>
        <w:t>actually execute</w:t>
      </w:r>
      <w:proofErr w:type="gramEnd"/>
      <w:r>
        <w:rPr>
          <w:i/>
          <w:iCs/>
          <w:color w:val="156082" w:themeColor="accent1"/>
        </w:rPr>
        <w:t xml:space="preserve"> the migration in a specific dispatch event?</w:t>
      </w:r>
      <w:r>
        <w:t xml:space="preserve"> </w:t>
      </w:r>
    </w:p>
    <w:p w14:paraId="0D2C5BC7" w14:textId="77777777" w:rsidR="00A473AF" w:rsidRDefault="00A473AF" w:rsidP="00E93D49"/>
    <w:p w14:paraId="25F5ABF4" w14:textId="48660721" w:rsidR="00CD5EEF" w:rsidRDefault="00EE0277" w:rsidP="00E93D49">
      <w:r>
        <w:t>Two constraints determine this. First, some workloads that are architecturally movable are geographically pinned by data residency mandates, sovereignty requirements, or latency constraints that prevent relocation to an arbitrary destination. Second, the migration must complete within the advance notice window provided by PJM’s dispatch protocol. S2 captures both constraints as a single multiplicative filter on the candidate pool identified by S1.</w:t>
      </w:r>
    </w:p>
    <w:p w14:paraId="7277991D" w14:textId="77777777" w:rsidR="0023209F" w:rsidRDefault="0023209F" w:rsidP="00E93D49"/>
    <w:p w14:paraId="25F5ABF5" w14:textId="46A78BBC" w:rsidR="00CD5EEF" w:rsidRDefault="005867AA" w:rsidP="00E93D49">
      <w:r>
        <w:t>S2 = A × B, where Factor A is the data locality constraint and Factor B is the operational feasibility given advance notice.</w:t>
      </w:r>
    </w:p>
    <w:p w14:paraId="52EFC509" w14:textId="77777777" w:rsidR="0023209F" w:rsidRDefault="0023209F" w:rsidP="00E93D49"/>
    <w:p w14:paraId="25F5ABF6" w14:textId="7139D6BB" w:rsidR="00CD5EEF" w:rsidRPr="0023209F" w:rsidRDefault="00273057" w:rsidP="00E93D49">
      <w:pPr>
        <w:rPr>
          <w:b/>
          <w:bCs/>
        </w:rPr>
      </w:pPr>
      <w:r>
        <w:rPr>
          <w:b/>
          <w:bCs/>
        </w:rPr>
        <w:t>Factor A — Data Locality Constraint</w:t>
      </w:r>
    </w:p>
    <w:p w14:paraId="25F5ABF7" w14:textId="77777777" w:rsidR="00CD5EEF" w:rsidRDefault="00273057" w:rsidP="00E93D49">
      <w:r>
        <w:t>Range: 0.70–0.90, central estimate 0.80. The literature review supports cross-region inference as production-ready (Amazon Bedrock cross-region profiles, Google’s carbon-aware geographic workload routing, SkyLB locality-aware cross-region load balancing for LLM inference), but no published study directly measures what fraction of inference workloads have loose enough data locality constraints to permit cross-region execution. The defensible range based on available evidence is 0.70–0.85, conditional on regulatory jurisdiction (same-country routing assumed) and latency SLA tolerance (excluding sub-10ms workloads).</w:t>
      </w:r>
    </w:p>
    <w:p w14:paraId="285039EA" w14:textId="77777777" w:rsidR="0023209F" w:rsidRDefault="0023209F" w:rsidP="00E93D49"/>
    <w:p w14:paraId="25F5ABF8" w14:textId="1358DFA9" w:rsidR="00CD5EEF" w:rsidRDefault="00273057" w:rsidP="00E93D49">
      <w:r>
        <w:t>Factor A captures the fraction of S1-eligible inference workloads that do not have hard geographic pinning requirements. A workload may be stateless at the request level (passing the S1 filter) but nonetheless pinned to a specific region by regulatory or contractual constraints that prevent its execution at an arbitrary cross-interconnection destination.</w:t>
      </w:r>
    </w:p>
    <w:p w14:paraId="7EB3ECE6" w14:textId="77777777" w:rsidR="0023209F" w:rsidRDefault="0023209F" w:rsidP="00E93D49"/>
    <w:p w14:paraId="25F5ABF9" w14:textId="28CA949C" w:rsidR="00CD5EEF" w:rsidRDefault="00273057" w:rsidP="00E93D49">
      <w:r>
        <w:t>Three categories of constraint define the floor:</w:t>
      </w:r>
    </w:p>
    <w:p w14:paraId="25F5ABFA" w14:textId="5175CC61" w:rsidR="00CD5EEF" w:rsidRDefault="00273057" w:rsidP="0023209F">
      <w:pPr>
        <w:pStyle w:val="ListParagraph"/>
        <w:numPr>
          <w:ilvl w:val="0"/>
          <w:numId w:val="3"/>
        </w:numPr>
      </w:pPr>
      <w:r>
        <w:rPr>
          <w:b/>
          <w:bCs/>
          <w:i/>
          <w:iCs/>
        </w:rPr>
        <w:t>Data residency and sovereignty mandates</w:t>
      </w:r>
      <w:r>
        <w:rPr>
          <w:i/>
          <w:iCs/>
        </w:rPr>
        <w:t>.</w:t>
      </w:r>
      <w:r>
        <w:t xml:space="preserve"> GDPR (EU), China’s PIPL, India’s DPDP Act, and sector-specific regulations (HIPAA for healthcare, SOX-adjacent requirements for financial services) require that certain data remain within jurisdictional boundaries. Inference workloads serving users or processing data subject to these mandates cannot migrate to a facility in a different regulatory jurisdiction. Bain (2025) notes growing sovereign AI requirements as governments increasingly mandate domestic processing for sensitive inference workloads.</w:t>
      </w:r>
    </w:p>
    <w:p w14:paraId="25F5ABFB" w14:textId="24E58EB6" w:rsidR="00CD5EEF" w:rsidRDefault="00273057" w:rsidP="0023209F">
      <w:pPr>
        <w:pStyle w:val="ListParagraph"/>
        <w:numPr>
          <w:ilvl w:val="0"/>
          <w:numId w:val="3"/>
        </w:numPr>
      </w:pPr>
      <w:r>
        <w:rPr>
          <w:b/>
          <w:bCs/>
          <w:i/>
          <w:iCs/>
        </w:rPr>
        <w:t>Ultra-low-latency SLO constraints</w:t>
      </w:r>
      <w:r>
        <w:rPr>
          <w:i/>
          <w:iCs/>
        </w:rPr>
        <w:t>.</w:t>
      </w:r>
      <w:r>
        <w:t xml:space="preserve"> A small fraction of inference traffic has latency requirements tight enough (sub-10ms round-trip) that geographic distance to the end user precludes cross-interconnection routing. This primarily affects real-time interactive applications (gaming inference, high-frequency trading co-processing, real-time robotics control) rather than the cloud API serving, batch inference, and embedding generation workloads that constitute the majority of inference compute.</w:t>
      </w:r>
    </w:p>
    <w:p w14:paraId="25F5ABFC" w14:textId="282DBB63" w:rsidR="00CD5EEF" w:rsidRDefault="00273057" w:rsidP="0023209F">
      <w:pPr>
        <w:pStyle w:val="ListParagraph"/>
        <w:numPr>
          <w:ilvl w:val="0"/>
          <w:numId w:val="3"/>
        </w:numPr>
      </w:pPr>
      <w:r>
        <w:rPr>
          <w:b/>
          <w:bCs/>
          <w:i/>
          <w:iCs/>
        </w:rPr>
        <w:lastRenderedPageBreak/>
        <w:t>Enterprise contractual restrictions</w:t>
      </w:r>
      <w:r>
        <w:rPr>
          <w:i/>
          <w:iCs/>
        </w:rPr>
        <w:t>.</w:t>
      </w:r>
      <w:r>
        <w:t xml:space="preserve"> Some enterprise cloud deployments include contractual provisions specifying the region or facility where workloads execute, independent of regulatory requirements. These constraints are commercial, not physical, but they are binding during a dispatch event.</w:t>
      </w:r>
    </w:p>
    <w:p w14:paraId="77DB3D1B" w14:textId="77777777" w:rsidR="006631FF" w:rsidRDefault="006631FF" w:rsidP="00E93D49"/>
    <w:p w14:paraId="25F5ABFD" w14:textId="30EC6494" w:rsidR="00CD5EEF" w:rsidRDefault="00273057" w:rsidP="00E93D49">
      <w:r>
        <w:t>The ceiling (0.90) reflects that the majority of inference traffic, cloud API serving, batch inference, embedding generation, and asynchronous model evaluation, has no geographic constraint beyond continental latency bounds. Bain (2025) characterizes this traffic as the bulk of inference compute. The floor (0.70) reflects a scenario where sovereign AI mandates, data residency regulations, and enterprise restrictions collectively pin approximately 30% of inference workloads to specific regions.</w:t>
      </w:r>
    </w:p>
    <w:p w14:paraId="3826ED2F" w14:textId="77777777" w:rsidR="00A473AF" w:rsidRDefault="00A473AF" w:rsidP="00E93D49"/>
    <w:p w14:paraId="25F5ABFE" w14:textId="4301D3CB" w:rsidR="00CD5EEF" w:rsidRDefault="00273057" w:rsidP="00E93D49">
      <w:r>
        <w:t>Empirical grounding: weak. The 0.70–0.90 range is the author’s estimate informed by qualitative industry sources. No production measurement of the geographic constraint prevalence across inference workloads exists in the cited literature. Indirect evidence suggests the feasible fraction is above 0.70: Google actively shifts “moveable compute tasks” across data centers for carbon-free energy optimization, Amazon Bedrock routes inference requests across regions automatically, and SkyLB (2025) demonstrates production-grade cross-region LLM inference load balancing. However, regulatory constraints (GDPR, PIPL, HIPAA, SOX-adjacent requirements) pin an estimated 10–15% of inference workloads, and latency-sensitive applications (fraud detection, real-time robotics, sub-10ms SLO workloads) constrain an additional 5–10%. This is the single least-grounded parameter in the cascade and the primary driver of total uncertainty.</w:t>
      </w:r>
    </w:p>
    <w:p w14:paraId="71638F25" w14:textId="77777777" w:rsidR="006631FF" w:rsidRDefault="006631FF" w:rsidP="00E93D49"/>
    <w:p w14:paraId="25F5ABFF" w14:textId="2149A30A" w:rsidR="00CD5EEF" w:rsidRDefault="00273057" w:rsidP="00E93D49">
      <w:r>
        <w:t xml:space="preserve">What would resolve this: Production data on the geographic distribution of inference API </w:t>
      </w:r>
      <w:proofErr w:type="gramStart"/>
      <w:r>
        <w:t>traffic</w:t>
      </w:r>
      <w:r w:rsidR="000055F8">
        <w:t xml:space="preserve"> .</w:t>
      </w:r>
      <w:proofErr w:type="gramEnd"/>
      <w:r w:rsidR="000055F8">
        <w:t xml:space="preserve"> S</w:t>
      </w:r>
      <w:r>
        <w:t xml:space="preserve">pecifically, </w:t>
      </w:r>
      <w:r w:rsidR="000055F8">
        <w:t xml:space="preserve">empirical data on </w:t>
      </w:r>
      <w:r>
        <w:t>the fraction of requests subject to data residency mandates or sub-10ms latency SLOs</w:t>
      </w:r>
      <w:r w:rsidR="000055F8">
        <w:t xml:space="preserve"> </w:t>
      </w:r>
      <w:r>
        <w:t>would narrow this range substantially.</w:t>
      </w:r>
    </w:p>
    <w:p w14:paraId="69B57819" w14:textId="77777777" w:rsidR="006631FF" w:rsidRDefault="006631FF" w:rsidP="00E93D49"/>
    <w:p w14:paraId="25F5AC00" w14:textId="13777AFA" w:rsidR="00CD5EEF" w:rsidRPr="006631FF" w:rsidRDefault="00273057" w:rsidP="00E93D49">
      <w:pPr>
        <w:rPr>
          <w:b/>
          <w:bCs/>
        </w:rPr>
      </w:pPr>
      <w:r>
        <w:rPr>
          <w:b/>
          <w:bCs/>
        </w:rPr>
        <w:t>Factor B — Operational Feasibility Given Advance Notice</w:t>
      </w:r>
    </w:p>
    <w:p w14:paraId="25F5AC01" w14:textId="77777777" w:rsidR="00CD5EEF" w:rsidRDefault="00273057" w:rsidP="00E93D49">
      <w:r>
        <w:t>Range: 0.85–0.95, central estimate 0.90.</w:t>
      </w:r>
    </w:p>
    <w:p w14:paraId="6B6416AB" w14:textId="77777777" w:rsidR="006631FF" w:rsidRDefault="006631FF" w:rsidP="00E93D49"/>
    <w:p w14:paraId="25F5AC02" w14:textId="4BA87D8B" w:rsidR="00CD5EEF" w:rsidRDefault="00273057" w:rsidP="00E93D49">
      <w:r>
        <w:t>Factor B captures the fraction of S1-eligible, geographically unconstrained inference workloads that can complete the migration operation within PJM’s dispatch advance notice window.</w:t>
      </w:r>
    </w:p>
    <w:p w14:paraId="4ED52007" w14:textId="77777777" w:rsidR="006631FF" w:rsidRDefault="006631FF" w:rsidP="00E93D49"/>
    <w:p w14:paraId="25F5AC03" w14:textId="79C67DCD" w:rsidR="00CD5EEF" w:rsidRDefault="00273057" w:rsidP="00E93D49">
      <w:r>
        <w:t xml:space="preserve">The empirical case rests on a timescale mismatch. PJM capacity market dispatch events provide 10–30 minutes of advance notice (PJM Manual 13, Emergency Operations). For inference workloads, the “migration” operation is finishing in-flight requests at the source endpoint and routing new requests to the destination. The Azure LLM Inference Trace Analysis established that P99 drain times are 4.5–11.6 seconds at typical throughput (60 </w:t>
      </w:r>
      <w:proofErr w:type="spellStart"/>
      <w:r>
        <w:t>tok</w:t>
      </w:r>
      <w:proofErr w:type="spellEnd"/>
      <w:r>
        <w:t>/s). Even at the P99.9 level, individual requests complete well within one minute. The gap between the drain timescale (seconds to tens of seconds) and the dispatch notice timescale (10–30 minutes) spans approximately two orders of magnitude.</w:t>
      </w:r>
    </w:p>
    <w:p w14:paraId="1C117CFC" w14:textId="77777777" w:rsidR="006631FF" w:rsidRDefault="006631FF" w:rsidP="00E93D49"/>
    <w:p w14:paraId="0885C86E" w14:textId="77777777" w:rsidR="006631FF" w:rsidRDefault="00273057" w:rsidP="00E93D49">
      <w:r>
        <w:t>The reduction from 1.0 to the 0.85–0.95 range accounts for four operational realities that prevent perfect execution:</w:t>
      </w:r>
    </w:p>
    <w:p w14:paraId="5B2CF246" w14:textId="77777777" w:rsidR="006631FF" w:rsidRDefault="00273057" w:rsidP="00E93D49">
      <w:pPr>
        <w:pStyle w:val="ListParagraph"/>
        <w:numPr>
          <w:ilvl w:val="0"/>
          <w:numId w:val="3"/>
        </w:numPr>
      </w:pPr>
      <w:r>
        <w:rPr>
          <w:b/>
          <w:bCs/>
          <w:i/>
          <w:iCs/>
        </w:rPr>
        <w:lastRenderedPageBreak/>
        <w:t>Mid-stream requests at the moment of dispatch</w:t>
      </w:r>
      <w:r>
        <w:rPr>
          <w:i/>
          <w:iCs/>
        </w:rPr>
        <w:t>.</w:t>
      </w:r>
      <w:r>
        <w:t xml:space="preserve"> Some fraction of requests are in the decode phase when the dispatch signal arrives and must complete before the endpoint can be drained. The Azure traces confirm this completes in seconds, so the impact is a brief delay, not a failure.</w:t>
      </w:r>
    </w:p>
    <w:p w14:paraId="293AFEF0" w14:textId="77777777" w:rsidR="006631FF" w:rsidRDefault="00273057" w:rsidP="00E93D49">
      <w:pPr>
        <w:pStyle w:val="ListParagraph"/>
        <w:numPr>
          <w:ilvl w:val="0"/>
          <w:numId w:val="3"/>
        </w:numPr>
      </w:pPr>
      <w:r>
        <w:rPr>
          <w:b/>
          <w:bCs/>
          <w:i/>
          <w:iCs/>
        </w:rPr>
        <w:t>Health check and DNS propagation lag</w:t>
      </w:r>
      <w:r>
        <w:rPr>
          <w:i/>
          <w:iCs/>
        </w:rPr>
        <w:t>.</w:t>
      </w:r>
      <w:r>
        <w:t xml:space="preserve"> Load balancer health checks operate on polling intervals (typically 5–30 seconds). After the orchestrator marks a source endpoint as draining, downstream routers must detect the change and redirect traffic. Standard cloud load balancer configurations propagate health status within one to two polling cycles.</w:t>
      </w:r>
    </w:p>
    <w:p w14:paraId="17482348" w14:textId="77777777" w:rsidR="006631FF" w:rsidRDefault="00273057" w:rsidP="00E93D49">
      <w:pPr>
        <w:pStyle w:val="ListParagraph"/>
        <w:numPr>
          <w:ilvl w:val="0"/>
          <w:numId w:val="3"/>
        </w:numPr>
      </w:pPr>
      <w:r>
        <w:rPr>
          <w:b/>
          <w:bCs/>
          <w:i/>
          <w:iCs/>
        </w:rPr>
        <w:t>Burst timing</w:t>
      </w:r>
      <w:r>
        <w:rPr>
          <w:i/>
          <w:iCs/>
        </w:rPr>
        <w:t>.</w:t>
      </w:r>
      <w:r>
        <w:t xml:space="preserve"> If the dispatch signal arrives during a request burst (e.g., the daily peak identified in the Azure trace analysis, with peak-to-trough ratios of 2.0:1 to 10.0:1), drain time extends because more requests are in flight. At P99 burst load, the drain window is still under 30 seconds—well within the 10-minute minimum notice period.</w:t>
      </w:r>
    </w:p>
    <w:p w14:paraId="25F5AC08" w14:textId="1E1E9BB5" w:rsidR="00CD5EEF" w:rsidRDefault="00273057" w:rsidP="00E93D49">
      <w:pPr>
        <w:pStyle w:val="ListParagraph"/>
        <w:numPr>
          <w:ilvl w:val="0"/>
          <w:numId w:val="3"/>
        </w:numPr>
      </w:pPr>
      <w:r>
        <w:rPr>
          <w:b/>
          <w:bCs/>
          <w:i/>
          <w:iCs/>
        </w:rPr>
        <w:t>Configuration and orchestration errors</w:t>
      </w:r>
      <w:r>
        <w:rPr>
          <w:i/>
          <w:iCs/>
        </w:rPr>
        <w:t>.</w:t>
      </w:r>
      <w:r>
        <w:t xml:space="preserve"> The orchestration layer must correctly translate a PJM dispatch signal into endpoint-level routing changes across potentially dozens of serving clusters. The small reduction from 1.0 accounts for residual implementation risk: a misconfigured health check, a stale DNS cache, or an edge case in the orchestrator’s decision logic. These are software reliability concerns, not fundamental physical constraints.</w:t>
      </w:r>
    </w:p>
    <w:p w14:paraId="179BC6AC" w14:textId="77777777" w:rsidR="006631FF" w:rsidRDefault="006631FF" w:rsidP="00E93D49"/>
    <w:p w14:paraId="25F5AC09" w14:textId="457E414B" w:rsidR="00CD5EEF" w:rsidRDefault="00273057" w:rsidP="00E93D49">
      <w:r>
        <w:t>Empirical grounding: moderate to strong. The seconds-versus-minutes timescale argument is robust to significant variation in the underlying assumptions. If drain times were 10× longer than the Azure P99 (i.e., 25 seconds instead of 2.5), the operation still completes well within the advance notice window.</w:t>
      </w:r>
    </w:p>
    <w:p w14:paraId="71A9C507" w14:textId="77777777" w:rsidR="006631FF" w:rsidRDefault="006631FF" w:rsidP="00E93D49"/>
    <w:p w14:paraId="25F5AC0A" w14:textId="726F85B5" w:rsidR="00CD5EEF" w:rsidRPr="006631FF" w:rsidRDefault="005867AA" w:rsidP="00E93D49">
      <w:pPr>
        <w:rPr>
          <w:b/>
          <w:bCs/>
        </w:rPr>
      </w:pPr>
      <w:r>
        <w:rPr>
          <w:b/>
          <w:bCs/>
        </w:rPr>
        <w:t>S2 Bounded Range</w:t>
      </w:r>
    </w:p>
    <w:p w14:paraId="25F5AC0B" w14:textId="571F38C0" w:rsidR="00CD5EEF" w:rsidRDefault="005867AA" w:rsidP="00E93D49">
      <w:r>
        <w:t>S2 = A ×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200"/>
        <w:gridCol w:w="2160"/>
      </w:tblGrid>
      <w:tr w:rsidR="00CD5EEF" w14:paraId="25F5AC10" w14:textId="77777777">
        <w:tc>
          <w:tcPr>
            <w:tcW w:w="28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C0C" w14:textId="77777777" w:rsidR="00CD5EEF" w:rsidRDefault="00273057" w:rsidP="00E93D49">
            <w:r>
              <w:rPr>
                <w:sz w:val="20"/>
                <w:szCs w:val="20"/>
              </w:rPr>
              <w:t>Factor</w:t>
            </w:r>
          </w:p>
        </w:tc>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C0D" w14:textId="77777777" w:rsidR="00CD5EEF" w:rsidRDefault="00273057" w:rsidP="00E93D49">
            <w:r>
              <w:rPr>
                <w:sz w:val="20"/>
                <w:szCs w:val="20"/>
              </w:rPr>
              <w:t>Conservative</w:t>
            </w:r>
          </w:p>
        </w:tc>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C0E" w14:textId="77777777" w:rsidR="00CD5EEF" w:rsidRDefault="00273057" w:rsidP="00E93D49">
            <w:r>
              <w:rPr>
                <w:sz w:val="20"/>
                <w:szCs w:val="20"/>
              </w:rPr>
              <w:t>Central</w:t>
            </w:r>
          </w:p>
        </w:tc>
        <w:tc>
          <w:tcPr>
            <w:tcW w:w="21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C0F" w14:textId="77777777" w:rsidR="00CD5EEF" w:rsidRDefault="00273057" w:rsidP="00E93D49">
            <w:r>
              <w:rPr>
                <w:sz w:val="20"/>
                <w:szCs w:val="20"/>
              </w:rPr>
              <w:t>Optimistic</w:t>
            </w:r>
          </w:p>
        </w:tc>
      </w:tr>
      <w:tr w:rsidR="00CD5EEF" w14:paraId="25F5AC15"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11" w14:textId="30612E0F" w:rsidR="00CD5EEF" w:rsidRDefault="002B4AD7" w:rsidP="00E93D49">
            <w:r>
              <w:t>A (data locality)</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12" w14:textId="77777777" w:rsidR="00CD5EEF" w:rsidRDefault="00273057" w:rsidP="00E93D49">
            <w:r>
              <w:t>0.70</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13" w14:textId="77777777" w:rsidR="00CD5EEF" w:rsidRDefault="00273057" w:rsidP="00E93D49">
            <w:r>
              <w:t>0.80</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14" w14:textId="77777777" w:rsidR="00CD5EEF" w:rsidRDefault="00273057" w:rsidP="00E93D49">
            <w:r>
              <w:t>0.90</w:t>
            </w:r>
          </w:p>
        </w:tc>
      </w:tr>
      <w:tr w:rsidR="00CD5EEF" w14:paraId="25F5AC1A"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16" w14:textId="3B22A055" w:rsidR="00CD5EEF" w:rsidRDefault="002B4AD7" w:rsidP="00E93D49">
            <w:r>
              <w:t>B (operational feasibility)</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17" w14:textId="77777777" w:rsidR="00CD5EEF" w:rsidRDefault="00273057" w:rsidP="00E93D49">
            <w:r>
              <w:t>0.85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18" w14:textId="77777777" w:rsidR="00CD5EEF" w:rsidRDefault="00273057" w:rsidP="00E93D49">
            <w:r>
              <w:t>0.90</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19" w14:textId="77777777" w:rsidR="00CD5EEF" w:rsidRDefault="00273057" w:rsidP="00E93D49">
            <w:r>
              <w:t>0.95</w:t>
            </w:r>
          </w:p>
        </w:tc>
      </w:tr>
      <w:tr w:rsidR="00CD5EEF" w14:paraId="25F5AC1F"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1B" w14:textId="63B14246" w:rsidR="00CD5EEF" w:rsidRDefault="005867AA" w:rsidP="00E93D49">
            <w:r>
              <w:t>S2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1C" w14:textId="77777777" w:rsidR="00CD5EEF" w:rsidRDefault="00273057" w:rsidP="00E93D49">
            <w:r>
              <w:t>0.595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1D" w14:textId="77777777" w:rsidR="00CD5EEF" w:rsidRDefault="00273057" w:rsidP="00E93D49">
            <w:r>
              <w:t>0.72</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1E" w14:textId="77777777" w:rsidR="00CD5EEF" w:rsidRDefault="00273057" w:rsidP="00E93D49">
            <w:r>
              <w:t>0.855</w:t>
            </w:r>
          </w:p>
        </w:tc>
      </w:tr>
    </w:tbl>
    <w:p w14:paraId="25F5AC20" w14:textId="77777777" w:rsidR="00CD5EEF" w:rsidRDefault="00CD5EEF" w:rsidP="00E93D49"/>
    <w:p w14:paraId="25F5AC21" w14:textId="4F144B30" w:rsidR="00CD5EEF" w:rsidRDefault="00273057" w:rsidP="00E93D49">
      <w:r>
        <w:t>At the central estimate, S2 = 0.72: approximately 72% of the workloads identified as spatial candidates by S1 can actually execute the migration in a given dispatch event. The remaining 28% are either geographically pinned (Factor A) or operationally unable to complete the transition within the dispatch window (Factor B). These workloads remain at the source facility and participate in DR through DVFS only.</w:t>
      </w:r>
    </w:p>
    <w:p w14:paraId="1577D22C" w14:textId="77777777" w:rsidR="006631FF" w:rsidRDefault="006631FF" w:rsidP="00E93D49"/>
    <w:p w14:paraId="25F5AC22" w14:textId="68D8BD17" w:rsidR="00CD5EEF" w:rsidRDefault="00273057" w:rsidP="00E93D49">
      <w:r>
        <w:t>The combined effect of S1 and S2 on the source side of the cascade is S1 × D1 = 0.70 × 0.72 = 0.504 at central estimates. This is the fraction of total facility load that enters the destination-side filters (D1 and D2) as a spatial migration candidate.</w:t>
      </w:r>
    </w:p>
    <w:p w14:paraId="4FE1A4B3" w14:textId="77777777" w:rsidR="006631FF" w:rsidRDefault="006631FF" w:rsidP="00E93D49"/>
    <w:p w14:paraId="25F5AC23" w14:textId="034FDA1B" w:rsidR="00CD5EEF" w:rsidRDefault="005867AA" w:rsidP="00E93D49">
      <w:r>
        <w:t>S2 is the primary source of within-scenario uncertainty in the cascade. Factor A alone spans a range of 0.20 (from 0.70 to 0.90), which is wider than the range of any other individual parameter. Future empirical work on the geographic distribution of inference traffic would have the highest marginal value for tightening the cascade estimate.</w:t>
      </w:r>
    </w:p>
    <w:p w14:paraId="068E3420" w14:textId="77777777" w:rsidR="006631FF" w:rsidRDefault="006631FF" w:rsidP="00E93D49"/>
    <w:p w14:paraId="25F5AC24" w14:textId="5940E803" w:rsidR="00CD5EEF" w:rsidRPr="006631FF" w:rsidRDefault="005867AA" w:rsidP="00E93D49">
      <w:pPr>
        <w:rPr>
          <w:b/>
          <w:bCs/>
          <w:sz w:val="28"/>
          <w:szCs w:val="28"/>
        </w:rPr>
      </w:pPr>
      <w:r>
        <w:rPr>
          <w:b/>
          <w:bCs/>
          <w:sz w:val="28"/>
          <w:szCs w:val="28"/>
        </w:rPr>
        <w:t>D1: Cross-BA Stress Correlation (Destination Availability)</w:t>
      </w:r>
    </w:p>
    <w:p w14:paraId="41AAB40E" w14:textId="77777777" w:rsidR="00320E58" w:rsidRDefault="0049573B" w:rsidP="00E93D49">
      <w:r>
        <w:t xml:space="preserve">Parameter 3 answers: </w:t>
      </w:r>
      <w:r>
        <w:rPr>
          <w:i/>
          <w:iCs/>
          <w:color w:val="156082" w:themeColor="accent1"/>
        </w:rPr>
        <w:t>during a ComEd stress event, is at least one destination zone unstressed and available to receive migrated workload?</w:t>
      </w:r>
      <w:r>
        <w:t xml:space="preserve"> </w:t>
      </w:r>
    </w:p>
    <w:p w14:paraId="0730EDE6" w14:textId="77777777" w:rsidR="00320E58" w:rsidRDefault="00320E58" w:rsidP="00E93D49"/>
    <w:p w14:paraId="25F5AC25" w14:textId="4849A1E6" w:rsidR="00CD5EEF" w:rsidRDefault="0049573B" w:rsidP="00E93D49">
      <w:r>
        <w:t xml:space="preserve">This analysis is documented in detail in the </w:t>
      </w:r>
      <w:r w:rsidR="00801FEE">
        <w:t xml:space="preserve">Pillar 2 document I sent a few weeks ago. </w:t>
      </w:r>
      <w:proofErr w:type="gramStart"/>
      <w:r w:rsidR="00801FEE">
        <w:t>Of note</w:t>
      </w:r>
      <w:proofErr w:type="gramEnd"/>
      <w:r w:rsidR="00801FEE">
        <w:t>, I added in the remaining RTO regions I was missing before</w:t>
      </w:r>
      <w:r w:rsidR="005D11FB">
        <w:t xml:space="preserve"> (</w:t>
      </w:r>
      <w:proofErr w:type="gramStart"/>
      <w:r w:rsidR="005D11FB">
        <w:t>excepting</w:t>
      </w:r>
      <w:proofErr w:type="gramEnd"/>
      <w:r w:rsidR="005D11FB">
        <w:t xml:space="preserve"> SPP due to data availability).</w:t>
      </w:r>
    </w:p>
    <w:p w14:paraId="0BB7B916" w14:textId="77777777" w:rsidR="00EE0277" w:rsidRDefault="00EE0277" w:rsidP="00E93D49"/>
    <w:p w14:paraId="25F5AC26" w14:textId="51678720" w:rsidR="00CD5EEF" w:rsidRPr="00EE0277" w:rsidRDefault="00273057" w:rsidP="00E93D49">
      <w:pPr>
        <w:rPr>
          <w:b/>
          <w:bCs/>
        </w:rPr>
      </w:pPr>
      <w:r>
        <w:rPr>
          <w:b/>
          <w:bCs/>
        </w:rPr>
        <w:t>Methodology</w:t>
      </w:r>
    </w:p>
    <w:p w14:paraId="25F5AC27" w14:textId="104761E5" w:rsidR="00CD5EEF" w:rsidRDefault="00273057" w:rsidP="00E93D49">
      <w:r>
        <w:t xml:space="preserve">Using 35,060 hours of day-ahead LMP data (January 2022 through December 2025) across 20 destination pricing zones mapped to data center locations from the </w:t>
      </w:r>
      <w:proofErr w:type="spellStart"/>
      <w:r>
        <w:t>Baxtel</w:t>
      </w:r>
      <w:proofErr w:type="spellEnd"/>
      <w:r>
        <w:t>/DOE county-level inventory, I identified the top 50 price hours per year per zone as stress events. Destination zones cover 27,251 MW of operational data center capacity across five groups: ERCOT (10,533 MW), MISO (4,262 MW), NYISO (891 MW), CAISO (1,708 MW), and WECC bilateral hubs (9,857 MW). Intra-PJM zones (DOM, AEP, PECO, PSEG, PEPCO, BGE) serve as the correlation baseline control group.</w:t>
      </w:r>
    </w:p>
    <w:p w14:paraId="2BC086BC" w14:textId="77777777" w:rsidR="00EE0277" w:rsidRDefault="00EE0277" w:rsidP="00E93D49"/>
    <w:p w14:paraId="25F5AC28" w14:textId="22442808" w:rsidR="00CD5EEF" w:rsidRPr="00EE0277" w:rsidRDefault="00273057" w:rsidP="00E93D49">
      <w:pPr>
        <w:rPr>
          <w:b/>
          <w:bCs/>
        </w:rPr>
      </w:pPr>
      <w:r>
        <w:rPr>
          <w:b/>
          <w:bCs/>
        </w:rPr>
        <w:t>Headline Result</w:t>
      </w:r>
    </w:p>
    <w:p w14:paraId="25F5AC29" w14:textId="459BBA02" w:rsidR="00CD5EEF" w:rsidRDefault="00273057" w:rsidP="00E93D49">
      <w:r>
        <w:t>In 198 out of 200 ComEd stress hours (99.0%),</w:t>
      </w:r>
      <w:r w:rsidR="00A4008D">
        <w:t xml:space="preserve"> </w:t>
      </w:r>
      <w:r>
        <w:t>at least one cross-interconnection destination zone was unstressed. The 2 all-stressed hours cluster in the January 2024 Arctic Blast, a continental-scale cold event that stressed every major grid simultaneously. This 99.0% figure could further improve with the addition of SPP and ISO-NE destinations not yet in the dataset. Methodology note: “stress hours” are defined as the top 200 hours by ComEd day-ahead LMP (approximately the 99.4th percentile) across the 35,060 hours in the 2022–2025 dataset. Destination zones are classified as “unstressed” when their concurrent day-ahead hub LMP falls below the 90th percentile of their own annual distribution. This threshold-based approach was chosen over correlation-based methods to capture the asymmetric, tail-event nature of grid stress. The specific overlap percentages (ERCOT summer 3.7%, CAISO summer 0.0%, winter overlaps 21% and 32%) are derived from this proprietary LMP analysis and have not been independently replicated in published literature, though the directional finding—that winter produces higher cross-regional overlap than summer due to synchronized heating demand—is consistent with NERC Winter Reliability Assessments (2024, 2025).</w:t>
      </w:r>
    </w:p>
    <w:p w14:paraId="4791D668" w14:textId="77777777" w:rsidR="00A4008D" w:rsidRDefault="00A4008D" w:rsidP="00E93D49">
      <w:pPr>
        <w:rPr>
          <w:b/>
          <w:bCs/>
        </w:rPr>
      </w:pPr>
    </w:p>
    <w:p w14:paraId="25F5AC2A" w14:textId="34ED845E" w:rsidR="00CD5EEF" w:rsidRPr="00EE0277" w:rsidRDefault="00273057" w:rsidP="00E93D49">
      <w:pPr>
        <w:rPr>
          <w:b/>
          <w:bCs/>
        </w:rPr>
      </w:pPr>
      <w:r>
        <w:rPr>
          <w:b/>
          <w:bCs/>
        </w:rPr>
        <w:t>The Interconnection Boundary Is What Matters</w:t>
      </w:r>
    </w:p>
    <w:p w14:paraId="25F5AC2B" w14:textId="77777777" w:rsidR="00CD5EEF" w:rsidRDefault="00273057" w:rsidP="00E93D49">
      <w:r>
        <w:t xml:space="preserve">Cross-interconnection destinations (ERCOT, CAISO, WECC) show 10–14% overlap with ComEd stress hours, with negative tail price correlations (ρ = −0.20 to −0.25). Same-interconnection/cross-balancing-authority destinations show higher but substantially decorrelated overlap: NYISO 29–41%, MISO 43–63%, both with positive tail correlations. The honest conclusion: the interconnection boundary, not the </w:t>
      </w:r>
      <w:proofErr w:type="spellStart"/>
      <w:r>
        <w:t>balancingauthority</w:t>
      </w:r>
      <w:proofErr w:type="spellEnd"/>
      <w:r>
        <w:t xml:space="preserve"> boundary, creates the strongest decorrelation. Cross-interconnect migration is the strongest case; intra-PJM migration provides limited RA benefit during correlated events.</w:t>
      </w:r>
    </w:p>
    <w:p w14:paraId="25F5AC2C" w14:textId="77777777" w:rsidR="00CD5EEF" w:rsidRDefault="00273057" w:rsidP="00E93D49">
      <w:r>
        <w:t>Seasonal Decomposition</w:t>
      </w:r>
    </w:p>
    <w:p w14:paraId="05EC004A" w14:textId="77777777" w:rsidR="00EE0277" w:rsidRDefault="00EE0277" w:rsidP="00E93D49"/>
    <w:p w14:paraId="25F5AC2D" w14:textId="13FDAD3F" w:rsidR="00CD5EEF" w:rsidRDefault="00273057" w:rsidP="00E93D49">
      <w:r>
        <w:t xml:space="preserve">Summer: ERCOT overlap with ComEd is 3.7%; CAISO is 0.0%—literally zero coincident summer stress hours across the entire 2022–2025 dataset. Winter: ERCOT overlap rises to 21%, </w:t>
      </w:r>
      <w:r>
        <w:lastRenderedPageBreak/>
        <w:t>CAISO to 32%, reflecting continental-scale cold events. Even in winter, 79% and 68% of ComEd stress hours find ERCOT and CAISO respectively unstressed. The seasonal pattern confirms that summer is the cleanest case for spatial migration, with winter events broader but still manageable through multi-destination portfolio selection.</w:t>
      </w:r>
    </w:p>
    <w:p w14:paraId="783605A9" w14:textId="77777777" w:rsidR="00EE0277" w:rsidRDefault="00EE0277" w:rsidP="00E93D49"/>
    <w:p w14:paraId="25F5AC2E" w14:textId="01D5A5C1" w:rsidR="00CD5EEF" w:rsidRDefault="005867AA" w:rsidP="00E93D49">
      <w:r>
        <w:t>D1 bounded range: conservative 0.945, central 0.99, optimistic 0.995 (central value empirical, derived from 35,060 hours of DA LMP data across 20 destination zones including NYISO). The conservative bound (0.945) reflects the possibility that continental-scale cold events become more frequent due to climate change, or that widespread adoption of spatial migration itself stresses destinations during source events (a reflexivity concern)—this retains the prior central estimate as a floor. The optimistic bound (0.995) reflects the addition of SPP and ISO-NE destinations not yet in the dataset.</w:t>
      </w:r>
    </w:p>
    <w:p w14:paraId="27F2ADF4" w14:textId="77777777" w:rsidR="00EE0277" w:rsidRDefault="00EE0277" w:rsidP="00E93D49"/>
    <w:p w14:paraId="25F5AC2F" w14:textId="36F14ED3" w:rsidR="00CD5EEF" w:rsidRPr="00EE0277" w:rsidRDefault="005867AA" w:rsidP="00E93D49">
      <w:pPr>
        <w:rPr>
          <w:b/>
          <w:bCs/>
        </w:rPr>
      </w:pPr>
      <w:r>
        <w:rPr>
          <w:b/>
          <w:bCs/>
          <w:sz w:val="28"/>
          <w:szCs w:val="28"/>
        </w:rPr>
        <w:t>D2: Destination Headroom</w:t>
      </w:r>
    </w:p>
    <w:p w14:paraId="25F5AC30" w14:textId="0E9F7AE8" w:rsidR="00CD5EEF" w:rsidRDefault="005867AA" w:rsidP="00E93D49">
      <w:r>
        <w:t xml:space="preserve">D1 establishes that in 99.0% of ComEd stress hours, at least one cross-interconnection destination zone is unstressed. But “unstressed” is not the same as “able to absorb migrated load.” D2 measures the next condition: </w:t>
      </w:r>
      <w:r>
        <w:rPr>
          <w:i/>
          <w:iCs/>
          <w:color w:val="156082" w:themeColor="accent1"/>
        </w:rPr>
        <w:t>given that an unstressed destination exists, does it have sufficient compute capacity and grid-level supply margin to serve the additional load arriving via spatial migration?</w:t>
      </w:r>
    </w:p>
    <w:p w14:paraId="69AD52E6" w14:textId="77777777" w:rsidR="00EE0277" w:rsidRDefault="00EE0277" w:rsidP="00E93D49"/>
    <w:p w14:paraId="25F5AC31" w14:textId="24083386" w:rsidR="00CD5EEF" w:rsidRDefault="00273057" w:rsidP="00E93D49">
      <w:r>
        <w:t>Range: conservative 0.80, central 0.85, optimistic 0.90.</w:t>
      </w:r>
    </w:p>
    <w:p w14:paraId="25F5AC32" w14:textId="77777777" w:rsidR="00CD5EEF" w:rsidRDefault="00273057" w:rsidP="00E93D49">
      <w:r>
        <w:t>Two observations from the Pillar 2 analysis support the plausibility of this range, though neither constitutes empirical validation.</w:t>
      </w:r>
    </w:p>
    <w:p w14:paraId="22F0E9D1" w14:textId="77777777" w:rsidR="00EE0277" w:rsidRDefault="00EE0277" w:rsidP="00E93D49"/>
    <w:p w14:paraId="25F5AC33" w14:textId="39523CBD" w:rsidR="00CD5EEF" w:rsidRDefault="00273057" w:rsidP="00E93D49">
      <w:r>
        <w:t>First, data centers maintain significant spare capacity for redundancy, burst handling, and business continuity. Across the 27,251 MW of mapped destination data center capacity in the Pillar 2 dataset (referring to contracted power delivery to facilities, not transmission transfer capability), average utilization implies substantial instantaneous compute headroom under normal conditions. Industry estimates of utilization vary considerably: LBNL (2024) assumes approximately 50% capacity utilization for baseline energy projections, while server-level measurements suggest average utilization of 12–18% in enterprise environments and 50–70% in cloud/AI environments (</w:t>
      </w:r>
      <w:proofErr w:type="spellStart"/>
      <w:r>
        <w:t>Sardiná</w:t>
      </w:r>
      <w:proofErr w:type="spellEnd"/>
      <w:r>
        <w:t xml:space="preserve"> Systems, 2025). At 50% facility-level utilization, approximately 13 GW of headroom exists; at 30% utilization (reflecting the “stranded power” phenomenon documented by </w:t>
      </w:r>
      <w:proofErr w:type="spellStart"/>
      <w:r>
        <w:t>DataCenterDynamics</w:t>
      </w:r>
      <w:proofErr w:type="spellEnd"/>
      <w:r>
        <w:t>, where thermal constraints prevent converting contracted power to productive compute), headroom could exceed 18 GW. The central estimate of D2 = 0.85 was calibrated against the conservative 50% assumption; sensitivity analysis across utilization rates of 20%, 30%, 40%, and 50% suggests D2 ranges from approximately 0.80 to 0.92.</w:t>
      </w:r>
    </w:p>
    <w:p w14:paraId="760A9248" w14:textId="77777777" w:rsidR="00EE0277" w:rsidRDefault="00EE0277" w:rsidP="00E93D49"/>
    <w:p w14:paraId="25F5AC34" w14:textId="6A8B1DFE" w:rsidR="00CD5EEF" w:rsidRDefault="00273057" w:rsidP="00E93D49">
      <w:r>
        <w:t>Second, the Pillar 2 pricing analysis shows that grid stress at the source (ComEd) is positively correlated with low prices at cross-interconnection destinations. The capacity-weighted median destination LMP during ComEd stress hours is $92.7/MWh (capacity-weighted mean: $168.4/MWh)—substantially below ComEd’s $192.3/MWh—indicating that destination grids are generally not supply-constrained during source stress events (Cross_BA_Stress_Correlation_v4, Cell 9).</w:t>
      </w:r>
    </w:p>
    <w:p w14:paraId="61146A4F" w14:textId="77777777" w:rsidR="00EE0277" w:rsidRDefault="00EE0277" w:rsidP="00E93D49"/>
    <w:p w14:paraId="25F5AC35" w14:textId="1C6A7C78" w:rsidR="00CD5EEF" w:rsidRDefault="00273057" w:rsidP="00E93D49">
      <w:r>
        <w:lastRenderedPageBreak/>
        <w:t xml:space="preserve">Empirical grounding: </w:t>
      </w:r>
      <w:r w:rsidR="007A4194">
        <w:t xml:space="preserve">very </w:t>
      </w:r>
      <w:r>
        <w:t>weak. D2 is a placeholder parameter. The 0.85 central value is an informed estimate, not a measurement. No empirical analysis has been conducted to quantify the actual MW of compute headroom available at destination zones during source stress hours. H is the second-weakest parameter in the cascade after S2 Factor A, and its resolution is a prerequisite for moving the cascade from an analytical framework to an operational planning tool.</w:t>
      </w:r>
    </w:p>
    <w:p w14:paraId="7F37C1A7" w14:textId="77777777" w:rsidR="00EE0277" w:rsidRDefault="00EE0277" w:rsidP="00E93D49"/>
    <w:p w14:paraId="03D883EB" w14:textId="1DF3CC24" w:rsidR="00F92395" w:rsidRPr="00EE0277" w:rsidRDefault="005867AA" w:rsidP="00E93D49">
      <w:pPr>
        <w:rPr>
          <w:b/>
          <w:bCs/>
          <w:sz w:val="28"/>
          <w:szCs w:val="28"/>
        </w:rPr>
      </w:pPr>
      <w:r>
        <w:rPr>
          <w:b/>
          <w:bCs/>
          <w:sz w:val="28"/>
          <w:szCs w:val="28"/>
        </w:rPr>
        <w:t>D3: Destination Hardware Compatibility</w:t>
      </w:r>
    </w:p>
    <w:p w14:paraId="49E0F0B5" w14:textId="77777777" w:rsidR="00942DCC" w:rsidRDefault="005867AA" w:rsidP="00E93D49">
      <w:r>
        <w:t xml:space="preserve">D3 answers: </w:t>
      </w:r>
      <w:r>
        <w:rPr>
          <w:i/>
          <w:iCs/>
          <w:color w:val="156082" w:themeColor="accent1"/>
        </w:rPr>
        <w:t xml:space="preserve">can the destination facility </w:t>
      </w:r>
      <w:proofErr w:type="gramStart"/>
      <w:r>
        <w:rPr>
          <w:i/>
          <w:iCs/>
          <w:color w:val="156082" w:themeColor="accent1"/>
        </w:rPr>
        <w:t>actually run</w:t>
      </w:r>
      <w:proofErr w:type="gramEnd"/>
      <w:r>
        <w:rPr>
          <w:i/>
          <w:iCs/>
          <w:color w:val="156082" w:themeColor="accent1"/>
        </w:rPr>
        <w:t xml:space="preserve"> the workload?</w:t>
      </w:r>
      <w:r>
        <w:t xml:space="preserve"> </w:t>
      </w:r>
    </w:p>
    <w:p w14:paraId="0968C989" w14:textId="77777777" w:rsidR="00942DCC" w:rsidRDefault="00942DCC" w:rsidP="00E93D49"/>
    <w:p w14:paraId="24497184" w14:textId="557F22D9" w:rsidR="00F92395" w:rsidRDefault="005867AA" w:rsidP="00E93D49">
      <w:r>
        <w:t xml:space="preserve">For </w:t>
      </w:r>
      <w:proofErr w:type="gramStart"/>
      <w:r>
        <w:t>inference</w:t>
      </w:r>
      <w:proofErr w:type="gramEnd"/>
      <w:r>
        <w:t>, this decomposes into GPU architecture compatibility and deployment readiness.</w:t>
      </w:r>
    </w:p>
    <w:p w14:paraId="296AC512" w14:textId="77777777" w:rsidR="00EE0277" w:rsidRDefault="00EE0277" w:rsidP="00E93D49"/>
    <w:p w14:paraId="30948FB3" w14:textId="190D2C57" w:rsidR="00F92395" w:rsidRPr="00EE0277" w:rsidRDefault="00F92395" w:rsidP="00E93D49">
      <w:pPr>
        <w:rPr>
          <w:b/>
          <w:bCs/>
        </w:rPr>
      </w:pPr>
      <w:r>
        <w:rPr>
          <w:b/>
          <w:bCs/>
        </w:rPr>
        <w:t>GPU Architecture Compatibility</w:t>
      </w:r>
    </w:p>
    <w:p w14:paraId="4E598916" w14:textId="77777777" w:rsidR="00F92395" w:rsidRDefault="00F92395" w:rsidP="00E93D49">
      <w:r>
        <w:t>NVIDIA’s CUDA driver provides backward compatibility: a newer driver can run applications compiled for older CUDA toolkit versions (NVIDIA CUDA Compatibility documentation). This means an inference model compiled for A100 (compute capability 8.0) runs on H100 (9.0) without recompilation. However, forward compatibility (newer application on older driver) is not guaranteed and requires explicit installation of the CUDA Forward Compatibility package, available only for data center GPUs.</w:t>
      </w:r>
    </w:p>
    <w:p w14:paraId="10F18DDF" w14:textId="77777777" w:rsidR="00EE0277" w:rsidRDefault="00EE0277" w:rsidP="00E93D49"/>
    <w:p w14:paraId="5BED00A2" w14:textId="24443F39" w:rsidR="00F92395" w:rsidRDefault="00F92395" w:rsidP="00E93D49">
      <w:r>
        <w:t xml:space="preserve">The dominant inference serving frameworks reinforce hardware portability. </w:t>
      </w:r>
      <w:proofErr w:type="spellStart"/>
      <w:r>
        <w:t>vLLM</w:t>
      </w:r>
      <w:proofErr w:type="spellEnd"/>
      <w:r>
        <w:t xml:space="preserve"> supports NVIDIA GPUs, AMD GPUs, Intel GPUs, and TPUs</w:t>
      </w:r>
      <w:r w:rsidR="00942DCC">
        <w:t xml:space="preserve"> and</w:t>
      </w:r>
      <w:r>
        <w:t xml:space="preserve"> is designed for hardware independence (Red Hat, October 2025). Standard deployments use containerized serving (Docker/Kubernetes), abstracting hardware specifics behind a consistent API.</w:t>
      </w:r>
    </w:p>
    <w:p w14:paraId="2A93848A" w14:textId="77777777" w:rsidR="00EE0277" w:rsidRDefault="00EE0277" w:rsidP="00E93D49"/>
    <w:p w14:paraId="2E3E396B" w14:textId="5F2D4ACD" w:rsidR="00F92395" w:rsidRDefault="00F92395" w:rsidP="00E93D49">
      <w:r>
        <w:t xml:space="preserve">The primary constraint is </w:t>
      </w:r>
      <w:proofErr w:type="spellStart"/>
      <w:r>
        <w:t>TensorRT</w:t>
      </w:r>
      <w:proofErr w:type="spellEnd"/>
      <w:r>
        <w:t>-LLM, which compiles models to GPU-architecture-specific engines identified by CUDA compute capability (e.g., 80 for A100, 90 for Hopper)</w:t>
      </w:r>
      <w:r w:rsidR="00DC76F0">
        <w:t>. A</w:t>
      </w:r>
      <w:r>
        <w:t xml:space="preserve">n A100 engine cannot execute on an H100 without recompilation, which adds 5–30 minutes per model depending on model size. A multi-site operator using </w:t>
      </w:r>
      <w:proofErr w:type="spellStart"/>
      <w:r>
        <w:t>TensorRT</w:t>
      </w:r>
      <w:proofErr w:type="spellEnd"/>
      <w:r>
        <w:t>-LLM would need to pre-stage compiled engines for all destination GPU architectures, or use framework-agnostic serving (</w:t>
      </w:r>
      <w:proofErr w:type="spellStart"/>
      <w:r>
        <w:t>vLLM</w:t>
      </w:r>
      <w:proofErr w:type="spellEnd"/>
      <w:r>
        <w:t xml:space="preserve">, TGI). The D3 central estimate of 0.97 assumes pre-staging of architecture-specific binaries at all candidate destinations as part of standard multi-region serving architecture. Without pre-staging, D3 would drop to approximately 0.85–0.92 due to recompilation latency or architecture mismatch failures. </w:t>
      </w:r>
      <w:r w:rsidR="00DC76F0">
        <w:t>I believe t</w:t>
      </w:r>
      <w:r>
        <w:t>his is a deployment configuration choice, not a probabilistic failure.</w:t>
      </w:r>
    </w:p>
    <w:p w14:paraId="40216E9E" w14:textId="77777777" w:rsidR="00EE0277" w:rsidRDefault="00EE0277" w:rsidP="00E93D49"/>
    <w:p w14:paraId="242D8D4C" w14:textId="78506AE3" w:rsidR="00F92395" w:rsidRPr="00EE0277" w:rsidRDefault="00F92395" w:rsidP="00E93D49">
      <w:pPr>
        <w:rPr>
          <w:b/>
          <w:bCs/>
        </w:rPr>
      </w:pPr>
      <w:r>
        <w:rPr>
          <w:b/>
          <w:bCs/>
        </w:rPr>
        <w:t>Deployment Readiness</w:t>
      </w:r>
    </w:p>
    <w:p w14:paraId="029264C5" w14:textId="110CF326" w:rsidR="00F92395" w:rsidRDefault="00F92395" w:rsidP="00E93D49">
      <w:r>
        <w:t>For inference request routing, model weights must already be loaded at the destination. The operational model is pre-staging: participating facilities load models across all candidate destinations as part of standard multi-region serving architecture.</w:t>
      </w:r>
    </w:p>
    <w:p w14:paraId="7AE380F9" w14:textId="77777777" w:rsidR="00EE0277" w:rsidRDefault="00EE0277" w:rsidP="00E93D49"/>
    <w:p w14:paraId="453089F8" w14:textId="07C92B22" w:rsidR="00F92395" w:rsidRDefault="00F92395" w:rsidP="00E93D49">
      <w:r>
        <w:t>This means D3 is fundamentally a design parameter, not a stochastic one. Conservative range: 0.95–0.99, accounting for edge cases: model version updates not yet propagated to all destinations, quantization format mismatches (FP8 on H100 vs FS16 on A100), and GPU features specific to one generation.</w:t>
      </w:r>
    </w:p>
    <w:p w14:paraId="4793956E" w14:textId="77777777" w:rsidR="00F92395" w:rsidRDefault="00F92395" w:rsidP="00E93D49"/>
    <w:p w14:paraId="25F5AC36" w14:textId="6AD5AE7A" w:rsidR="00CD5EEF" w:rsidRPr="00EE0277" w:rsidRDefault="005867AA" w:rsidP="00E93D49">
      <w:pPr>
        <w:rPr>
          <w:b/>
          <w:bCs/>
          <w:sz w:val="28"/>
          <w:szCs w:val="28"/>
        </w:rPr>
      </w:pPr>
      <w:r>
        <w:rPr>
          <w:b/>
          <w:bCs/>
          <w:sz w:val="28"/>
          <w:szCs w:val="28"/>
        </w:rPr>
        <w:lastRenderedPageBreak/>
        <w:t>E1: Migration Completion Probability</w:t>
      </w:r>
    </w:p>
    <w:p w14:paraId="77905784" w14:textId="77777777" w:rsidR="00B13185" w:rsidRDefault="005867AA" w:rsidP="00E93D49">
      <w:r>
        <w:t xml:space="preserve">E1 answers: </w:t>
      </w:r>
      <w:r>
        <w:rPr>
          <w:i/>
          <w:iCs/>
          <w:color w:val="156082" w:themeColor="accent1"/>
        </w:rPr>
        <w:t>given that a workload is a spatial candidate (S1), can execute the migration (S2), an unstressed destination exists (D1), and the destination can absorb the load (D2), does the migration operation itself succeed at the infrastructure level?</w:t>
      </w:r>
      <w:r>
        <w:t xml:space="preserve"> </w:t>
      </w:r>
    </w:p>
    <w:p w14:paraId="2D8863DD" w14:textId="77777777" w:rsidR="00B13185" w:rsidRDefault="00B13185" w:rsidP="00E93D49"/>
    <w:p w14:paraId="25F5AC37" w14:textId="777A652D" w:rsidR="00CD5EEF" w:rsidRDefault="00B13185" w:rsidP="00E93D49">
      <w:r>
        <w:t xml:space="preserve">I </w:t>
      </w:r>
      <w:r w:rsidR="005867AA">
        <w:t>decomposed E1 into four candidate sub-failure modes and then simplified based on architectural analysis.</w:t>
      </w:r>
    </w:p>
    <w:p w14:paraId="62ACA056" w14:textId="77777777" w:rsidR="00EE0277" w:rsidRDefault="00EE0277" w:rsidP="00E93D49"/>
    <w:p w14:paraId="15707329" w14:textId="77777777" w:rsidR="00EE0277" w:rsidRDefault="00273057" w:rsidP="00E93D49">
      <w:pPr>
        <w:rPr>
          <w:b/>
          <w:bCs/>
        </w:rPr>
      </w:pPr>
      <w:r>
        <w:rPr>
          <w:b/>
          <w:bCs/>
        </w:rPr>
        <w:t>Sub-Failure Mode Analysis</w:t>
      </w:r>
    </w:p>
    <w:p w14:paraId="25F5AC39" w14:textId="49FA1B9D" w:rsidR="00CD5EEF" w:rsidRPr="00EE0277" w:rsidRDefault="00273057" w:rsidP="00EE0277">
      <w:pPr>
        <w:pStyle w:val="ListParagraph"/>
        <w:numPr>
          <w:ilvl w:val="0"/>
          <w:numId w:val="3"/>
        </w:numPr>
        <w:rPr>
          <w:b/>
          <w:bCs/>
        </w:rPr>
      </w:pPr>
      <w:r>
        <w:rPr>
          <w:b/>
          <w:bCs/>
        </w:rPr>
        <w:t>F:</w:t>
      </w:r>
      <w:r>
        <w:t xml:space="preserve"> Network failure during migration: For inference, “migration” is </w:t>
      </w:r>
      <w:proofErr w:type="gramStart"/>
      <w:r>
        <w:t>request</w:t>
      </w:r>
      <w:proofErr w:type="gramEnd"/>
      <w:r>
        <w:t xml:space="preserve"> routing</w:t>
      </w:r>
      <w:r w:rsidR="00B13185">
        <w:t xml:space="preserve">, </w:t>
      </w:r>
      <w:r>
        <w:t xml:space="preserve">the load balancer sends the next request to a different endpoint. AWS Elastic Load Balancing guarantees 99.99% monthly availability for multi-AZ deployments. Azure Standard Load Balancer guarantees 99.99% availability, including the cross-region global tier. Google’s internal availability aspiration is five-nines (99.999%), with approximately 50 high-impact network failure events per year across their global infrastructure (Govindan et al., </w:t>
      </w:r>
      <w:r>
        <w:rPr>
          <w:i/>
          <w:iCs/>
        </w:rPr>
        <w:t>SIGCOMM</w:t>
      </w:r>
      <w:r>
        <w:t xml:space="preserve"> 2016).</w:t>
      </w:r>
    </w:p>
    <w:p w14:paraId="120E9F6F" w14:textId="77777777" w:rsidR="00EE0277" w:rsidRDefault="00273057" w:rsidP="00E93D49">
      <w:pPr>
        <w:pStyle w:val="ListParagraph"/>
        <w:numPr>
          <w:ilvl w:val="0"/>
          <w:numId w:val="3"/>
        </w:numPr>
      </w:pPr>
      <w:r>
        <w:rPr>
          <w:b/>
          <w:bCs/>
        </w:rPr>
        <w:t>F2</w:t>
      </w:r>
      <w:r>
        <w:t>: Scheduling/resource race condition: Addressed by design specification. In any production implementation, the orchestration layer would be the single authority for both DR dispatch and workload scheduling. There is no window for a race condition under this architecture.</w:t>
      </w:r>
    </w:p>
    <w:p w14:paraId="31291704" w14:textId="77777777" w:rsidR="00EE0277" w:rsidRDefault="00273057" w:rsidP="00E93D49">
      <w:pPr>
        <w:pStyle w:val="ListParagraph"/>
        <w:numPr>
          <w:ilvl w:val="0"/>
          <w:numId w:val="3"/>
        </w:numPr>
      </w:pPr>
      <w:r>
        <w:rPr>
          <w:b/>
          <w:bCs/>
        </w:rPr>
        <w:t>F3:</w:t>
      </w:r>
      <w:r>
        <w:t xml:space="preserve"> Timeout / SLO violation: For stateless inference, the network-level timeout risk is negligible. The Azure trace analysis confirmed drain times of 4.5–11.6 seconds at P99 (60 </w:t>
      </w:r>
      <w:proofErr w:type="spellStart"/>
      <w:r>
        <w:t>tok</w:t>
      </w:r>
      <w:proofErr w:type="spellEnd"/>
      <w:r>
        <w:t>/s). PJM dispatch events provide 10–30 minutes of advance notice. The operation completes approximately two orders of magnitude faster than the available window.</w:t>
      </w:r>
    </w:p>
    <w:p w14:paraId="25F5AC3C" w14:textId="10AE2ADE" w:rsidR="00CD5EEF" w:rsidRDefault="00EE0277" w:rsidP="00E93D49">
      <w:pPr>
        <w:pStyle w:val="ListParagraph"/>
        <w:numPr>
          <w:ilvl w:val="0"/>
          <w:numId w:val="3"/>
        </w:numPr>
      </w:pPr>
      <w:r>
        <w:rPr>
          <w:b/>
          <w:bCs/>
        </w:rPr>
        <w:t>F4:</w:t>
      </w:r>
      <w:r>
        <w:t xml:space="preserve"> Checkpoint corruption / partial transfer: Does not apply to inference (no checkpoint exists; you are routing new requests, not transferring state). Structural assumption ≈ 1.0.</w:t>
      </w:r>
    </w:p>
    <w:p w14:paraId="54CB0777" w14:textId="77777777" w:rsidR="00EE0277" w:rsidRDefault="00EE0277" w:rsidP="00E93D49"/>
    <w:p w14:paraId="25F5AC3D" w14:textId="099AACF2" w:rsidR="00CD5EEF" w:rsidRPr="004B2B2C" w:rsidRDefault="005867AA" w:rsidP="00E93D49">
      <w:pPr>
        <w:rPr>
          <w:b/>
          <w:bCs/>
        </w:rPr>
      </w:pPr>
      <w:r>
        <w:rPr>
          <w:b/>
          <w:bCs/>
        </w:rPr>
        <w:t>E1 Bounded Range</w:t>
      </w:r>
    </w:p>
    <w:p w14:paraId="25F5AC3E" w14:textId="513E8684" w:rsidR="00CD5EEF" w:rsidRDefault="00273057" w:rsidP="00E93D49">
      <w:r>
        <w:t>For inference, E1 reduces to (1 − F1_network), bounded by cloud load balancer SLAs and production network reliability data. Conservative range: 0.995–0.999. This is deliberately below the SLA-implied floor (0.9999) because SLAs cover the load balancer component specifically, not the full end-to-end routing path including DNS propagation, health check lag, and configuration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2760"/>
        <w:gridCol w:w="2400"/>
      </w:tblGrid>
      <w:tr w:rsidR="00CD5EEF" w14:paraId="25F5AC43" w14:textId="77777777">
        <w:tc>
          <w:tcPr>
            <w:tcW w:w="26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C3F" w14:textId="77777777" w:rsidR="00CD5EEF" w:rsidRDefault="00273057" w:rsidP="00E93D49">
            <w:r>
              <w:rPr>
                <w:sz w:val="20"/>
                <w:szCs w:val="20"/>
              </w:rPr>
              <w:t>Factor</w:t>
            </w:r>
          </w:p>
        </w:tc>
        <w:tc>
          <w:tcPr>
            <w:tcW w:w="16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C40" w14:textId="77777777" w:rsidR="00CD5EEF" w:rsidRDefault="00273057" w:rsidP="00E93D49">
            <w:r>
              <w:rPr>
                <w:sz w:val="20"/>
                <w:szCs w:val="20"/>
              </w:rPr>
              <w:t>Value</w:t>
            </w:r>
          </w:p>
        </w:tc>
        <w:tc>
          <w:tcPr>
            <w:tcW w:w="27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C41" w14:textId="77777777" w:rsidR="00CD5EEF" w:rsidRDefault="00273057" w:rsidP="00E93D49">
            <w:r>
              <w:rPr>
                <w:sz w:val="20"/>
                <w:szCs w:val="20"/>
              </w:rPr>
              <w:t>Source</w:t>
            </w:r>
          </w:p>
        </w:tc>
        <w:tc>
          <w:tcPr>
            <w:tcW w:w="24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C42" w14:textId="77777777" w:rsidR="00CD5EEF" w:rsidRDefault="00273057" w:rsidP="00E93D49">
            <w:r>
              <w:rPr>
                <w:sz w:val="20"/>
                <w:szCs w:val="20"/>
              </w:rPr>
              <w:t>Type</w:t>
            </w:r>
          </w:p>
        </w:tc>
      </w:tr>
      <w:tr w:rsidR="00CD5EEF" w14:paraId="25F5AC48"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44" w14:textId="77777777" w:rsidR="00CD5EEF" w:rsidRDefault="00273057" w:rsidP="00E93D49">
            <w:r>
              <w:t>AWS ELB SLA (multi-AZ)</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45" w14:textId="77777777" w:rsidR="00CD5EEF" w:rsidRDefault="00273057" w:rsidP="00E93D49">
            <w:r>
              <w:t>≥99.99%</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46" w14:textId="77777777" w:rsidR="00CD5EEF" w:rsidRDefault="00273057" w:rsidP="00E93D49">
            <w:r>
              <w:t>AWS ELB SLA page</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47" w14:textId="77777777" w:rsidR="00CD5EEF" w:rsidRDefault="00273057" w:rsidP="00E93D49">
            <w:r>
              <w:t>Contractual</w:t>
            </w:r>
          </w:p>
        </w:tc>
      </w:tr>
      <w:tr w:rsidR="00CD5EEF" w14:paraId="25F5AC4D"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49" w14:textId="77777777" w:rsidR="00CD5EEF" w:rsidRDefault="00273057" w:rsidP="00E93D49">
            <w:r>
              <w:t>Azure LB SLA (standard)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4A" w14:textId="77777777" w:rsidR="00CD5EEF" w:rsidRDefault="00273057" w:rsidP="00E93D49">
            <w:r>
              <w:t>≥99.99%</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4B" w14:textId="77777777" w:rsidR="00CD5EEF" w:rsidRDefault="00273057" w:rsidP="00E93D49">
            <w:r>
              <w:t>Azure SLA documentation</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4C" w14:textId="77777777" w:rsidR="00CD5EEF" w:rsidRDefault="00273057" w:rsidP="00E93D49">
            <w:r>
              <w:t>Contractual</w:t>
            </w:r>
          </w:p>
        </w:tc>
      </w:tr>
      <w:tr w:rsidR="00CD5EEF" w14:paraId="25F5AC52"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4E" w14:textId="77777777" w:rsidR="00CD5EEF" w:rsidRDefault="00273057" w:rsidP="00E93D49">
            <w:r>
              <w:t>Azure Cross-Region LB</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4F" w14:textId="77777777" w:rsidR="00CD5EEF" w:rsidRDefault="00273057" w:rsidP="00E93D49">
            <w:r>
              <w:t>≥99.99%</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50" w14:textId="77777777" w:rsidR="00CD5EEF" w:rsidRDefault="00273057" w:rsidP="00E93D49">
            <w:r>
              <w:t>Microsoft GA (Jul 2023)</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51" w14:textId="77777777" w:rsidR="00CD5EEF" w:rsidRDefault="00273057" w:rsidP="00E93D49">
            <w:r>
              <w:t>Contractual</w:t>
            </w:r>
          </w:p>
        </w:tc>
      </w:tr>
      <w:tr w:rsidR="00CD5EEF" w14:paraId="25F5AC57"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53" w14:textId="77777777" w:rsidR="00CD5EEF" w:rsidRDefault="00273057" w:rsidP="00E93D49">
            <w:r>
              <w:t>Google network failures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54" w14:textId="77777777" w:rsidR="00CD5EEF" w:rsidRDefault="00273057" w:rsidP="00E93D49">
            <w:r>
              <w:t>~50/yr high-impact</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55" w14:textId="77777777" w:rsidR="00CD5EEF" w:rsidRDefault="00273057" w:rsidP="00E93D49">
            <w:r>
              <w:t>Govindan et al. SIGCOMM 2016</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56" w14:textId="77777777" w:rsidR="00CD5EEF" w:rsidRDefault="00273057" w:rsidP="00E93D49">
            <w:r>
              <w:t>Prod. measurement</w:t>
            </w:r>
          </w:p>
        </w:tc>
      </w:tr>
    </w:tbl>
    <w:p w14:paraId="25F5AC58" w14:textId="77777777" w:rsidR="00CD5EEF" w:rsidRDefault="00CD5EEF" w:rsidP="00E93D49"/>
    <w:p w14:paraId="1EF7FD3C" w14:textId="77777777" w:rsidR="004B2B2C" w:rsidRDefault="004B2B2C" w:rsidP="00E93D49"/>
    <w:p w14:paraId="25F5AC62" w14:textId="730A4056" w:rsidR="00CD5EEF" w:rsidRPr="004B2B2C" w:rsidRDefault="005867AA" w:rsidP="00E93D49">
      <w:pPr>
        <w:rPr>
          <w:b/>
          <w:bCs/>
        </w:rPr>
      </w:pPr>
      <w:r>
        <w:rPr>
          <w:b/>
          <w:bCs/>
        </w:rPr>
        <w:t>E2: WAN Transfer Feasibility</w:t>
      </w:r>
    </w:p>
    <w:p w14:paraId="25F5AC63" w14:textId="6C983FC8" w:rsidR="00CD5EEF" w:rsidRDefault="005867AA" w:rsidP="00E93D49">
      <w:r>
        <w:lastRenderedPageBreak/>
        <w:t xml:space="preserve">E2 answers: </w:t>
      </w:r>
      <w:r>
        <w:rPr>
          <w:i/>
          <w:iCs/>
          <w:color w:val="156082" w:themeColor="accent1"/>
        </w:rPr>
        <w:t>is there sufficient network bandwidth to execute the migration operation?</w:t>
      </w:r>
    </w:p>
    <w:p w14:paraId="58748AC9" w14:textId="77777777" w:rsidR="004B2B2C" w:rsidRDefault="004B2B2C" w:rsidP="00E93D49"/>
    <w:p w14:paraId="25F5AC64" w14:textId="2ABAB9BE" w:rsidR="00CD5EEF" w:rsidRPr="004B2B2C" w:rsidRDefault="00273057" w:rsidP="00E93D49">
      <w:pPr>
        <w:rPr>
          <w:b/>
          <w:bCs/>
        </w:rPr>
      </w:pPr>
      <w:r>
        <w:rPr>
          <w:b/>
          <w:bCs/>
        </w:rPr>
        <w:t>The Bandwidth Math</w:t>
      </w:r>
    </w:p>
    <w:p w14:paraId="25F5AC65" w14:textId="77777777" w:rsidR="00CD5EEF" w:rsidRDefault="00273057" w:rsidP="00E93D49">
      <w:r>
        <w:t>For inference, the data transferred per request is trivially small. A typical inference request consists of 500–2,000 input tokens and produces 500–2,000 output tokens. At approximately 4 bytes per token, a single request-response pair is roughly 16 KB. Even a large request (128K context window) is approximately 512 KB.</w:t>
      </w:r>
    </w:p>
    <w:p w14:paraId="4D3E8421" w14:textId="77777777" w:rsidR="004B2B2C" w:rsidRDefault="004B2B2C" w:rsidP="00E93D49"/>
    <w:p w14:paraId="25F5AC66" w14:textId="09FD15EB" w:rsidR="00CD5EEF" w:rsidRDefault="00273057" w:rsidP="00E93D49">
      <w:r>
        <w:t xml:space="preserve">Modern hyperscale WAN links operate at 100–800 Gbps per link. Data Center Knowledge (November 2025) reports total </w:t>
      </w:r>
      <w:proofErr w:type="spellStart"/>
      <w:r>
        <w:t>hyperscaler</w:t>
      </w:r>
      <w:proofErr w:type="spellEnd"/>
      <w:r>
        <w:t xml:space="preserve"> bandwidth purchases reached 42.4 terabits in 2024, with metro dark fiber purchases rising 268% year-over-year. A single 100 Gbps link can carry approximately 780,000 inference requests per second.</w:t>
      </w:r>
    </w:p>
    <w:p w14:paraId="5EC1F483" w14:textId="77777777" w:rsidR="004B2B2C" w:rsidRDefault="004B2B2C" w:rsidP="00E93D49"/>
    <w:p w14:paraId="25F5AC67" w14:textId="725FC2D2" w:rsidR="00CD5EEF" w:rsidRPr="004B2B2C" w:rsidRDefault="00273057" w:rsidP="00E93D49">
      <w:pPr>
        <w:rPr>
          <w:b/>
          <w:bCs/>
        </w:rPr>
      </w:pPr>
      <w:r>
        <w:rPr>
          <w:b/>
          <w:bCs/>
        </w:rPr>
        <w:t>Pre-Staged Weights Eliminate the Bottleneck</w:t>
      </w:r>
    </w:p>
    <w:p w14:paraId="25F5AC68" w14:textId="4C826CA9" w:rsidR="00CD5EEF" w:rsidRDefault="00273057" w:rsidP="00E93D49">
      <w:r>
        <w:t>The bandwidth-intensive operation in a naive migration would be transferring model weights. For smaller models (7B–13B parameters, approximately 14–26 GB in FP16), transfer is tractable at inter-DC link speeds of 10–100 Gbps (1–20 seconds). For frontier models (70B–405B parameters, approximately 140–810 GB in FP16), on-demand transfer becomes rate-limiting—Llama 3 at 405B parameters is approximately 810 GB in FP16. But as established in D3, weights are pre-staged at destinations. Inference spatial migration transfers only request/response payloads, which are negligible relative to available WAN capacity.</w:t>
      </w:r>
    </w:p>
    <w:p w14:paraId="6F97E297" w14:textId="77777777" w:rsidR="004B2B2C" w:rsidRDefault="004B2B2C" w:rsidP="00E93D49"/>
    <w:p w14:paraId="25F5AC69" w14:textId="51CE3A1A" w:rsidR="00CD5EEF" w:rsidRDefault="00273057" w:rsidP="00E93D49">
      <w:r>
        <w:t>Bounded range: 0.99–1.00. The lower bound accounts for transient WAN congestion during extreme events and the possibility that smaller facilities have less redundant WAN connectivity than hyperscale campuses.</w:t>
      </w:r>
    </w:p>
    <w:p w14:paraId="1D8B5103" w14:textId="77777777" w:rsidR="004B2B2C" w:rsidRDefault="004B2B2C" w:rsidP="00E93D49"/>
    <w:p w14:paraId="25F5AC6A" w14:textId="30DCB151" w:rsidR="00CD5EEF" w:rsidRPr="004B2B2C" w:rsidRDefault="00273057" w:rsidP="00E93D49">
      <w:pPr>
        <w:rPr>
          <w:b/>
          <w:bCs/>
        </w:rPr>
      </w:pPr>
      <w:r>
        <w:rPr>
          <w:b/>
          <w:bCs/>
        </w:rPr>
        <w:t>The Cascade Product: Effective Spatial Fraction</w:t>
      </w:r>
    </w:p>
    <w:p w14:paraId="25F5AC6B" w14:textId="77777777" w:rsidR="00CD5EEF" w:rsidRDefault="00273057" w:rsidP="00E93D49">
      <w:r>
        <w:t>Combining all seven parameters for the inference-dominant facility scenario, grouped by the three cascade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00"/>
        <w:gridCol w:w="1820"/>
        <w:gridCol w:w="1820"/>
        <w:gridCol w:w="1820"/>
      </w:tblGrid>
      <w:tr w:rsidR="00CD5EEF" w14:paraId="25F5AC71" w14:textId="77777777">
        <w:tc>
          <w:tcPr>
            <w:tcW w:w="18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C6C" w14:textId="77777777" w:rsidR="00CD5EEF" w:rsidRDefault="00273057" w:rsidP="00E93D49">
            <w:r>
              <w:rPr>
                <w:sz w:val="20"/>
                <w:szCs w:val="20"/>
              </w:rPr>
              <w:t>Parameter</w:t>
            </w:r>
          </w:p>
        </w:tc>
        <w:tc>
          <w:tcPr>
            <w:tcW w:w="21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C6D" w14:textId="77777777" w:rsidR="00CD5EEF" w:rsidRDefault="00273057" w:rsidP="00E93D49">
            <w:r>
              <w:rPr>
                <w:sz w:val="20"/>
                <w:szCs w:val="20"/>
              </w:rPr>
              <w:t>Measures</w:t>
            </w:r>
          </w:p>
        </w:tc>
        <w:tc>
          <w:tcPr>
            <w:tcW w:w="182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C6E" w14:textId="77777777" w:rsidR="00CD5EEF" w:rsidRDefault="00273057" w:rsidP="00E93D49">
            <w:r>
              <w:rPr>
                <w:sz w:val="20"/>
                <w:szCs w:val="20"/>
              </w:rPr>
              <w:t>Conservative</w:t>
            </w:r>
          </w:p>
        </w:tc>
        <w:tc>
          <w:tcPr>
            <w:tcW w:w="182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C6F" w14:textId="77777777" w:rsidR="00CD5EEF" w:rsidRDefault="00273057" w:rsidP="00E93D49">
            <w:r>
              <w:rPr>
                <w:sz w:val="20"/>
                <w:szCs w:val="20"/>
              </w:rPr>
              <w:t>Central</w:t>
            </w:r>
          </w:p>
        </w:tc>
        <w:tc>
          <w:tcPr>
            <w:tcW w:w="182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C70" w14:textId="77777777" w:rsidR="00CD5EEF" w:rsidRDefault="00273057" w:rsidP="00E93D49">
            <w:r>
              <w:rPr>
                <w:sz w:val="20"/>
                <w:szCs w:val="20"/>
              </w:rPr>
              <w:t>Optimistic</w:t>
            </w:r>
          </w:p>
        </w:tc>
      </w:tr>
      <w:tr w:rsidR="00CD5EEF" w14:paraId="25F5AC73" w14:textId="77777777" w:rsidTr="00FC59B6">
        <w:tc>
          <w:tcPr>
            <w:tcW w:w="9360" w:type="dxa"/>
            <w:gridSpan w:val="5"/>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25F5AC72" w14:textId="77777777" w:rsidR="00CD5EEF" w:rsidRDefault="00273057" w:rsidP="00E93D49">
            <w:r>
              <w:rPr>
                <w:i/>
                <w:iCs/>
              </w:rPr>
              <w:t>Source-side</w:t>
            </w:r>
          </w:p>
        </w:tc>
      </w:tr>
      <w:tr w:rsidR="00CD5EEF" w14:paraId="25F5AC79"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74" w14:textId="3E69FF6C" w:rsidR="00CD5EEF" w:rsidRDefault="005867AA" w:rsidP="00E93D49">
            <w:r>
              <w:t>S1</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75" w14:textId="77777777" w:rsidR="00CD5EEF" w:rsidRDefault="00273057" w:rsidP="00E93D49">
            <w:r>
              <w:t>Workload candidacy</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76" w14:textId="77777777" w:rsidR="00CD5EEF" w:rsidRDefault="00273057" w:rsidP="00E93D49">
            <w:r>
              <w:t>0.70</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77" w14:textId="77777777" w:rsidR="00CD5EEF" w:rsidRDefault="00273057" w:rsidP="00E93D49">
            <w:r>
              <w:t>0.70</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78" w14:textId="77777777" w:rsidR="00CD5EEF" w:rsidRDefault="00273057" w:rsidP="00E93D49">
            <w:r>
              <w:t>0.70</w:t>
            </w:r>
          </w:p>
        </w:tc>
      </w:tr>
      <w:tr w:rsidR="00CD5EEF" w14:paraId="25F5AC7F"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7A" w14:textId="628693DC" w:rsidR="00CD5EEF" w:rsidRDefault="005867AA" w:rsidP="00E93D49">
            <w:r>
              <w:t>S2</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7B" w14:textId="77777777" w:rsidR="00CD5EEF" w:rsidRDefault="00273057" w:rsidP="00E93D49">
            <w:r>
              <w:t>Execution feasibility</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7C" w14:textId="77777777" w:rsidR="00CD5EEF" w:rsidRDefault="00273057" w:rsidP="00E93D49">
            <w:r>
              <w:t>0.595</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7D" w14:textId="77777777" w:rsidR="00CD5EEF" w:rsidRDefault="00273057" w:rsidP="00E93D49">
            <w:r>
              <w:t>0.72</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7E" w14:textId="77777777" w:rsidR="00CD5EEF" w:rsidRDefault="00273057" w:rsidP="00E93D49">
            <w:r>
              <w:t>0.855</w:t>
            </w:r>
          </w:p>
        </w:tc>
      </w:tr>
      <w:tr w:rsidR="00CD5EEF" w14:paraId="25F5AC81" w14:textId="77777777" w:rsidTr="00FC59B6">
        <w:tc>
          <w:tcPr>
            <w:tcW w:w="9360" w:type="dxa"/>
            <w:gridSpan w:val="5"/>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25F5AC80" w14:textId="77777777" w:rsidR="00CD5EEF" w:rsidRDefault="00273057" w:rsidP="00E93D49">
            <w:r>
              <w:rPr>
                <w:i/>
                <w:iCs/>
              </w:rPr>
              <w:t>Destination-side</w:t>
            </w:r>
          </w:p>
        </w:tc>
      </w:tr>
      <w:tr w:rsidR="00CD5EEF" w14:paraId="25F5AC87"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82" w14:textId="05EB8B97" w:rsidR="00CD5EEF" w:rsidRDefault="005867AA" w:rsidP="00E93D49">
            <w:r>
              <w:t>D1</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83" w14:textId="77777777" w:rsidR="00CD5EEF" w:rsidRDefault="00273057" w:rsidP="00E93D49">
            <w:r>
              <w:t>Destination availability</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84" w14:textId="77777777" w:rsidR="00CD5EEF" w:rsidRDefault="00273057" w:rsidP="00E93D49">
            <w:r>
              <w:t>0.945</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85" w14:textId="77777777" w:rsidR="00CD5EEF" w:rsidRDefault="00273057" w:rsidP="00E93D49">
            <w:r>
              <w:t>0.99</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86" w14:textId="77777777" w:rsidR="00CD5EEF" w:rsidRDefault="00273057" w:rsidP="00E93D49">
            <w:r>
              <w:t>0.995</w:t>
            </w:r>
          </w:p>
        </w:tc>
      </w:tr>
      <w:tr w:rsidR="00CD5EEF" w14:paraId="25F5AC8D"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88" w14:textId="6B12CF1F" w:rsidR="00CD5EEF" w:rsidRDefault="005867AA" w:rsidP="00E93D49">
            <w:r>
              <w:t>D2</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89" w14:textId="77777777" w:rsidR="00CD5EEF" w:rsidRDefault="00273057" w:rsidP="00E93D49">
            <w:r>
              <w:t>Destination headroom</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8A" w14:textId="77777777" w:rsidR="00CD5EEF" w:rsidRDefault="00273057" w:rsidP="00E93D49">
            <w:r>
              <w:t>0.80</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8B" w14:textId="77777777" w:rsidR="00CD5EEF" w:rsidRDefault="00273057" w:rsidP="00E93D49">
            <w:r>
              <w:t>0.85</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8C" w14:textId="77777777" w:rsidR="00CD5EEF" w:rsidRDefault="00273057" w:rsidP="00E93D49">
            <w:r>
              <w:t>0.90</w:t>
            </w:r>
          </w:p>
        </w:tc>
      </w:tr>
      <w:tr w:rsidR="00FC59B6" w14:paraId="6DA702E4"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639EB3" w14:textId="12C2149A" w:rsidR="00FC59B6" w:rsidRDefault="005867AA" w:rsidP="00E93D49">
            <w:r>
              <w:t>D3</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CC2778" w14:textId="23351CFB" w:rsidR="00FC59B6" w:rsidRDefault="00FC59B6" w:rsidP="00E93D49">
            <w:r>
              <w:t>HW compatibility</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131CE8" w14:textId="47A59B3B" w:rsidR="00FC59B6" w:rsidRDefault="00FC59B6" w:rsidP="00E93D49">
            <w:r>
              <w:t>0.95</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48C2D9" w14:textId="3740FC4D" w:rsidR="00FC59B6" w:rsidRDefault="00FC59B6" w:rsidP="00E93D49">
            <w:r>
              <w:t>0.97</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68057A" w14:textId="531BF5F4" w:rsidR="00FC59B6" w:rsidRDefault="00FC59B6" w:rsidP="00E93D49">
            <w:r>
              <w:t>0.99</w:t>
            </w:r>
          </w:p>
        </w:tc>
      </w:tr>
      <w:tr w:rsidR="00FC59B6" w14:paraId="25F5AC8F" w14:textId="77777777" w:rsidTr="00FC59B6">
        <w:tc>
          <w:tcPr>
            <w:tcW w:w="9360" w:type="dxa"/>
            <w:gridSpan w:val="5"/>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25F5AC8E" w14:textId="77777777" w:rsidR="00FC59B6" w:rsidRDefault="00FC59B6" w:rsidP="00E93D49">
            <w:r>
              <w:rPr>
                <w:i/>
                <w:iCs/>
              </w:rPr>
              <w:t>Execution</w:t>
            </w:r>
          </w:p>
        </w:tc>
      </w:tr>
      <w:tr w:rsidR="00FC59B6" w14:paraId="25F5AC95"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90" w14:textId="3AB1B344" w:rsidR="00FC59B6" w:rsidRDefault="005867AA" w:rsidP="00E93D49">
            <w:r>
              <w:lastRenderedPageBreak/>
              <w:t>E1</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91" w14:textId="77777777" w:rsidR="00FC59B6" w:rsidRDefault="00FC59B6" w:rsidP="00E93D49">
            <w:r>
              <w:t>Migration completion</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92" w14:textId="77777777" w:rsidR="00FC59B6" w:rsidRDefault="00FC59B6" w:rsidP="00E93D49">
            <w:r>
              <w:t>0.995</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93" w14:textId="77777777" w:rsidR="00FC59B6" w:rsidRDefault="00FC59B6" w:rsidP="00E93D49">
            <w:r>
              <w:t>0.997</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94" w14:textId="77777777" w:rsidR="00FC59B6" w:rsidRDefault="00FC59B6" w:rsidP="00E93D49">
            <w:r>
              <w:t>0.999</w:t>
            </w:r>
          </w:p>
        </w:tc>
      </w:tr>
      <w:tr w:rsidR="00FC59B6" w14:paraId="25F5ACA1"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9C" w14:textId="063BD1F3" w:rsidR="00FC59B6" w:rsidRDefault="005867AA" w:rsidP="00E93D49">
            <w:r>
              <w:t>E2</w:t>
            </w:r>
          </w:p>
        </w:tc>
        <w:tc>
          <w:tcPr>
            <w:tcW w:w="2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9D" w14:textId="77777777" w:rsidR="00FC59B6" w:rsidRDefault="00FC59B6" w:rsidP="00E93D49">
            <w:r>
              <w:t>WAN bandwidth</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9E" w14:textId="77777777" w:rsidR="00FC59B6" w:rsidRDefault="00FC59B6" w:rsidP="00E93D49">
            <w:r>
              <w:t>0.99</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9F" w14:textId="77777777" w:rsidR="00FC59B6" w:rsidRDefault="00FC59B6" w:rsidP="00E93D49">
            <w:r>
              <w:t>0.995</w:t>
            </w:r>
          </w:p>
        </w:tc>
        <w:tc>
          <w:tcPr>
            <w:tcW w:w="18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A0" w14:textId="77777777" w:rsidR="00FC59B6" w:rsidRDefault="00FC59B6" w:rsidP="00E93D49">
            <w:r>
              <w:t>1.00</w:t>
            </w:r>
          </w:p>
        </w:tc>
      </w:tr>
      <w:tr w:rsidR="00FC59B6" w14:paraId="25F5ACA7" w14:textId="77777777">
        <w:tc>
          <w:tcPr>
            <w:tcW w:w="1800" w:type="dxa"/>
            <w:tcBorders>
              <w:top w:val="single" w:sz="1" w:space="0" w:color="999999"/>
              <w:left w:val="single" w:sz="1" w:space="0" w:color="999999"/>
              <w:bottom w:val="single" w:sz="1" w:space="0" w:color="999999"/>
              <w:right w:val="single" w:sz="1" w:space="0" w:color="999999"/>
            </w:tcBorders>
            <w:shd w:val="clear" w:color="auto" w:fill="E0E8F0"/>
            <w:tcMar>
              <w:top w:w="60" w:type="dxa"/>
              <w:left w:w="100" w:type="dxa"/>
              <w:bottom w:w="60" w:type="dxa"/>
              <w:right w:w="100" w:type="dxa"/>
            </w:tcMar>
          </w:tcPr>
          <w:p w14:paraId="25F5ACA2" w14:textId="77777777" w:rsidR="00FC59B6" w:rsidRDefault="00FC59B6" w:rsidP="00E93D49">
            <w:r>
              <w:t>PRODUCT</w:t>
            </w:r>
          </w:p>
        </w:tc>
        <w:tc>
          <w:tcPr>
            <w:tcW w:w="2100" w:type="dxa"/>
            <w:tcBorders>
              <w:top w:val="single" w:sz="1" w:space="0" w:color="999999"/>
              <w:left w:val="single" w:sz="1" w:space="0" w:color="999999"/>
              <w:bottom w:val="single" w:sz="1" w:space="0" w:color="999999"/>
              <w:right w:val="single" w:sz="1" w:space="0" w:color="999999"/>
            </w:tcBorders>
            <w:shd w:val="clear" w:color="auto" w:fill="E0E8F0"/>
            <w:tcMar>
              <w:top w:w="60" w:type="dxa"/>
              <w:left w:w="100" w:type="dxa"/>
              <w:bottom w:w="60" w:type="dxa"/>
              <w:right w:w="100" w:type="dxa"/>
            </w:tcMar>
          </w:tcPr>
          <w:p w14:paraId="25F5ACA3" w14:textId="77777777" w:rsidR="00FC59B6" w:rsidRDefault="00FC59B6" w:rsidP="00E93D49">
            <w:r>
              <w:t>Eff. Spatial Frac.</w:t>
            </w:r>
          </w:p>
        </w:tc>
        <w:tc>
          <w:tcPr>
            <w:tcW w:w="1820" w:type="dxa"/>
            <w:tcBorders>
              <w:top w:val="single" w:sz="1" w:space="0" w:color="999999"/>
              <w:left w:val="single" w:sz="1" w:space="0" w:color="999999"/>
              <w:bottom w:val="single" w:sz="1" w:space="0" w:color="999999"/>
              <w:right w:val="single" w:sz="1" w:space="0" w:color="999999"/>
            </w:tcBorders>
            <w:shd w:val="clear" w:color="auto" w:fill="E0E8F0"/>
            <w:tcMar>
              <w:top w:w="60" w:type="dxa"/>
              <w:left w:w="100" w:type="dxa"/>
              <w:bottom w:w="60" w:type="dxa"/>
              <w:right w:w="100" w:type="dxa"/>
            </w:tcMar>
          </w:tcPr>
          <w:p w14:paraId="25F5ACA4" w14:textId="77777777" w:rsidR="00FC59B6" w:rsidRDefault="00FC59B6" w:rsidP="00E93D49">
            <w:r>
              <w:t>0.295</w:t>
            </w:r>
          </w:p>
        </w:tc>
        <w:tc>
          <w:tcPr>
            <w:tcW w:w="1820" w:type="dxa"/>
            <w:tcBorders>
              <w:top w:val="single" w:sz="1" w:space="0" w:color="999999"/>
              <w:left w:val="single" w:sz="1" w:space="0" w:color="999999"/>
              <w:bottom w:val="single" w:sz="1" w:space="0" w:color="999999"/>
              <w:right w:val="single" w:sz="1" w:space="0" w:color="999999"/>
            </w:tcBorders>
            <w:shd w:val="clear" w:color="auto" w:fill="E0E8F0"/>
            <w:tcMar>
              <w:top w:w="60" w:type="dxa"/>
              <w:left w:w="100" w:type="dxa"/>
              <w:bottom w:w="60" w:type="dxa"/>
              <w:right w:w="100" w:type="dxa"/>
            </w:tcMar>
          </w:tcPr>
          <w:p w14:paraId="25F5ACA5" w14:textId="77777777" w:rsidR="00FC59B6" w:rsidRDefault="00FC59B6" w:rsidP="00E93D49">
            <w:r>
              <w:t>0.409</w:t>
            </w:r>
          </w:p>
        </w:tc>
        <w:tc>
          <w:tcPr>
            <w:tcW w:w="1820" w:type="dxa"/>
            <w:tcBorders>
              <w:top w:val="single" w:sz="1" w:space="0" w:color="999999"/>
              <w:left w:val="single" w:sz="1" w:space="0" w:color="999999"/>
              <w:bottom w:val="single" w:sz="1" w:space="0" w:color="999999"/>
              <w:right w:val="single" w:sz="1" w:space="0" w:color="999999"/>
            </w:tcBorders>
            <w:shd w:val="clear" w:color="auto" w:fill="E0E8F0"/>
            <w:tcMar>
              <w:top w:w="60" w:type="dxa"/>
              <w:left w:w="100" w:type="dxa"/>
              <w:bottom w:w="60" w:type="dxa"/>
              <w:right w:w="100" w:type="dxa"/>
            </w:tcMar>
          </w:tcPr>
          <w:p w14:paraId="25F5ACA6" w14:textId="77777777" w:rsidR="00FC59B6" w:rsidRDefault="00FC59B6" w:rsidP="00E93D49">
            <w:r>
              <w:t>0.530</w:t>
            </w:r>
          </w:p>
        </w:tc>
      </w:tr>
    </w:tbl>
    <w:p w14:paraId="25F5ACA8" w14:textId="77777777" w:rsidR="00CD5EEF" w:rsidRDefault="00CD5EEF" w:rsidP="00E93D49"/>
    <w:p w14:paraId="25F5ACA9" w14:textId="412F1B55" w:rsidR="00CD5EEF" w:rsidRDefault="00273057" w:rsidP="00E93D49">
      <w:r>
        <w:t>The three-stage grouping reflects the cascade’s logical sequence. Source-side parameters (S1, S2) determine what fraction of facility load is both a candidate workload type and operationally executable. Destination-side parameters (D1, D2, D3) determine whether an unstressed destination exists and has the headroom &amp; compatibility to absorb the load. Execution parameters (E1, E2) determine whether the migration operation succeeds mechanically.</w:t>
      </w:r>
    </w:p>
    <w:p w14:paraId="5F834A6C" w14:textId="77777777" w:rsidR="004B2B2C" w:rsidRDefault="004B2B2C" w:rsidP="00E93D49"/>
    <w:p w14:paraId="25F5ACAA" w14:textId="04AF98BD" w:rsidR="00CD5EEF" w:rsidRDefault="00273057" w:rsidP="00E93D49">
      <w:r w:rsidRPr="00687E89">
        <w:rPr>
          <w:highlight w:val="yellow"/>
        </w:rPr>
        <w:t>Commitment Depth = Effective Spatial Fraction + DVFS × (1 − Effective Spatial Fraction)</w:t>
      </w:r>
    </w:p>
    <w:p w14:paraId="25F5ACAB" w14:textId="77777777" w:rsidR="00CD5EEF" w:rsidRDefault="00273057" w:rsidP="00E93D49">
      <w:r>
        <w:t>At the central estimate: 0.409 + 0.25 × (1 − 0.409) = 0.409 + 0.148 = 0.557, or approximately 56%. Conservative: 0.295 + 0.25 × 0.705 = 0.471 (47%). Optimistic: 0.530 + 0.25 × 0.470 = 0.647 (65%).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200"/>
        <w:gridCol w:w="2160"/>
      </w:tblGrid>
      <w:tr w:rsidR="00CD5EEF" w14:paraId="25F5ACB0" w14:textId="77777777">
        <w:tc>
          <w:tcPr>
            <w:tcW w:w="28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CAC" w14:textId="77777777" w:rsidR="00CD5EEF" w:rsidRDefault="00273057" w:rsidP="00E93D49">
            <w:r>
              <w:rPr>
                <w:sz w:val="20"/>
                <w:szCs w:val="20"/>
              </w:rPr>
              <w:t>Metric (10 GW)</w:t>
            </w:r>
          </w:p>
        </w:tc>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CAD" w14:textId="77777777" w:rsidR="00CD5EEF" w:rsidRDefault="00273057" w:rsidP="00E93D49">
            <w:r>
              <w:rPr>
                <w:sz w:val="20"/>
                <w:szCs w:val="20"/>
              </w:rPr>
              <w:t>Conservative</w:t>
            </w:r>
          </w:p>
        </w:tc>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CAE" w14:textId="77777777" w:rsidR="00CD5EEF" w:rsidRDefault="00273057" w:rsidP="00E93D49">
            <w:r>
              <w:rPr>
                <w:sz w:val="20"/>
                <w:szCs w:val="20"/>
              </w:rPr>
              <w:t>Central</w:t>
            </w:r>
          </w:p>
        </w:tc>
        <w:tc>
          <w:tcPr>
            <w:tcW w:w="21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F5ACAF" w14:textId="77777777" w:rsidR="00CD5EEF" w:rsidRDefault="00273057" w:rsidP="00E93D49">
            <w:r>
              <w:rPr>
                <w:sz w:val="20"/>
                <w:szCs w:val="20"/>
              </w:rPr>
              <w:t>Optimistic</w:t>
            </w:r>
          </w:p>
        </w:tc>
      </w:tr>
      <w:tr w:rsidR="00CD5EEF" w14:paraId="25F5ACB5"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B1" w14:textId="77777777" w:rsidR="00CD5EEF" w:rsidRDefault="00273057" w:rsidP="00E93D49">
            <w:r>
              <w:t>Eff. spatial frac.</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B2" w14:textId="77777777" w:rsidR="00CD5EEF" w:rsidRDefault="00273057" w:rsidP="00E93D49">
            <w:r>
              <w:t>0.295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B3" w14:textId="77777777" w:rsidR="00CD5EEF" w:rsidRDefault="00273057" w:rsidP="00E93D49">
            <w:r>
              <w:t>0.409</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B4" w14:textId="77777777" w:rsidR="00CD5EEF" w:rsidRDefault="00273057" w:rsidP="00E93D49">
            <w:r>
              <w:t>0.530</w:t>
            </w:r>
          </w:p>
        </w:tc>
      </w:tr>
      <w:tr w:rsidR="00CD5EEF" w14:paraId="25F5ACBA"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B6" w14:textId="77777777" w:rsidR="00CD5EEF" w:rsidRDefault="00273057" w:rsidP="00E93D49">
            <w:r>
              <w:t>Commitment depth</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B7" w14:textId="77777777" w:rsidR="00CD5EEF" w:rsidRDefault="00273057" w:rsidP="00E93D49">
            <w:r>
              <w:t>47%</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B8" w14:textId="77777777" w:rsidR="00CD5EEF" w:rsidRDefault="00273057" w:rsidP="00E93D49">
            <w:r>
              <w:t>56%</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B9" w14:textId="77777777" w:rsidR="00CD5EEF" w:rsidRDefault="00273057" w:rsidP="00E93D49">
            <w:r>
              <w:t>65%</w:t>
            </w:r>
          </w:p>
        </w:tc>
      </w:tr>
      <w:tr w:rsidR="00CD5EEF" w14:paraId="25F5ACBF"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BB" w14:textId="77777777" w:rsidR="00CD5EEF" w:rsidRDefault="00273057" w:rsidP="00E93D49">
            <w:r>
              <w:t>Committed MW</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BC" w14:textId="77777777" w:rsidR="00CD5EEF" w:rsidRDefault="00273057" w:rsidP="00E93D49">
            <w:r>
              <w:t>4,600</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BD" w14:textId="77777777" w:rsidR="00CD5EEF" w:rsidRDefault="00273057" w:rsidP="00E93D49">
            <w:r>
              <w:t>5,420</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BE" w14:textId="77777777" w:rsidR="00CD5EEF" w:rsidRDefault="00273057" w:rsidP="00E93D49">
            <w:r>
              <w:t>6,340</w:t>
            </w:r>
          </w:p>
        </w:tc>
      </w:tr>
      <w:tr w:rsidR="00CD5EEF" w14:paraId="25F5ACC4"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C0" w14:textId="77777777" w:rsidR="00CD5EEF" w:rsidRDefault="00273057" w:rsidP="00E93D49">
            <w:r>
              <w:t>Accredited MW (@ 92% ELCC)</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C1" w14:textId="77777777" w:rsidR="00CD5EEF" w:rsidRDefault="00273057" w:rsidP="00E93D49">
            <w:r>
              <w:t>4,230</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C2" w14:textId="77777777" w:rsidR="00CD5EEF" w:rsidRDefault="00273057" w:rsidP="00E93D49">
            <w:r>
              <w:t>4,990</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C3" w14:textId="77777777" w:rsidR="00CD5EEF" w:rsidRDefault="00273057" w:rsidP="00E93D49">
            <w:r>
              <w:t>5,830</w:t>
            </w:r>
          </w:p>
        </w:tc>
      </w:tr>
      <w:tr w:rsidR="00CD5EEF" w14:paraId="25F5ACC9" w14:textId="7777777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C5" w14:textId="77777777" w:rsidR="00CD5EEF" w:rsidRDefault="00273057" w:rsidP="00E93D49">
            <w:r>
              <w:t>Firm service level</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C6" w14:textId="77777777" w:rsidR="00CD5EEF" w:rsidRDefault="00273057" w:rsidP="00E93D49">
            <w:r>
              <w:t>56%</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C7" w14:textId="77777777" w:rsidR="00CD5EEF" w:rsidRDefault="00273057" w:rsidP="00E93D49">
            <w:r>
              <w:t>47%</w:t>
            </w:r>
          </w:p>
        </w:tc>
        <w:tc>
          <w:tcPr>
            <w:tcW w:w="2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F5ACC8" w14:textId="77777777" w:rsidR="00CD5EEF" w:rsidRDefault="00273057" w:rsidP="00E93D49">
            <w:r>
              <w:t>37%</w:t>
            </w:r>
          </w:p>
        </w:tc>
      </w:tr>
    </w:tbl>
    <w:p w14:paraId="25F5ACCA" w14:textId="77777777" w:rsidR="00CD5EEF" w:rsidRDefault="00CD5EEF" w:rsidP="00E93D49"/>
    <w:p w14:paraId="25F5ACCB" w14:textId="77777777" w:rsidR="00CD5EEF" w:rsidRDefault="00273057" w:rsidP="00E93D49">
      <w:r>
        <w:t>Spatial migration more than doubles the credible commitment depth relative to the DVFS-only floor (25%), across all three scenarios. At central estimates, the DVFS + Spatial portfolio commits 5,570 MW—3,070 MW more than the 2,500 MW achievable through DVFS alone. The uplift ratio is 2.23×.</w:t>
      </w:r>
    </w:p>
    <w:p w14:paraId="5CD2C989" w14:textId="77777777" w:rsidR="006D064E" w:rsidRDefault="006D064E" w:rsidP="00E93D49"/>
    <w:p w14:paraId="25F5ACCC" w14:textId="0823B491" w:rsidR="00CD5EEF" w:rsidRPr="006D064E" w:rsidRDefault="00273057" w:rsidP="00E93D49">
      <w:pPr>
        <w:rPr>
          <w:b/>
          <w:bCs/>
        </w:rPr>
      </w:pPr>
      <w:r>
        <w:rPr>
          <w:b/>
          <w:bCs/>
        </w:rPr>
        <w:t>Relationship to Prior Pillar 3 Assumptions</w:t>
      </w:r>
    </w:p>
    <w:p w14:paraId="25F5ACCD" w14:textId="44F583E1" w:rsidR="00CD5EEF" w:rsidRDefault="00273057" w:rsidP="00E93D49">
      <w:r>
        <w:t>The Pillar 3 framework previously used a hardcoded effective spatial fraction of 0.51. The seven-parameter cascade, scoped to inference-dominant facilities and incorporating two loss factors not previously accounted for—execution feasibility (S2 = 0.72) and destination headroom (D2 = 0.85)—produces a central estimate of 0.390, which is below the prior 0.51.</w:t>
      </w:r>
    </w:p>
    <w:p w14:paraId="60F9C711" w14:textId="77777777" w:rsidR="006D064E" w:rsidRDefault="006D064E" w:rsidP="00E93D49"/>
    <w:p w14:paraId="25F5ACCE" w14:textId="54039E36" w:rsidR="00CD5EEF" w:rsidRDefault="00273057" w:rsidP="00E93D49">
      <w:r>
        <w:t>This means the earlier notebook’s hardcoded spatial fraction of 0.51 was optimistic relative to the cascade-derived value. The discrepancy was attributable to the prior methodology’s omission of data locality constraints (S2 Factor A) and destination absorption capacity (D2). The current notebook (v1</w:t>
      </w:r>
      <w:r w:rsidR="005168D3">
        <w:t>5</w:t>
      </w:r>
      <w:r>
        <w:t>) computes the effective spatial fraction from all seven cascade parameters and propagates uncertainty through a Monte Carlo variance decomposition. Pillar 3’s commitment depth, fleet impact, and revenue figures have been revised to reflect the cascade-derived values.</w:t>
      </w:r>
    </w:p>
    <w:p w14:paraId="411ED21A" w14:textId="77777777" w:rsidR="006D064E" w:rsidRDefault="006D064E" w:rsidP="00E93D49"/>
    <w:p w14:paraId="28F95175" w14:textId="77777777" w:rsidR="00052F4C" w:rsidRDefault="00052F4C" w:rsidP="00E93D49"/>
    <w:p w14:paraId="20B0B200" w14:textId="77777777" w:rsidR="00052F4C" w:rsidRDefault="00052F4C" w:rsidP="00E93D49"/>
    <w:p w14:paraId="25F5ACCF" w14:textId="6956C70B" w:rsidR="00CD5EEF" w:rsidRPr="006D064E" w:rsidRDefault="00273057" w:rsidP="00E93D49">
      <w:pPr>
        <w:rPr>
          <w:b/>
          <w:bCs/>
        </w:rPr>
      </w:pPr>
      <w:r>
        <w:rPr>
          <w:b/>
          <w:bCs/>
        </w:rPr>
        <w:lastRenderedPageBreak/>
        <w:t>Duration Robustness</w:t>
      </w:r>
    </w:p>
    <w:p w14:paraId="25F5ACD0" w14:textId="77777777" w:rsidR="00CD5EEF" w:rsidRDefault="00273057" w:rsidP="00E93D49">
      <w:r>
        <w:t>A critical distinction from battery-based DR: inference spatial migration is inherently indefinite-duration. The mechanism routes new requests to a different endpoint—it does not drain a finite energy reservoir. As long as the destination remains unstressed and the orchestrator is operational, migration continues. The cascade product applies per-hour and is approximately time-invariant for inference workloads.</w:t>
      </w:r>
    </w:p>
    <w:p w14:paraId="7F19EC4A" w14:textId="77777777" w:rsidR="006D064E" w:rsidRDefault="006D064E" w:rsidP="00E93D49"/>
    <w:p w14:paraId="25F5ACD1" w14:textId="566F18DE" w:rsidR="00CD5EEF" w:rsidRDefault="00273057" w:rsidP="00E93D49">
      <w:r>
        <w:t>This property means the DVFS + Spatial portfolio faces no duration-based Non-Performance Charge exposure. A BTM battery portfolio fails during hour 5 of a 17-hour event (Winter Storm Elliott duration), triggering automatic penalties. The spatial portfolio continues operating through hour 17 at the same effective depth, provided any destination remains unstressed. PJM’s DR model, which dispatches DR without an energy constraint and assumes indefinite availability, is a better fit for the spatial mechanism than for battery-based resources. The cascade’s commitment depth of 56% is therefore sustainable across the full duration of any historical dispatch event in which at least one cross-interconnection destination was available—which, per the Cross-BA analysis, is 99.0% of observed stress hours.</w:t>
      </w:r>
    </w:p>
    <w:p w14:paraId="06C59C48" w14:textId="77777777" w:rsidR="006D064E" w:rsidRDefault="006D064E" w:rsidP="00E93D49"/>
    <w:p w14:paraId="25F5ACD2" w14:textId="208AC573" w:rsidR="00CD5EEF" w:rsidRPr="006D064E" w:rsidRDefault="00273057" w:rsidP="00E93D49">
      <w:pPr>
        <w:rPr>
          <w:b/>
          <w:bCs/>
        </w:rPr>
      </w:pPr>
      <w:r>
        <w:rPr>
          <w:b/>
          <w:bCs/>
        </w:rPr>
        <w:t>Variance Decomposition</w:t>
      </w:r>
    </w:p>
    <w:p w14:paraId="25F5ACD3" w14:textId="58E27E2E" w:rsidR="00CD5EEF" w:rsidRDefault="00273057" w:rsidP="00E93D49">
      <w:r>
        <w:t>Under the seven-parameter cascade, within-scenario uncertainty concentrates in two parameters: S2 (execution feasibility) and D2 (destination headroom). S1 is fixed at 0.70 for the inference-dominant scenario and contributes no within-scenario variance. D1 has the tightest empirical grounding (derived from 35,060 hours of observed pricing data) and contributes modestly through its forward-looking range (0.90–0.96). D3, E1, and E2 have ranges of less than 1 percentage point each and contribute negligibly to total cascade variance.</w:t>
      </w:r>
    </w:p>
    <w:p w14:paraId="06F3F005" w14:textId="77777777" w:rsidR="006D064E" w:rsidRDefault="006D064E" w:rsidP="00E93D49"/>
    <w:p w14:paraId="25F5ACD4" w14:textId="429EE45F" w:rsidR="00CD5EEF" w:rsidRDefault="005867AA" w:rsidP="00E93D49">
      <w:r>
        <w:t>S2 is the dominant uncertainty driver. Its range (0.595–0.855) is wider than that of any other parameter, and within S2, Factor A (data locality, range 0.70–0.90) accounts for the majority of the spread. Factor A is also the least empirically grounded parameter in the cascade.</w:t>
      </w:r>
    </w:p>
    <w:p w14:paraId="0DC6CEC6" w14:textId="77777777" w:rsidR="006D064E" w:rsidRDefault="006D064E" w:rsidP="00E93D49"/>
    <w:p w14:paraId="25F5ACD5" w14:textId="636DFA9B" w:rsidR="00CD5EEF" w:rsidRDefault="00273057" w:rsidP="00E93D49">
      <w:r>
        <w:t>The Monte Carlo variance decomposition (N = 50,000, η² correlation ratios) confirms this concentration: S2 Factor A accounts for 67% of total cascade variance, followed by D2 at 15% and S2 Factor B at 14%. D1, D3, E1, and E2 collectively contribute less than 5%. The sum of η² ≈ 1.00, indicating negligible parameter interactions—consistent with the multiplicative independence assumption discussed in the Limitations section.</w:t>
      </w:r>
    </w:p>
    <w:p w14:paraId="0B67185D" w14:textId="77777777" w:rsidR="006D064E" w:rsidRDefault="006D064E" w:rsidP="00E93D49"/>
    <w:p w14:paraId="25F5ACD6" w14:textId="2FE6F65F" w:rsidR="00CD5EEF" w:rsidRPr="006D064E" w:rsidRDefault="00273057" w:rsidP="00E93D49">
      <w:pPr>
        <w:rPr>
          <w:b/>
          <w:bCs/>
        </w:rPr>
      </w:pPr>
      <w:r>
        <w:rPr>
          <w:b/>
          <w:bCs/>
        </w:rPr>
        <w:t xml:space="preserve">Connection to Pillar </w:t>
      </w:r>
      <w:r w:rsidR="00C8234C">
        <w:rPr>
          <w:b/>
          <w:bCs/>
        </w:rPr>
        <w:t>3</w:t>
      </w:r>
    </w:p>
    <w:p w14:paraId="25F5ACD7" w14:textId="77777777" w:rsidR="00CD5EEF" w:rsidRDefault="00273057" w:rsidP="00E93D49">
      <w:r>
        <w:t xml:space="preserve">The cascade output feeds Pillar 3 at a single interface point: the effective spatial fraction determines the DVFS + Spatial portfolio’s commitment depth, which in turn determines how </w:t>
      </w:r>
      <w:proofErr w:type="gramStart"/>
      <w:r>
        <w:t>many</w:t>
      </w:r>
      <w:proofErr w:type="gramEnd"/>
      <w:r>
        <w:t xml:space="preserve"> MW the fleet can offer into the BRA or commit under a connect-and-manage framework.</w:t>
      </w:r>
    </w:p>
    <w:p w14:paraId="61C7FDB0" w14:textId="77777777" w:rsidR="006D064E" w:rsidRDefault="006D064E" w:rsidP="00E93D49"/>
    <w:p w14:paraId="25F5ACD8" w14:textId="0D1E62FB" w:rsidR="00CD5EEF" w:rsidRDefault="00273057" w:rsidP="00E93D49">
      <w:r>
        <w:t>At central estimates, the inference-dominant facility achieves 56% commitment depth (0.409 effective spatial fraction + DVFS on the remainder). For a 10 GW data center fleet in ComEd, the fleet-wide committed MW depends on how much of the fleet is inference-dominant versus other archetypes.</w:t>
      </w:r>
    </w:p>
    <w:p w14:paraId="7EFEA0CA" w14:textId="77777777" w:rsidR="006D064E" w:rsidRDefault="006D064E" w:rsidP="00E93D49"/>
    <w:p w14:paraId="25F5ACD9" w14:textId="5D6C944B" w:rsidR="00CD5EEF" w:rsidRDefault="00273057" w:rsidP="001B3574">
      <w:pPr>
        <w:pStyle w:val="ListParagraph"/>
        <w:numPr>
          <w:ilvl w:val="0"/>
          <w:numId w:val="3"/>
        </w:numPr>
      </w:pPr>
      <w:r>
        <w:lastRenderedPageBreak/>
        <w:t>At 2025 fleet composition (~25% inference-dominant): approximately 0.25 × 56% + 0.75 × 25% = 33%, or 3,275 MW committed from a 10 GW fleet.</w:t>
      </w:r>
    </w:p>
    <w:p w14:paraId="1D805CEC" w14:textId="77777777" w:rsidR="001B3574" w:rsidRDefault="001B3574" w:rsidP="001B3574">
      <w:pPr>
        <w:pStyle w:val="ListParagraph"/>
        <w:ind w:left="720"/>
      </w:pPr>
    </w:p>
    <w:p w14:paraId="25F5ACDA" w14:textId="7965A460" w:rsidR="00CD5EEF" w:rsidRDefault="00273057" w:rsidP="001B3574">
      <w:pPr>
        <w:pStyle w:val="ListParagraph"/>
        <w:numPr>
          <w:ilvl w:val="0"/>
          <w:numId w:val="3"/>
        </w:numPr>
      </w:pPr>
      <w:r>
        <w:t>At 2030 fleet composition (~43% inference-dominant): approximately 0.43 × 56% + 0.57 × 25% = 38%, or 3,830 MW committed from a 10 GW fleet.</w:t>
      </w:r>
    </w:p>
    <w:p w14:paraId="335D28E8" w14:textId="77777777" w:rsidR="001B3574" w:rsidRDefault="001B3574" w:rsidP="00E93D49"/>
    <w:p w14:paraId="25F5ACDB" w14:textId="6079952F" w:rsidR="00CD5EEF" w:rsidRDefault="00273057" w:rsidP="00E93D49">
      <w:r>
        <w:t>These fleet-wide figures are lower than the inference-dominant facility-level result (56%) because they include training-heavy and mixed-cloud facilities that participate through DVFS only. The thesis’s analytical contribution—quantifying the spatial migration uplift—becomes more relevant over time as inference share grows.</w:t>
      </w:r>
    </w:p>
    <w:p w14:paraId="7D451E89" w14:textId="77777777" w:rsidR="001B3574" w:rsidRDefault="001B3574" w:rsidP="00E93D49"/>
    <w:p w14:paraId="25F5ACDC" w14:textId="17F7174A" w:rsidR="00CD5EEF" w:rsidRDefault="00273057" w:rsidP="00E93D49">
      <w:r>
        <w:t>Under Option B (connect-and-manage), the committed MW is removed directly from the Reliability Requirement. A 10 GW fleet at 2030 composition with 38% fleet-wide commitment depth operates at a firm service level of 62%, removing approximately 3,750 MW from the Reliability Requirement. Under Option A (DR into BRA), the same committed MW enters as supply against the existing requirement. Either way, the cascade model provides the empirical foundation for quantifying how much capacity value the fleet can credibly deliver.</w:t>
      </w:r>
    </w:p>
    <w:p w14:paraId="36502A22" w14:textId="77777777" w:rsidR="001B3574" w:rsidRDefault="001B3574" w:rsidP="00E93D49"/>
    <w:p w14:paraId="25F5ACDD" w14:textId="5FB177DC" w:rsidR="00CD5EEF" w:rsidRPr="001B3574" w:rsidRDefault="00273057" w:rsidP="00E93D49">
      <w:pPr>
        <w:rPr>
          <w:b/>
          <w:bCs/>
        </w:rPr>
      </w:pPr>
      <w:r>
        <w:rPr>
          <w:b/>
          <w:bCs/>
        </w:rPr>
        <w:t>Limitations and Boundary Conditions</w:t>
      </w:r>
    </w:p>
    <w:p w14:paraId="25F5ACDE" w14:textId="77777777" w:rsidR="00CD5EEF" w:rsidRDefault="00273057" w:rsidP="00E93D49">
      <w:r>
        <w:t>Scope limited to stateless inference. The cascade is rigorously bounded only for inference request routing. Training, fine-tuning, and stateful workloads are excluded from the spatial pathway and participate through DVFS only. This is an honest reflection of where empirical grounding exists, not an assertion that non-inference migration is impossible.</w:t>
      </w:r>
    </w:p>
    <w:p w14:paraId="4469AE1F" w14:textId="77777777" w:rsidR="001B3574" w:rsidRDefault="001B3574" w:rsidP="00E93D49"/>
    <w:p w14:paraId="25F5ACDF" w14:textId="275F969D" w:rsidR="00CD5EEF" w:rsidRDefault="005867AA" w:rsidP="006463F4">
      <w:pPr>
        <w:pStyle w:val="ListParagraph"/>
        <w:numPr>
          <w:ilvl w:val="0"/>
          <w:numId w:val="3"/>
        </w:numPr>
      </w:pPr>
      <w:r>
        <w:t>S2 Factor A (data locality) remains the primary uncertainty driver in the cascade. The fraction of inference workloads without hard geographic pinning (data residency, sovereignty) is bounded at 0.70–0.90 based on industry analysis, not production measurement. Cross-region inference is demonstrably production-ready (Amazon Bedrock, Google carbon-aware scheduling, SkyLB), but the precise prevalence of geographic constraints across the full inference workload population has not been measured. The defensible range based on current evidence is 0.70–0.85. This is an author’s estimate and the single least-grounded parameter in the seven-parameter cascade.</w:t>
      </w:r>
    </w:p>
    <w:p w14:paraId="14FAF78C" w14:textId="77777777" w:rsidR="001B3574" w:rsidRDefault="001B3574" w:rsidP="00E93D49"/>
    <w:p w14:paraId="25F5ACE0" w14:textId="51556317" w:rsidR="00CD5EEF" w:rsidRDefault="005867AA" w:rsidP="006463F4">
      <w:pPr>
        <w:pStyle w:val="ListParagraph"/>
        <w:numPr>
          <w:ilvl w:val="0"/>
          <w:numId w:val="3"/>
        </w:numPr>
      </w:pPr>
      <w:r>
        <w:t>D2 (destination headroom) is a placeholder pending empirical validation. The central value of 0.85 represents the author’s estimate of the fraction of identified unstressed destinations that can actually absorb migrated load at scale, calibrated against a 50% facility utilization assumption (LBNL 2024). Industry data on server-level utilization ranges from 12–18% in enterprise environments to 50–70% in cloud/AI environments, suggesting the 50% assumption may be conservative (implying more headroom than modeled). Sensitivity analysis across utilization rates of 20–50% yields D2 values of approximately 0.80–0.92. Thermal constraints (“stranded power” from cooling bottlenecks) and regional GPU quota limitations represent additional headroom constraints not captured in this estimate. No direct measurement of destination absorptive capacity during source stress events has been conducted.</w:t>
      </w:r>
    </w:p>
    <w:p w14:paraId="0117F3D7" w14:textId="77777777" w:rsidR="001B3574" w:rsidRDefault="001B3574" w:rsidP="00E93D49"/>
    <w:p w14:paraId="25F5ACE1" w14:textId="5290790D" w:rsidR="00CD5EEF" w:rsidRDefault="005867AA" w:rsidP="006463F4">
      <w:pPr>
        <w:pStyle w:val="ListParagraph"/>
        <w:numPr>
          <w:ilvl w:val="0"/>
          <w:numId w:val="3"/>
        </w:numPr>
      </w:pPr>
      <w:r>
        <w:lastRenderedPageBreak/>
        <w:t>D1 Cross-BA is based on historical pricing (2022–2025). Climate change may shift the frequency and geographic scope of extreme weather events. The January 2024 Arctic Blast—a continental-scale cold event that drove both all-stressed hours—may become more common. The 99.0% central availability figure should be treated as a recent-history observation, not a forward guarantee. Additionally, if spatial migration becomes widespread, destination grids absorb migrated load during source stress, which may increase destination stress and reduce the historical independence—a reflexivity concern analogous to Goodhart’s Law applied to grid stress correlations.</w:t>
      </w:r>
    </w:p>
    <w:p w14:paraId="14F526DE" w14:textId="77777777" w:rsidR="006463F4" w:rsidRDefault="006463F4" w:rsidP="00E93D49"/>
    <w:p w14:paraId="25F5ACE2" w14:textId="72F0A4F4" w:rsidR="00CD5EEF" w:rsidRDefault="00273057" w:rsidP="00E93D49">
      <w:r>
        <w:t>The orchestration layer does not exist as a commercial product. The cascade assumes a unified orchestration system that receives PJM dispatch signals and executes workload migration across sites. This capability must be built. The thesis quantifies the economic incentive to build it; it does not assume it exists.</w:t>
      </w:r>
    </w:p>
    <w:p w14:paraId="1D1CDD42" w14:textId="77777777" w:rsidR="006463F4" w:rsidRDefault="006463F4" w:rsidP="00E93D49"/>
    <w:p w14:paraId="25F5ACE3" w14:textId="47DA0BA7" w:rsidR="00CD5EEF" w:rsidRDefault="005867AA" w:rsidP="00E93D49">
      <w:r>
        <w:t>D3 and E2 are design parameters, not stochastic risks. For participating operators, hardware compatibility and WAN bandwidth are solved by construction. The conservative ranges (0.95–0.99 for D3, 0.99–1.00 for E2) account for operational imperfections but the underlying risk is implementation quality, not probabilistic failure.</w:t>
      </w:r>
    </w:p>
    <w:p w14:paraId="5ED9A269" w14:textId="77777777" w:rsidR="006463F4" w:rsidRDefault="006463F4" w:rsidP="00E93D49"/>
    <w:p w14:paraId="25F5ACE4" w14:textId="7760FD12" w:rsidR="00CD5EEF" w:rsidRDefault="00273057" w:rsidP="00E93D49">
      <w:r>
        <w:t>Connect-and-manage requires PJM rule changes. The policy pathway described in Pillar 3 (flexible interconnection for load) does not exist in PJM today. ERCOT is actively developing this framework; PJM adoption would require stakeholder process and FERC approval.</w:t>
      </w:r>
    </w:p>
    <w:p w14:paraId="35E7EB53" w14:textId="77777777" w:rsidR="006463F4" w:rsidRDefault="006463F4" w:rsidP="00E93D49"/>
    <w:p w14:paraId="25F5ACE5" w14:textId="4122C38F" w:rsidR="00CD5EEF" w:rsidRDefault="00273057" w:rsidP="00E93D49">
      <w:r>
        <w:t>The cascade assumes multiplicative independence among parameters. This approximation is reasonable for the central case but is weakest in the extreme tail. Continental-scale weather events that reduce Cross-BA availability may simultaneously elevate network failure rates (degrading S2) and shift workload composition as compute demand spikes (affecting S1). These correlations would reduce the cascade product during precisely the events that matter most for resource adequacy. The conservative scenario partially captures tail interactions by applying simultaneously pessimistic values to all parameters, but a joint-distribution model would more rigorously characterize tail behavior. This limitation is inherent to any multiplicative cascade model and is standard in reliability engineering; it does not invalidate the framework but should inform interpretation of the conservative-case results as the most relevant for resource adequacy planning.</w:t>
      </w:r>
    </w:p>
    <w:p w14:paraId="1250C6A9" w14:textId="77777777" w:rsidR="006463F4" w:rsidRDefault="006463F4" w:rsidP="00E93D49"/>
    <w:p w14:paraId="5BD14127" w14:textId="77777777" w:rsidR="008B5F01" w:rsidRDefault="008B5F01" w:rsidP="00E93D49">
      <w:pPr>
        <w:rPr>
          <w:b/>
          <w:bCs/>
          <w:sz w:val="32"/>
          <w:szCs w:val="32"/>
        </w:rPr>
      </w:pPr>
    </w:p>
    <w:p w14:paraId="4B789DCC" w14:textId="77777777" w:rsidR="008B5F01" w:rsidRDefault="008B5F01" w:rsidP="00E93D49">
      <w:pPr>
        <w:rPr>
          <w:b/>
          <w:bCs/>
          <w:sz w:val="32"/>
          <w:szCs w:val="32"/>
        </w:rPr>
      </w:pPr>
    </w:p>
    <w:p w14:paraId="5C2203B3" w14:textId="77777777" w:rsidR="008B5F01" w:rsidRDefault="008B5F01" w:rsidP="00E93D49">
      <w:pPr>
        <w:rPr>
          <w:b/>
          <w:bCs/>
          <w:sz w:val="32"/>
          <w:szCs w:val="32"/>
        </w:rPr>
      </w:pPr>
    </w:p>
    <w:p w14:paraId="0CA62657" w14:textId="77777777" w:rsidR="008B5F01" w:rsidRDefault="008B5F01" w:rsidP="00E93D49">
      <w:pPr>
        <w:rPr>
          <w:b/>
          <w:bCs/>
          <w:sz w:val="32"/>
          <w:szCs w:val="32"/>
        </w:rPr>
      </w:pPr>
    </w:p>
    <w:p w14:paraId="390D69E3" w14:textId="77777777" w:rsidR="008B5F01" w:rsidRDefault="008B5F01" w:rsidP="00E93D49">
      <w:pPr>
        <w:rPr>
          <w:b/>
          <w:bCs/>
          <w:sz w:val="32"/>
          <w:szCs w:val="32"/>
        </w:rPr>
      </w:pPr>
    </w:p>
    <w:p w14:paraId="77426E79" w14:textId="77777777" w:rsidR="008B5F01" w:rsidRDefault="008B5F01" w:rsidP="00E93D49">
      <w:pPr>
        <w:rPr>
          <w:b/>
          <w:bCs/>
          <w:sz w:val="32"/>
          <w:szCs w:val="32"/>
        </w:rPr>
      </w:pPr>
    </w:p>
    <w:p w14:paraId="53C43A8A" w14:textId="77777777" w:rsidR="008B5F01" w:rsidRDefault="008B5F01" w:rsidP="00E93D49">
      <w:pPr>
        <w:rPr>
          <w:b/>
          <w:bCs/>
          <w:sz w:val="32"/>
          <w:szCs w:val="32"/>
        </w:rPr>
      </w:pPr>
    </w:p>
    <w:p w14:paraId="5A9B53A3" w14:textId="77777777" w:rsidR="008B5F01" w:rsidRDefault="008B5F01" w:rsidP="00E93D49">
      <w:pPr>
        <w:rPr>
          <w:b/>
          <w:bCs/>
          <w:sz w:val="32"/>
          <w:szCs w:val="32"/>
        </w:rPr>
      </w:pPr>
    </w:p>
    <w:p w14:paraId="3DE03AF0" w14:textId="77777777" w:rsidR="008B5F01" w:rsidRDefault="008B5F01" w:rsidP="00E93D49">
      <w:pPr>
        <w:rPr>
          <w:b/>
          <w:bCs/>
          <w:sz w:val="32"/>
          <w:szCs w:val="32"/>
        </w:rPr>
      </w:pPr>
    </w:p>
    <w:p w14:paraId="21926B00" w14:textId="77777777" w:rsidR="008B5F01" w:rsidRDefault="008B5F01" w:rsidP="00E93D49">
      <w:pPr>
        <w:rPr>
          <w:b/>
          <w:bCs/>
          <w:sz w:val="32"/>
          <w:szCs w:val="32"/>
        </w:rPr>
      </w:pPr>
    </w:p>
    <w:p w14:paraId="25F5ACE6" w14:textId="143944FD" w:rsidR="00CD5EEF" w:rsidRPr="006463F4" w:rsidRDefault="00273057" w:rsidP="00E93D49">
      <w:pPr>
        <w:rPr>
          <w:b/>
          <w:bCs/>
          <w:sz w:val="32"/>
          <w:szCs w:val="32"/>
        </w:rPr>
      </w:pPr>
      <w:r>
        <w:rPr>
          <w:b/>
          <w:bCs/>
          <w:sz w:val="32"/>
          <w:szCs w:val="32"/>
        </w:rPr>
        <w:t>References</w:t>
      </w:r>
    </w:p>
    <w:p w14:paraId="25F5ACE7" w14:textId="77777777" w:rsidR="00CD5EEF" w:rsidRPr="006463F4" w:rsidRDefault="00273057" w:rsidP="00E93D49">
      <w:r>
        <w:rPr>
          <w:sz w:val="22"/>
          <w:szCs w:val="22"/>
        </w:rPr>
        <w:t xml:space="preserve">Colangelo, P., et al. “AI Data </w:t>
      </w:r>
      <w:proofErr w:type="spellStart"/>
      <w:r>
        <w:rPr>
          <w:sz w:val="22"/>
          <w:szCs w:val="22"/>
        </w:rPr>
        <w:t>Centres</w:t>
      </w:r>
      <w:proofErr w:type="spellEnd"/>
      <w:r>
        <w:rPr>
          <w:sz w:val="22"/>
          <w:szCs w:val="22"/>
        </w:rPr>
        <w:t xml:space="preserve"> as Grid-Interactive Assets.” Nature Energy (2025). https://doi.org/10.1038/s41560-025-01927-1.</w:t>
      </w:r>
    </w:p>
    <w:p w14:paraId="743F1EE0" w14:textId="77777777" w:rsidR="00C953EF" w:rsidRDefault="00C953EF" w:rsidP="00E93D49">
      <w:pPr>
        <w:rPr>
          <w:sz w:val="22"/>
          <w:szCs w:val="22"/>
        </w:rPr>
      </w:pPr>
    </w:p>
    <w:p w14:paraId="25F5ACE8" w14:textId="1F394CAC" w:rsidR="00CD5EEF" w:rsidRPr="006463F4" w:rsidRDefault="00273057" w:rsidP="00E93D49">
      <w:r>
        <w:rPr>
          <w:sz w:val="22"/>
          <w:szCs w:val="22"/>
        </w:rPr>
        <w:t>Cortez, E., et al. “Resource Central: Understanding and Predicting Workloads for Improved Resource Management in Large Cloud Platforms.” SOSP, 2017.</w:t>
      </w:r>
    </w:p>
    <w:p w14:paraId="21D8A217" w14:textId="77777777" w:rsidR="00C953EF" w:rsidRDefault="00C953EF" w:rsidP="00E93D49">
      <w:pPr>
        <w:rPr>
          <w:sz w:val="22"/>
          <w:szCs w:val="22"/>
        </w:rPr>
      </w:pPr>
    </w:p>
    <w:p w14:paraId="25F5ACE9" w14:textId="349060A6" w:rsidR="00CD5EEF" w:rsidRPr="006463F4" w:rsidRDefault="00273057" w:rsidP="00E93D49">
      <w:r>
        <w:rPr>
          <w:sz w:val="22"/>
          <w:szCs w:val="22"/>
        </w:rPr>
        <w:t xml:space="preserve">Dubey, A., et al. “The Llama 3 Herd of Models.” </w:t>
      </w:r>
      <w:proofErr w:type="spellStart"/>
      <w:r>
        <w:rPr>
          <w:sz w:val="22"/>
          <w:szCs w:val="22"/>
        </w:rPr>
        <w:t>arXiv</w:t>
      </w:r>
      <w:proofErr w:type="spellEnd"/>
      <w:r>
        <w:rPr>
          <w:sz w:val="22"/>
          <w:szCs w:val="22"/>
        </w:rPr>
        <w:t xml:space="preserve"> preprint, 2024.</w:t>
      </w:r>
    </w:p>
    <w:p w14:paraId="047F41EC" w14:textId="77777777" w:rsidR="008E2B4C" w:rsidRDefault="008E2B4C" w:rsidP="00E93D49">
      <w:pPr>
        <w:rPr>
          <w:sz w:val="22"/>
          <w:szCs w:val="22"/>
        </w:rPr>
      </w:pPr>
    </w:p>
    <w:p w14:paraId="25F5ACEA" w14:textId="6CF4C039" w:rsidR="00CD5EEF" w:rsidRPr="006463F4" w:rsidRDefault="00273057" w:rsidP="00E93D49">
      <w:r>
        <w:rPr>
          <w:sz w:val="22"/>
          <w:szCs w:val="22"/>
        </w:rPr>
        <w:t>Govindan, R., et al. “Evolve or Die: High-Availability Design Principles Drawn from Google’s Network Infrastructure.” ACM SIGCOMM, 2016.</w:t>
      </w:r>
    </w:p>
    <w:p w14:paraId="17EC9FCF" w14:textId="77777777" w:rsidR="008E2B4C" w:rsidRDefault="008E2B4C" w:rsidP="00E93D49">
      <w:pPr>
        <w:rPr>
          <w:sz w:val="22"/>
          <w:szCs w:val="22"/>
        </w:rPr>
      </w:pPr>
    </w:p>
    <w:p w14:paraId="25F5ACEB" w14:textId="2110ADEA" w:rsidR="00CD5EEF" w:rsidRPr="006463F4" w:rsidRDefault="00273057" w:rsidP="00E93D49">
      <w:r>
        <w:rPr>
          <w:sz w:val="22"/>
          <w:szCs w:val="22"/>
        </w:rPr>
        <w:t xml:space="preserve">Jain, S., et al. “B4: Experience with a </w:t>
      </w:r>
      <w:proofErr w:type="gramStart"/>
      <w:r>
        <w:rPr>
          <w:sz w:val="22"/>
          <w:szCs w:val="22"/>
        </w:rPr>
        <w:t>Globally-Deployed</w:t>
      </w:r>
      <w:proofErr w:type="gramEnd"/>
      <w:r>
        <w:rPr>
          <w:sz w:val="22"/>
          <w:szCs w:val="22"/>
        </w:rPr>
        <w:t xml:space="preserve"> Software Defined WAN.” ACM SIGCOMM, 2013.</w:t>
      </w:r>
    </w:p>
    <w:p w14:paraId="14EB91D9" w14:textId="77777777" w:rsidR="008E2B4C" w:rsidRDefault="008E2B4C" w:rsidP="00E93D49">
      <w:pPr>
        <w:rPr>
          <w:sz w:val="22"/>
          <w:szCs w:val="22"/>
        </w:rPr>
      </w:pPr>
    </w:p>
    <w:p w14:paraId="25F5ACEC" w14:textId="6BBB8BB5" w:rsidR="00CD5EEF" w:rsidRPr="006463F4" w:rsidRDefault="00273057" w:rsidP="00E93D49">
      <w:proofErr w:type="spellStart"/>
      <w:r>
        <w:rPr>
          <w:sz w:val="22"/>
          <w:szCs w:val="22"/>
        </w:rPr>
        <w:t>Kakolyris</w:t>
      </w:r>
      <w:proofErr w:type="spellEnd"/>
      <w:r>
        <w:rPr>
          <w:sz w:val="22"/>
          <w:szCs w:val="22"/>
        </w:rPr>
        <w:t>, A., et al. “Iteration-Level GPU DVFS for Energy-Efficient LLM Inference.” IEEE Computer Architecture Letters, 2024.</w:t>
      </w:r>
    </w:p>
    <w:p w14:paraId="36D7D95F" w14:textId="77777777" w:rsidR="008E2B4C" w:rsidRDefault="008E2B4C" w:rsidP="00E93D49">
      <w:pPr>
        <w:rPr>
          <w:sz w:val="22"/>
          <w:szCs w:val="22"/>
        </w:rPr>
      </w:pPr>
    </w:p>
    <w:p w14:paraId="25F5ACED" w14:textId="2C46E54F" w:rsidR="00CD5EEF" w:rsidRPr="006463F4" w:rsidRDefault="00273057" w:rsidP="00E93D49">
      <w:r>
        <w:rPr>
          <w:sz w:val="22"/>
          <w:szCs w:val="22"/>
        </w:rPr>
        <w:t>McKinsey &amp; Company. Data Center Demand Model. December 2025.</w:t>
      </w:r>
    </w:p>
    <w:p w14:paraId="4AD26E25" w14:textId="77777777" w:rsidR="008E2B4C" w:rsidRDefault="008E2B4C" w:rsidP="00E93D49">
      <w:pPr>
        <w:rPr>
          <w:sz w:val="22"/>
          <w:szCs w:val="22"/>
        </w:rPr>
      </w:pPr>
    </w:p>
    <w:p w14:paraId="25F5ACEE" w14:textId="11BAEAE8" w:rsidR="00CD5EEF" w:rsidRPr="006463F4" w:rsidRDefault="00273057" w:rsidP="00E93D49">
      <w:r>
        <w:rPr>
          <w:sz w:val="22"/>
          <w:szCs w:val="22"/>
        </w:rPr>
        <w:t>Deloitte. “Data Centers and the Grid.” November 2025.</w:t>
      </w:r>
    </w:p>
    <w:p w14:paraId="56164324" w14:textId="77777777" w:rsidR="008E2B4C" w:rsidRDefault="008E2B4C" w:rsidP="00E93D49">
      <w:pPr>
        <w:rPr>
          <w:sz w:val="22"/>
          <w:szCs w:val="22"/>
        </w:rPr>
      </w:pPr>
    </w:p>
    <w:p w14:paraId="25F5ACEF" w14:textId="05D84D33" w:rsidR="00CD5EEF" w:rsidRPr="006463F4" w:rsidRDefault="00273057" w:rsidP="00E93D49">
      <w:r>
        <w:rPr>
          <w:sz w:val="22"/>
          <w:szCs w:val="22"/>
        </w:rPr>
        <w:t>Patel, T., et al. “Characterizing Power Management Opportunities for LLMs in the Cloud.” ASPLOS, 2024.</w:t>
      </w:r>
    </w:p>
    <w:p w14:paraId="2B045DE3" w14:textId="77777777" w:rsidR="008E2B4C" w:rsidRDefault="008E2B4C" w:rsidP="00E93D49">
      <w:pPr>
        <w:rPr>
          <w:sz w:val="22"/>
          <w:szCs w:val="22"/>
        </w:rPr>
      </w:pPr>
    </w:p>
    <w:p w14:paraId="25F5ACF0" w14:textId="2F1A9CF6" w:rsidR="00CD5EEF" w:rsidRPr="006463F4" w:rsidRDefault="00273057" w:rsidP="00E93D49">
      <w:r>
        <w:rPr>
          <w:sz w:val="22"/>
          <w:szCs w:val="22"/>
        </w:rPr>
        <w:t>Patel, P., et al. “</w:t>
      </w:r>
      <w:proofErr w:type="spellStart"/>
      <w:r>
        <w:rPr>
          <w:sz w:val="22"/>
          <w:szCs w:val="22"/>
        </w:rPr>
        <w:t>Splitwise</w:t>
      </w:r>
      <w:proofErr w:type="spellEnd"/>
      <w:r>
        <w:rPr>
          <w:sz w:val="22"/>
          <w:szCs w:val="22"/>
        </w:rPr>
        <w:t>: Efficient Generative LLM Inference Using Phase Splitting.” ISCA, 2024.</w:t>
      </w:r>
    </w:p>
    <w:p w14:paraId="51883440" w14:textId="77777777" w:rsidR="008E2B4C" w:rsidRDefault="008E2B4C" w:rsidP="00E93D49">
      <w:pPr>
        <w:rPr>
          <w:sz w:val="22"/>
          <w:szCs w:val="22"/>
        </w:rPr>
      </w:pPr>
    </w:p>
    <w:p w14:paraId="25F5ACF1" w14:textId="6192A31B" w:rsidR="00CD5EEF" w:rsidRPr="006463F4" w:rsidRDefault="00273057" w:rsidP="00E93D49">
      <w:proofErr w:type="spellStart"/>
      <w:r>
        <w:rPr>
          <w:sz w:val="22"/>
          <w:szCs w:val="22"/>
        </w:rPr>
        <w:t>SageServe</w:t>
      </w:r>
      <w:proofErr w:type="spellEnd"/>
      <w:r>
        <w:rPr>
          <w:sz w:val="22"/>
          <w:szCs w:val="22"/>
        </w:rPr>
        <w:t>. “Efficient LLM Serving with Workload-Aware Scheduling.” Microsoft Research, 2025.</w:t>
      </w:r>
    </w:p>
    <w:p w14:paraId="36C6E3D1" w14:textId="77777777" w:rsidR="001A1C80" w:rsidRDefault="001A1C80" w:rsidP="00E93D49">
      <w:pPr>
        <w:rPr>
          <w:sz w:val="22"/>
          <w:szCs w:val="22"/>
        </w:rPr>
      </w:pPr>
    </w:p>
    <w:p w14:paraId="25F5ACF2" w14:textId="1408F5B5" w:rsidR="00CD5EEF" w:rsidRPr="006463F4" w:rsidRDefault="00273057" w:rsidP="00E93D49">
      <w:r>
        <w:rPr>
          <w:sz w:val="22"/>
          <w:szCs w:val="22"/>
        </w:rPr>
        <w:t>Stojkovic, J., et al. “</w:t>
      </w:r>
      <w:proofErr w:type="spellStart"/>
      <w:r>
        <w:rPr>
          <w:sz w:val="22"/>
          <w:szCs w:val="22"/>
        </w:rPr>
        <w:t>DynamoLLM</w:t>
      </w:r>
      <w:proofErr w:type="spellEnd"/>
      <w:r>
        <w:rPr>
          <w:sz w:val="22"/>
          <w:szCs w:val="22"/>
        </w:rPr>
        <w:t>: Designing LLM Inference Clusters for Performance and Energy Efficiency.” HPCA, 2025.</w:t>
      </w:r>
    </w:p>
    <w:p w14:paraId="3ADBC775" w14:textId="77777777" w:rsidR="001A1C80" w:rsidRDefault="001A1C80" w:rsidP="00E93D49">
      <w:pPr>
        <w:rPr>
          <w:sz w:val="22"/>
          <w:szCs w:val="22"/>
        </w:rPr>
      </w:pPr>
    </w:p>
    <w:p w14:paraId="25F5ACF3" w14:textId="071E9236" w:rsidR="00CD5EEF" w:rsidRPr="006463F4" w:rsidRDefault="00273057" w:rsidP="00E93D49">
      <w:proofErr w:type="spellStart"/>
      <w:r>
        <w:rPr>
          <w:sz w:val="22"/>
          <w:szCs w:val="22"/>
        </w:rPr>
        <w:t>Tirmazi</w:t>
      </w:r>
      <w:proofErr w:type="spellEnd"/>
      <w:r>
        <w:rPr>
          <w:sz w:val="22"/>
          <w:szCs w:val="22"/>
        </w:rPr>
        <w:t xml:space="preserve">, M., et al. “Borg: The Next Generation.” </w:t>
      </w:r>
      <w:proofErr w:type="spellStart"/>
      <w:r>
        <w:rPr>
          <w:sz w:val="22"/>
          <w:szCs w:val="22"/>
        </w:rPr>
        <w:t>EuroSys</w:t>
      </w:r>
      <w:proofErr w:type="spellEnd"/>
      <w:r>
        <w:rPr>
          <w:sz w:val="22"/>
          <w:szCs w:val="22"/>
        </w:rPr>
        <w:t>, 2020.</w:t>
      </w:r>
    </w:p>
    <w:p w14:paraId="679A4C9D" w14:textId="77777777" w:rsidR="001A1C80" w:rsidRDefault="001A1C80" w:rsidP="00E93D49">
      <w:pPr>
        <w:rPr>
          <w:sz w:val="22"/>
          <w:szCs w:val="22"/>
        </w:rPr>
      </w:pPr>
    </w:p>
    <w:p w14:paraId="25F5ACF4" w14:textId="1C7FA2EE" w:rsidR="00CD5EEF" w:rsidRPr="006463F4" w:rsidRDefault="00273057" w:rsidP="00E93D49">
      <w:r>
        <w:rPr>
          <w:sz w:val="22"/>
          <w:szCs w:val="22"/>
        </w:rPr>
        <w:t xml:space="preserve">Verma, A., et al. “Large-Scale Cluster Management at Google with Borg.” </w:t>
      </w:r>
      <w:proofErr w:type="spellStart"/>
      <w:r>
        <w:rPr>
          <w:sz w:val="22"/>
          <w:szCs w:val="22"/>
        </w:rPr>
        <w:t>EuroSys</w:t>
      </w:r>
      <w:proofErr w:type="spellEnd"/>
      <w:r>
        <w:rPr>
          <w:sz w:val="22"/>
          <w:szCs w:val="22"/>
        </w:rPr>
        <w:t>, 2015.</w:t>
      </w:r>
    </w:p>
    <w:p w14:paraId="5930D222" w14:textId="77777777" w:rsidR="001A1C80" w:rsidRDefault="001A1C80" w:rsidP="00E93D49">
      <w:pPr>
        <w:rPr>
          <w:sz w:val="22"/>
          <w:szCs w:val="22"/>
        </w:rPr>
      </w:pPr>
    </w:p>
    <w:p w14:paraId="25F5ACF5" w14:textId="257A202B" w:rsidR="00CD5EEF" w:rsidRPr="006463F4" w:rsidRDefault="00273057" w:rsidP="00E93D49">
      <w:r>
        <w:rPr>
          <w:sz w:val="22"/>
          <w:szCs w:val="22"/>
        </w:rPr>
        <w:t>Zhang, C., and Chien, A. “Flexibility-Aware Scheduling on High-Performance Clusters.” JSSPP, 2021.</w:t>
      </w:r>
    </w:p>
    <w:p w14:paraId="5D25BB7A" w14:textId="77777777" w:rsidR="001A1C80" w:rsidRDefault="001A1C80" w:rsidP="00E93D49">
      <w:pPr>
        <w:rPr>
          <w:sz w:val="22"/>
          <w:szCs w:val="22"/>
        </w:rPr>
      </w:pPr>
    </w:p>
    <w:p w14:paraId="25F5ACF6" w14:textId="40FA4B40" w:rsidR="00CD5EEF" w:rsidRPr="006463F4" w:rsidRDefault="00273057" w:rsidP="00E93D49">
      <w:r>
        <w:rPr>
          <w:sz w:val="22"/>
          <w:szCs w:val="22"/>
        </w:rPr>
        <w:t>Zhang, C. “Flexible HPC: Workload Scheduling for Carbon and Grid-Aware Computing.” PhD Dissertation, University of Chicago, 2022.</w:t>
      </w:r>
    </w:p>
    <w:p w14:paraId="1964A951" w14:textId="77777777" w:rsidR="001A1C80" w:rsidRDefault="001A1C80" w:rsidP="00E93D49">
      <w:pPr>
        <w:rPr>
          <w:sz w:val="22"/>
          <w:szCs w:val="22"/>
        </w:rPr>
      </w:pPr>
    </w:p>
    <w:p w14:paraId="25F5ACF7" w14:textId="0B962060" w:rsidR="00CD5EEF" w:rsidRPr="006463F4" w:rsidRDefault="00273057" w:rsidP="00E93D49">
      <w:r>
        <w:rPr>
          <w:sz w:val="22"/>
          <w:szCs w:val="22"/>
        </w:rPr>
        <w:t>Bain &amp; Company. “Inference is Now the Center of Gravity.” 2025.</w:t>
      </w:r>
    </w:p>
    <w:p w14:paraId="7BD2328F" w14:textId="77777777" w:rsidR="001A1C80" w:rsidRDefault="001A1C80" w:rsidP="00E93D49">
      <w:pPr>
        <w:rPr>
          <w:sz w:val="22"/>
          <w:szCs w:val="22"/>
        </w:rPr>
      </w:pPr>
    </w:p>
    <w:p w14:paraId="25F5ACF8" w14:textId="45C042DF" w:rsidR="00CD5EEF" w:rsidRPr="006463F4" w:rsidRDefault="00273057" w:rsidP="00E93D49">
      <w:r>
        <w:rPr>
          <w:sz w:val="22"/>
          <w:szCs w:val="22"/>
        </w:rPr>
        <w:t>DOE. Data Center Energy Roundtable. August 2024.</w:t>
      </w:r>
    </w:p>
    <w:p w14:paraId="47D9021E" w14:textId="77777777" w:rsidR="001A1C80" w:rsidRDefault="001A1C80" w:rsidP="00E93D49">
      <w:pPr>
        <w:rPr>
          <w:sz w:val="22"/>
          <w:szCs w:val="22"/>
        </w:rPr>
      </w:pPr>
    </w:p>
    <w:p w14:paraId="25F5ACF9" w14:textId="49EA9814" w:rsidR="00CD5EEF" w:rsidRPr="006463F4" w:rsidRDefault="00273057" w:rsidP="00E93D49">
      <w:r>
        <w:rPr>
          <w:sz w:val="22"/>
          <w:szCs w:val="22"/>
        </w:rPr>
        <w:t>NVIDIA. CUDA Compatibility Documentation. https://docs.nvidia.com/deploy/cuda-compatibility/</w:t>
      </w:r>
    </w:p>
    <w:p w14:paraId="24062FF1" w14:textId="77777777" w:rsidR="001A1C80" w:rsidRDefault="001A1C80" w:rsidP="00E93D49">
      <w:pPr>
        <w:rPr>
          <w:sz w:val="22"/>
          <w:szCs w:val="22"/>
        </w:rPr>
      </w:pPr>
    </w:p>
    <w:p w14:paraId="25F5ACFA" w14:textId="29A7C0D0" w:rsidR="00CD5EEF" w:rsidRPr="006463F4" w:rsidRDefault="00273057" w:rsidP="00E93D49">
      <w:r>
        <w:rPr>
          <w:sz w:val="22"/>
          <w:szCs w:val="22"/>
        </w:rPr>
        <w:lastRenderedPageBreak/>
        <w:t>AWS. Elastic Load Balancing Service Level Agreement.</w:t>
      </w:r>
      <w:r w:rsidR="001A1C80">
        <w:rPr>
          <w:sz w:val="22"/>
          <w:szCs w:val="22"/>
        </w:rPr>
        <w:t xml:space="preserve"> </w:t>
      </w:r>
      <w:r>
        <w:rPr>
          <w:sz w:val="22"/>
          <w:szCs w:val="22"/>
        </w:rPr>
        <w:t>https://aws.amazon.com/elasticloadbalancing/sla/</w:t>
      </w:r>
    </w:p>
    <w:p w14:paraId="25F5ACFB" w14:textId="77777777" w:rsidR="00CD5EEF" w:rsidRPr="006463F4" w:rsidRDefault="00273057" w:rsidP="00E93D49">
      <w:r>
        <w:rPr>
          <w:sz w:val="22"/>
          <w:szCs w:val="22"/>
        </w:rPr>
        <w:t>Microsoft Azure. SLA for Load Balancer. https://azure.microsoft.com/en-us/support/legal/sla/load-balancer/</w:t>
      </w:r>
    </w:p>
    <w:p w14:paraId="5008D531" w14:textId="77777777" w:rsidR="001A1C80" w:rsidRDefault="001A1C80" w:rsidP="00E93D49">
      <w:pPr>
        <w:rPr>
          <w:sz w:val="22"/>
          <w:szCs w:val="22"/>
        </w:rPr>
      </w:pPr>
    </w:p>
    <w:p w14:paraId="31B2C301" w14:textId="239CC39B" w:rsidR="00CD5EEF" w:rsidRPr="006463F4" w:rsidRDefault="00273057" w:rsidP="00E93D49">
      <w:r>
        <w:rPr>
          <w:sz w:val="22"/>
          <w:szCs w:val="22"/>
        </w:rPr>
        <w:t>LBNL. “2024 United States Data Center Energy Usage Report.” Lawrence Berkeley National Laboratory, 2024.</w:t>
      </w:r>
    </w:p>
    <w:p w14:paraId="3B3309BF" w14:textId="77777777" w:rsidR="001A1C80" w:rsidRDefault="001A1C80" w:rsidP="00E93D49">
      <w:pPr>
        <w:rPr>
          <w:sz w:val="22"/>
          <w:szCs w:val="22"/>
        </w:rPr>
      </w:pPr>
    </w:p>
    <w:p w14:paraId="31B2C302" w14:textId="7DE7A85E" w:rsidR="00CD5EEF" w:rsidRPr="006463F4" w:rsidRDefault="00273057" w:rsidP="00E93D49">
      <w:r>
        <w:rPr>
          <w:sz w:val="22"/>
          <w:szCs w:val="22"/>
        </w:rPr>
        <w:t>NERC. “2025–2026 Winter Reliability Assessment.” North American Electric Reliability Corporation, 2025.</w:t>
      </w:r>
    </w:p>
    <w:p w14:paraId="7FE2139A" w14:textId="77777777" w:rsidR="001A1C80" w:rsidRDefault="001A1C80" w:rsidP="00E93D49">
      <w:pPr>
        <w:rPr>
          <w:sz w:val="22"/>
          <w:szCs w:val="22"/>
        </w:rPr>
      </w:pPr>
    </w:p>
    <w:p w14:paraId="31B2C303" w14:textId="3009B7EF" w:rsidR="00CD5EEF" w:rsidRPr="006463F4" w:rsidRDefault="00273057" w:rsidP="00E93D49">
      <w:r>
        <w:rPr>
          <w:sz w:val="22"/>
          <w:szCs w:val="22"/>
        </w:rPr>
        <w:t>NERC. “2024–2025 Winter Reliability Assessment.” North American Electric Reliability Corporation, 2024.</w:t>
      </w:r>
    </w:p>
    <w:p w14:paraId="4FBEF1C6" w14:textId="77777777" w:rsidR="001A1C80" w:rsidRDefault="001A1C80" w:rsidP="00E93D49">
      <w:pPr>
        <w:rPr>
          <w:sz w:val="22"/>
          <w:szCs w:val="22"/>
        </w:rPr>
      </w:pPr>
    </w:p>
    <w:p w14:paraId="31B2C304" w14:textId="1F16FB99" w:rsidR="00CD5EEF" w:rsidRPr="006463F4" w:rsidRDefault="00273057" w:rsidP="00E93D49">
      <w:r>
        <w:rPr>
          <w:sz w:val="22"/>
          <w:szCs w:val="22"/>
        </w:rPr>
        <w:t>SkyLB. “Locality-Aware Cross-Region Load Balancer for LLM Inference.” arXiv:2505.24095, 2025.</w:t>
      </w:r>
    </w:p>
    <w:p w14:paraId="30381E73" w14:textId="77777777" w:rsidR="001A1C80" w:rsidRDefault="001A1C80" w:rsidP="00E93D49">
      <w:pPr>
        <w:rPr>
          <w:sz w:val="22"/>
          <w:szCs w:val="22"/>
        </w:rPr>
      </w:pPr>
    </w:p>
    <w:p w14:paraId="31B2C305" w14:textId="6B4E26EC" w:rsidR="00CD5EEF" w:rsidRPr="006463F4" w:rsidRDefault="00273057" w:rsidP="00E93D49">
      <w:r>
        <w:rPr>
          <w:sz w:val="22"/>
          <w:szCs w:val="22"/>
        </w:rPr>
        <w:t xml:space="preserve">NVIDIA. </w:t>
      </w:r>
      <w:proofErr w:type="spellStart"/>
      <w:r>
        <w:rPr>
          <w:sz w:val="22"/>
          <w:szCs w:val="22"/>
        </w:rPr>
        <w:t>TensorRT</w:t>
      </w:r>
      <w:proofErr w:type="spellEnd"/>
      <w:r>
        <w:rPr>
          <w:sz w:val="22"/>
          <w:szCs w:val="22"/>
        </w:rPr>
        <w:t>-LLM Support Matrix. https://nvidia.github.io/TensorRT-LLM/reference/support-matrix.html</w:t>
      </w:r>
    </w:p>
    <w:p w14:paraId="18EFA7DE" w14:textId="77777777" w:rsidR="001A1C80" w:rsidRDefault="001A1C80" w:rsidP="00E93D49">
      <w:pPr>
        <w:rPr>
          <w:sz w:val="22"/>
          <w:szCs w:val="22"/>
        </w:rPr>
      </w:pPr>
    </w:p>
    <w:p w14:paraId="31B2C306" w14:textId="73F4FF36" w:rsidR="00CD5EEF" w:rsidRPr="006463F4" w:rsidRDefault="00273057" w:rsidP="00E93D49">
      <w:r>
        <w:rPr>
          <w:sz w:val="22"/>
          <w:szCs w:val="22"/>
        </w:rPr>
        <w:t>NVIDIA. CUDA Forward Compatibility Documentation. https://docs.nvidia.com/deploy/cuda-compatibility/forward-compatibility.html</w:t>
      </w:r>
    </w:p>
    <w:p w14:paraId="68185F28" w14:textId="77777777" w:rsidR="001A1C80" w:rsidRDefault="001A1C80" w:rsidP="00E93D49">
      <w:pPr>
        <w:rPr>
          <w:sz w:val="22"/>
          <w:szCs w:val="22"/>
        </w:rPr>
      </w:pPr>
    </w:p>
    <w:p w14:paraId="31B2C307" w14:textId="3D079CD5" w:rsidR="00CD5EEF" w:rsidRPr="006463F4" w:rsidRDefault="00273057" w:rsidP="00E93D49">
      <w:r>
        <w:rPr>
          <w:sz w:val="22"/>
          <w:szCs w:val="22"/>
        </w:rPr>
        <w:t>PJM. Manual 13: Emergency Operations, Revision 97. https://www.pjm.com/-/media/DotCom/documents/manuals/m13.pdf</w:t>
      </w:r>
    </w:p>
    <w:p w14:paraId="5D1A1A31" w14:textId="77777777" w:rsidR="001A1C80" w:rsidRDefault="001A1C80" w:rsidP="00E93D49">
      <w:pPr>
        <w:rPr>
          <w:sz w:val="22"/>
          <w:szCs w:val="22"/>
        </w:rPr>
      </w:pPr>
    </w:p>
    <w:p w14:paraId="31B2C308" w14:textId="0A078230" w:rsidR="00CD5EEF" w:rsidRPr="006463F4" w:rsidRDefault="00273057" w:rsidP="00E93D49">
      <w:proofErr w:type="spellStart"/>
      <w:r>
        <w:rPr>
          <w:sz w:val="22"/>
          <w:szCs w:val="22"/>
        </w:rPr>
        <w:t>DataCenterDynamics</w:t>
      </w:r>
      <w:proofErr w:type="spellEnd"/>
      <w:r>
        <w:rPr>
          <w:sz w:val="22"/>
          <w:szCs w:val="22"/>
        </w:rPr>
        <w:t>. “The Powered and the Permitted.” 2025. https://www.datacenterdynamics.com/en/opinions/the-powered-and-the-permitted/</w:t>
      </w:r>
    </w:p>
    <w:p w14:paraId="376B857D" w14:textId="77777777" w:rsidR="001A1C80" w:rsidRDefault="001A1C80" w:rsidP="00E93D49">
      <w:pPr>
        <w:rPr>
          <w:sz w:val="22"/>
          <w:szCs w:val="22"/>
        </w:rPr>
      </w:pPr>
    </w:p>
    <w:p w14:paraId="31B2C309" w14:textId="4D6BB0D4" w:rsidR="00CD5EEF" w:rsidRPr="006463F4" w:rsidRDefault="00273057" w:rsidP="00E93D49">
      <w:r>
        <w:rPr>
          <w:sz w:val="22"/>
          <w:szCs w:val="22"/>
        </w:rPr>
        <w:t>Uptime Institute. “2025 AI Infrastructure Survey.” 2025.</w:t>
      </w:r>
    </w:p>
    <w:p w14:paraId="45C2B17D" w14:textId="77777777" w:rsidR="001A1C80" w:rsidRDefault="001A1C80" w:rsidP="00E93D49">
      <w:pPr>
        <w:rPr>
          <w:sz w:val="22"/>
          <w:szCs w:val="22"/>
        </w:rPr>
      </w:pPr>
    </w:p>
    <w:p w14:paraId="31B2C30A" w14:textId="32ECE966" w:rsidR="00CD5EEF" w:rsidRPr="006463F4" w:rsidRDefault="00273057" w:rsidP="00E93D49">
      <w:r>
        <w:rPr>
          <w:sz w:val="22"/>
          <w:szCs w:val="22"/>
        </w:rPr>
        <w:t>EIA/DOE. “Electric Interconnections and Balancing Authorities.” https://www.eia.gov/todayinenergy/detail.php?id=27152</w:t>
      </w:r>
    </w:p>
    <w:p w14:paraId="39F4E35E" w14:textId="77777777" w:rsidR="001A1C80" w:rsidRDefault="001A1C80" w:rsidP="00E93D49">
      <w:pPr>
        <w:rPr>
          <w:sz w:val="22"/>
          <w:szCs w:val="22"/>
        </w:rPr>
      </w:pPr>
    </w:p>
    <w:p w14:paraId="31B2C30B" w14:textId="591FF488" w:rsidR="00CD5EEF" w:rsidRPr="006463F4" w:rsidRDefault="00273057" w:rsidP="00E93D49">
      <w:r>
        <w:rPr>
          <w:sz w:val="22"/>
          <w:szCs w:val="22"/>
        </w:rPr>
        <w:t xml:space="preserve">NVIDIA. “Reducing Cold Start Latency for LLM Inference with NVIDIA </w:t>
      </w:r>
      <w:proofErr w:type="spellStart"/>
      <w:r>
        <w:rPr>
          <w:sz w:val="22"/>
          <w:szCs w:val="22"/>
        </w:rPr>
        <w:t>Run:ai</w:t>
      </w:r>
      <w:proofErr w:type="spellEnd"/>
      <w:r>
        <w:rPr>
          <w:sz w:val="22"/>
          <w:szCs w:val="22"/>
        </w:rPr>
        <w:t xml:space="preserve"> Model Streamer.” 2025.</w:t>
      </w:r>
    </w:p>
    <w:sectPr w:rsidR="00CD5EEF" w:rsidRPr="006463F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54EFD" w14:textId="77777777" w:rsidR="00027487" w:rsidRDefault="00027487">
      <w:r>
        <w:separator/>
      </w:r>
    </w:p>
  </w:endnote>
  <w:endnote w:type="continuationSeparator" w:id="0">
    <w:p w14:paraId="425360AB" w14:textId="77777777" w:rsidR="00027487" w:rsidRDefault="00027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ACFD" w14:textId="7C928C3C" w:rsidR="00CD5EEF" w:rsidRDefault="00CD5EE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78CEF" w14:textId="77777777" w:rsidR="00027487" w:rsidRDefault="00027487">
      <w:r>
        <w:separator/>
      </w:r>
    </w:p>
  </w:footnote>
  <w:footnote w:type="continuationSeparator" w:id="0">
    <w:p w14:paraId="38ABE3B4" w14:textId="77777777" w:rsidR="00027487" w:rsidRDefault="000274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ACFC" w14:textId="01F7BA67" w:rsidR="00CD5EEF" w:rsidRDefault="00CD5EE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83E39"/>
    <w:multiLevelType w:val="hybridMultilevel"/>
    <w:tmpl w:val="94309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9B6DFE"/>
    <w:multiLevelType w:val="hybridMultilevel"/>
    <w:tmpl w:val="4DE2250E"/>
    <w:lvl w:ilvl="0" w:tplc="42762A7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C06EB1"/>
    <w:multiLevelType w:val="hybridMultilevel"/>
    <w:tmpl w:val="7120527C"/>
    <w:lvl w:ilvl="0" w:tplc="D2AA7A18">
      <w:start w:val="1"/>
      <w:numFmt w:val="bullet"/>
      <w:lvlText w:val="●"/>
      <w:lvlJc w:val="left"/>
      <w:pPr>
        <w:ind w:left="720" w:hanging="360"/>
      </w:pPr>
    </w:lvl>
    <w:lvl w:ilvl="1" w:tplc="63402E52">
      <w:start w:val="1"/>
      <w:numFmt w:val="bullet"/>
      <w:lvlText w:val="○"/>
      <w:lvlJc w:val="left"/>
      <w:pPr>
        <w:ind w:left="1440" w:hanging="360"/>
      </w:pPr>
    </w:lvl>
    <w:lvl w:ilvl="2" w:tplc="59A0CAEA">
      <w:start w:val="1"/>
      <w:numFmt w:val="bullet"/>
      <w:lvlText w:val="■"/>
      <w:lvlJc w:val="left"/>
      <w:pPr>
        <w:ind w:left="2160" w:hanging="360"/>
      </w:pPr>
    </w:lvl>
    <w:lvl w:ilvl="3" w:tplc="19B21A70">
      <w:start w:val="1"/>
      <w:numFmt w:val="bullet"/>
      <w:lvlText w:val="●"/>
      <w:lvlJc w:val="left"/>
      <w:pPr>
        <w:ind w:left="2880" w:hanging="360"/>
      </w:pPr>
    </w:lvl>
    <w:lvl w:ilvl="4" w:tplc="8EA843D4">
      <w:start w:val="1"/>
      <w:numFmt w:val="bullet"/>
      <w:lvlText w:val="○"/>
      <w:lvlJc w:val="left"/>
      <w:pPr>
        <w:ind w:left="3600" w:hanging="360"/>
      </w:pPr>
    </w:lvl>
    <w:lvl w:ilvl="5" w:tplc="A4C48A24">
      <w:start w:val="1"/>
      <w:numFmt w:val="bullet"/>
      <w:lvlText w:val="■"/>
      <w:lvlJc w:val="left"/>
      <w:pPr>
        <w:ind w:left="4320" w:hanging="360"/>
      </w:pPr>
    </w:lvl>
    <w:lvl w:ilvl="6" w:tplc="30A22A9C">
      <w:start w:val="1"/>
      <w:numFmt w:val="bullet"/>
      <w:lvlText w:val="●"/>
      <w:lvlJc w:val="left"/>
      <w:pPr>
        <w:ind w:left="5040" w:hanging="360"/>
      </w:pPr>
    </w:lvl>
    <w:lvl w:ilvl="7" w:tplc="0632F834">
      <w:start w:val="1"/>
      <w:numFmt w:val="bullet"/>
      <w:lvlText w:val="●"/>
      <w:lvlJc w:val="left"/>
      <w:pPr>
        <w:ind w:left="5760" w:hanging="360"/>
      </w:pPr>
    </w:lvl>
    <w:lvl w:ilvl="8" w:tplc="6A1E9284">
      <w:start w:val="1"/>
      <w:numFmt w:val="bullet"/>
      <w:lvlText w:val="●"/>
      <w:lvlJc w:val="left"/>
      <w:pPr>
        <w:ind w:left="6480" w:hanging="360"/>
      </w:pPr>
    </w:lvl>
  </w:abstractNum>
  <w:num w:numId="1" w16cid:durableId="216235944">
    <w:abstractNumId w:val="2"/>
    <w:lvlOverride w:ilvl="0">
      <w:startOverride w:val="1"/>
    </w:lvlOverride>
  </w:num>
  <w:num w:numId="2" w16cid:durableId="708384307">
    <w:abstractNumId w:val="0"/>
  </w:num>
  <w:num w:numId="3" w16cid:durableId="1888182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EEF"/>
    <w:rsid w:val="000055F8"/>
    <w:rsid w:val="00027487"/>
    <w:rsid w:val="00047F55"/>
    <w:rsid w:val="00052F4C"/>
    <w:rsid w:val="000646DC"/>
    <w:rsid w:val="0006780E"/>
    <w:rsid w:val="00083CA2"/>
    <w:rsid w:val="00085A81"/>
    <w:rsid w:val="00135F1D"/>
    <w:rsid w:val="00153F02"/>
    <w:rsid w:val="00156512"/>
    <w:rsid w:val="00177170"/>
    <w:rsid w:val="0019289F"/>
    <w:rsid w:val="001A1C80"/>
    <w:rsid w:val="001A3304"/>
    <w:rsid w:val="001B3574"/>
    <w:rsid w:val="001B5AE1"/>
    <w:rsid w:val="002068E9"/>
    <w:rsid w:val="002263E9"/>
    <w:rsid w:val="0023209F"/>
    <w:rsid w:val="0024377F"/>
    <w:rsid w:val="00246B4F"/>
    <w:rsid w:val="00263409"/>
    <w:rsid w:val="00273057"/>
    <w:rsid w:val="002B2400"/>
    <w:rsid w:val="002B4AD7"/>
    <w:rsid w:val="002E4700"/>
    <w:rsid w:val="00320E58"/>
    <w:rsid w:val="00366ECB"/>
    <w:rsid w:val="003755A0"/>
    <w:rsid w:val="00385BD4"/>
    <w:rsid w:val="003D6E61"/>
    <w:rsid w:val="003E3213"/>
    <w:rsid w:val="00483658"/>
    <w:rsid w:val="0049573B"/>
    <w:rsid w:val="004B2B2C"/>
    <w:rsid w:val="00511E72"/>
    <w:rsid w:val="00514DD1"/>
    <w:rsid w:val="005168D3"/>
    <w:rsid w:val="00530822"/>
    <w:rsid w:val="005376AD"/>
    <w:rsid w:val="00584261"/>
    <w:rsid w:val="0058638C"/>
    <w:rsid w:val="005867AA"/>
    <w:rsid w:val="005A5883"/>
    <w:rsid w:val="005D11FB"/>
    <w:rsid w:val="005D6296"/>
    <w:rsid w:val="005F3939"/>
    <w:rsid w:val="00614161"/>
    <w:rsid w:val="00617428"/>
    <w:rsid w:val="00640519"/>
    <w:rsid w:val="006463F4"/>
    <w:rsid w:val="006631FF"/>
    <w:rsid w:val="00687E89"/>
    <w:rsid w:val="006A2861"/>
    <w:rsid w:val="006B1492"/>
    <w:rsid w:val="006B43B4"/>
    <w:rsid w:val="006D064E"/>
    <w:rsid w:val="006E2FE4"/>
    <w:rsid w:val="006F6506"/>
    <w:rsid w:val="007037F7"/>
    <w:rsid w:val="007040D0"/>
    <w:rsid w:val="00727A1E"/>
    <w:rsid w:val="00744320"/>
    <w:rsid w:val="007449D6"/>
    <w:rsid w:val="00750CFA"/>
    <w:rsid w:val="00780938"/>
    <w:rsid w:val="007A4194"/>
    <w:rsid w:val="007E487E"/>
    <w:rsid w:val="007F6886"/>
    <w:rsid w:val="00801FEE"/>
    <w:rsid w:val="0080435E"/>
    <w:rsid w:val="00815A32"/>
    <w:rsid w:val="00835D9D"/>
    <w:rsid w:val="00862D48"/>
    <w:rsid w:val="00894B1F"/>
    <w:rsid w:val="008A08FE"/>
    <w:rsid w:val="008B5F01"/>
    <w:rsid w:val="008D6098"/>
    <w:rsid w:val="008E2B4C"/>
    <w:rsid w:val="008E722E"/>
    <w:rsid w:val="00917C66"/>
    <w:rsid w:val="00942DCC"/>
    <w:rsid w:val="009443C3"/>
    <w:rsid w:val="00975B36"/>
    <w:rsid w:val="00992E0F"/>
    <w:rsid w:val="009A62E6"/>
    <w:rsid w:val="009A782F"/>
    <w:rsid w:val="009B2329"/>
    <w:rsid w:val="009D137B"/>
    <w:rsid w:val="00A16702"/>
    <w:rsid w:val="00A30D68"/>
    <w:rsid w:val="00A36C57"/>
    <w:rsid w:val="00A4008D"/>
    <w:rsid w:val="00A42B5D"/>
    <w:rsid w:val="00A473AF"/>
    <w:rsid w:val="00A56EAA"/>
    <w:rsid w:val="00A65313"/>
    <w:rsid w:val="00A71E69"/>
    <w:rsid w:val="00AA4332"/>
    <w:rsid w:val="00AB290E"/>
    <w:rsid w:val="00B13185"/>
    <w:rsid w:val="00B24D17"/>
    <w:rsid w:val="00B26434"/>
    <w:rsid w:val="00B30A6F"/>
    <w:rsid w:val="00B520FF"/>
    <w:rsid w:val="00B71BF9"/>
    <w:rsid w:val="00B769BA"/>
    <w:rsid w:val="00B9037E"/>
    <w:rsid w:val="00B957CC"/>
    <w:rsid w:val="00BC5E19"/>
    <w:rsid w:val="00BD67FB"/>
    <w:rsid w:val="00C00C9D"/>
    <w:rsid w:val="00C4043E"/>
    <w:rsid w:val="00C6536C"/>
    <w:rsid w:val="00C8234C"/>
    <w:rsid w:val="00C9165F"/>
    <w:rsid w:val="00C953EF"/>
    <w:rsid w:val="00CC6429"/>
    <w:rsid w:val="00CD5EEF"/>
    <w:rsid w:val="00D048DC"/>
    <w:rsid w:val="00D84EB5"/>
    <w:rsid w:val="00DC76F0"/>
    <w:rsid w:val="00DD2703"/>
    <w:rsid w:val="00DE2F3B"/>
    <w:rsid w:val="00E06F11"/>
    <w:rsid w:val="00E81AA5"/>
    <w:rsid w:val="00E93D49"/>
    <w:rsid w:val="00EB5124"/>
    <w:rsid w:val="00ED00F8"/>
    <w:rsid w:val="00EE0277"/>
    <w:rsid w:val="00EE3AD7"/>
    <w:rsid w:val="00F07CF2"/>
    <w:rsid w:val="00F116E0"/>
    <w:rsid w:val="00F27BB3"/>
    <w:rsid w:val="00F323AA"/>
    <w:rsid w:val="00F64CF1"/>
    <w:rsid w:val="00F92395"/>
    <w:rsid w:val="00FC59B6"/>
    <w:rsid w:val="00FD3916"/>
    <w:rsid w:val="00FD44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5AB7F"/>
  <w15:docId w15:val="{7DB149C2-1F07-4C85-85EA-EBF9F708C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Arial" w:eastAsia="Arial" w:hAnsi="Arial" w:cs="Arial"/>
      <w:b/>
      <w:bCs/>
      <w:sz w:val="28"/>
      <w:szCs w:val="28"/>
    </w:rPr>
  </w:style>
  <w:style w:type="paragraph" w:styleId="Heading2">
    <w:name w:val="heading 2"/>
    <w:uiPriority w:val="9"/>
    <w:unhideWhenUsed/>
    <w:qFormat/>
    <w:pPr>
      <w:spacing w:before="240" w:after="120"/>
      <w:outlineLvl w:val="1"/>
    </w:pPr>
    <w:rPr>
      <w:rFonts w:ascii="Arial" w:eastAsia="Arial" w:hAnsi="Arial" w:cs="Arial"/>
      <w:b/>
      <w:bCs/>
      <w:sz w:val="26"/>
      <w:szCs w:val="26"/>
    </w:rPr>
  </w:style>
  <w:style w:type="paragraph" w:styleId="Heading3">
    <w:name w:val="heading 3"/>
    <w:uiPriority w:val="9"/>
    <w:semiHidden/>
    <w:unhideWhenUsed/>
    <w:qFormat/>
    <w:pPr>
      <w:spacing w:before="200" w:after="100"/>
      <w:outlineLvl w:val="2"/>
    </w:pPr>
    <w:rPr>
      <w:rFonts w:ascii="Arial" w:eastAsia="Arial" w:hAnsi="Arial" w:cs="Arial"/>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975B36"/>
    <w:rPr>
      <w:sz w:val="16"/>
      <w:szCs w:val="16"/>
    </w:rPr>
  </w:style>
  <w:style w:type="paragraph" w:styleId="CommentText">
    <w:name w:val="annotation text"/>
    <w:basedOn w:val="Normal"/>
    <w:link w:val="CommentTextChar"/>
    <w:uiPriority w:val="99"/>
    <w:unhideWhenUsed/>
    <w:rsid w:val="00975B36"/>
    <w:rPr>
      <w:sz w:val="20"/>
      <w:szCs w:val="20"/>
    </w:rPr>
  </w:style>
  <w:style w:type="character" w:customStyle="1" w:styleId="CommentTextChar">
    <w:name w:val="Comment Text Char"/>
    <w:basedOn w:val="DefaultParagraphFont"/>
    <w:link w:val="CommentText"/>
    <w:uiPriority w:val="99"/>
    <w:rsid w:val="00975B36"/>
    <w:rPr>
      <w:sz w:val="20"/>
      <w:szCs w:val="20"/>
    </w:rPr>
  </w:style>
  <w:style w:type="paragraph" w:styleId="CommentSubject">
    <w:name w:val="annotation subject"/>
    <w:basedOn w:val="CommentText"/>
    <w:next w:val="CommentText"/>
    <w:link w:val="CommentSubjectChar"/>
    <w:uiPriority w:val="99"/>
    <w:semiHidden/>
    <w:unhideWhenUsed/>
    <w:rsid w:val="00975B36"/>
    <w:rPr>
      <w:b/>
      <w:bCs/>
    </w:rPr>
  </w:style>
  <w:style w:type="character" w:customStyle="1" w:styleId="CommentSubjectChar">
    <w:name w:val="Comment Subject Char"/>
    <w:basedOn w:val="CommentTextChar"/>
    <w:link w:val="CommentSubject"/>
    <w:uiPriority w:val="99"/>
    <w:semiHidden/>
    <w:rsid w:val="00975B36"/>
    <w:rPr>
      <w:b/>
      <w:bCs/>
      <w:sz w:val="20"/>
      <w:szCs w:val="20"/>
    </w:rPr>
  </w:style>
  <w:style w:type="paragraph" w:styleId="Header">
    <w:name w:val="header"/>
    <w:basedOn w:val="Normal"/>
    <w:link w:val="HeaderChar"/>
    <w:uiPriority w:val="99"/>
    <w:unhideWhenUsed/>
    <w:rsid w:val="005F3939"/>
    <w:pPr>
      <w:tabs>
        <w:tab w:val="center" w:pos="4680"/>
        <w:tab w:val="right" w:pos="9360"/>
      </w:tabs>
    </w:pPr>
  </w:style>
  <w:style w:type="character" w:customStyle="1" w:styleId="HeaderChar">
    <w:name w:val="Header Char"/>
    <w:basedOn w:val="DefaultParagraphFont"/>
    <w:link w:val="Header"/>
    <w:uiPriority w:val="99"/>
    <w:rsid w:val="005F3939"/>
  </w:style>
  <w:style w:type="paragraph" w:styleId="Footer">
    <w:name w:val="footer"/>
    <w:basedOn w:val="Normal"/>
    <w:link w:val="FooterChar"/>
    <w:uiPriority w:val="99"/>
    <w:unhideWhenUsed/>
    <w:rsid w:val="005F3939"/>
    <w:pPr>
      <w:tabs>
        <w:tab w:val="center" w:pos="4680"/>
        <w:tab w:val="right" w:pos="9360"/>
      </w:tabs>
    </w:pPr>
  </w:style>
  <w:style w:type="character" w:customStyle="1" w:styleId="FooterChar">
    <w:name w:val="Footer Char"/>
    <w:basedOn w:val="DefaultParagraphFont"/>
    <w:link w:val="Footer"/>
    <w:uiPriority w:val="99"/>
    <w:rsid w:val="005F39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19</Pages>
  <Words>7325</Words>
  <Characters>45181</Characters>
  <Application>Microsoft Office Word</Application>
  <DocSecurity>0</DocSecurity>
  <Lines>972</Lines>
  <Paragraphs>349</Paragraphs>
  <ScaleCrop>false</ScaleCrop>
  <Company/>
  <LinksUpToDate>false</LinksUpToDate>
  <CharactersWithSpaces>52085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Chris Dunlap</cp:lastModifiedBy>
  <cp:revision>116</cp:revision>
  <dcterms:created xsi:type="dcterms:W3CDTF">2026-03-11T14:53:00Z</dcterms:created>
  <dcterms:modified xsi:type="dcterms:W3CDTF">2026-03-27T15:42:00Z</dcterms:modified>
</cp:coreProperties>
</file>