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1C43F" w14:textId="1D493F46" w:rsidR="00014BBD" w:rsidRDefault="0093765F">
      <w:pPr>
        <w:rPr>
          <w:rFonts w:ascii="Times New Roman" w:hAnsi="Times New Roman" w:cs="Times New Roman"/>
          <w:sz w:val="32"/>
          <w:szCs w:val="32"/>
        </w:rPr>
      </w:pPr>
      <w:r>
        <w:rPr>
          <w:rFonts w:ascii="Times New Roman" w:hAnsi="Times New Roman" w:cs="Times New Roman"/>
          <w:b/>
          <w:bCs/>
          <w:sz w:val="32"/>
          <w:szCs w:val="32"/>
        </w:rPr>
        <w:t>Technical Appendix: Ten-Parameter Cascade Derivation</w:t>
      </w:r>
    </w:p>
    <w:p w14:paraId="11ABE87D" w14:textId="126B6DA2" w:rsidR="00B50432" w:rsidRPr="00B50432" w:rsidRDefault="00B50432" w:rsidP="00B50432">
      <w:pPr>
        <w:rPr>
          <w:rFonts w:ascii="Times New Roman" w:hAnsi="Times New Roman" w:cs="Times New Roman"/>
          <w:i/>
          <w:iCs/>
        </w:rPr>
      </w:pPr>
      <w:r w:rsidRPr="00B50432">
        <w:rPr>
          <w:rFonts w:ascii="Times New Roman" w:hAnsi="Times New Roman" w:cs="Times New Roman"/>
          <w:i/>
          <w:iCs/>
        </w:rPr>
        <w:t xml:space="preserve">This document provides </w:t>
      </w:r>
      <w:proofErr w:type="gramStart"/>
      <w:r w:rsidRPr="00B50432">
        <w:rPr>
          <w:rFonts w:ascii="Times New Roman" w:hAnsi="Times New Roman" w:cs="Times New Roman"/>
          <w:i/>
          <w:iCs/>
        </w:rPr>
        <w:t>the complete</w:t>
      </w:r>
      <w:proofErr w:type="gramEnd"/>
      <w:r w:rsidRPr="00B50432">
        <w:rPr>
          <w:rFonts w:ascii="Times New Roman" w:hAnsi="Times New Roman" w:cs="Times New Roman"/>
          <w:i/>
          <w:iCs/>
        </w:rPr>
        <w:t xml:space="preserve"> analytical derivation, empirical grounding, and source documentation for every parameter in the ten-parameter multiplicative cascade model of spatial migration feasibility. It is intended as </w:t>
      </w:r>
      <w:proofErr w:type="gramStart"/>
      <w:r w:rsidRPr="00B50432">
        <w:rPr>
          <w:rFonts w:ascii="Times New Roman" w:hAnsi="Times New Roman" w:cs="Times New Roman"/>
          <w:i/>
          <w:iCs/>
        </w:rPr>
        <w:t>the</w:t>
      </w:r>
      <w:proofErr w:type="gramEnd"/>
      <w:r w:rsidRPr="00B50432">
        <w:rPr>
          <w:rFonts w:ascii="Times New Roman" w:hAnsi="Times New Roman" w:cs="Times New Roman"/>
          <w:i/>
          <w:iCs/>
        </w:rPr>
        <w:t xml:space="preserve"> authoritative companion to the Nature Energy manuscript, providing the full reasoning chain behind each assumption for reviewer verification.</w:t>
      </w:r>
    </w:p>
    <w:p w14:paraId="0B02B82A" w14:textId="77777777" w:rsidR="00B50432" w:rsidRPr="00B50432" w:rsidRDefault="00B50432" w:rsidP="00B50432">
      <w:pPr>
        <w:rPr>
          <w:rFonts w:ascii="Times New Roman" w:hAnsi="Times New Roman" w:cs="Times New Roman"/>
          <w:i/>
          <w:iCs/>
        </w:rPr>
      </w:pPr>
    </w:p>
    <w:p w14:paraId="025FE8F2" w14:textId="25005074" w:rsidR="00B50432" w:rsidRPr="00B50432" w:rsidRDefault="00B50432" w:rsidP="00B50432">
      <w:pPr>
        <w:rPr>
          <w:rFonts w:ascii="Times New Roman" w:hAnsi="Times New Roman" w:cs="Times New Roman"/>
        </w:rPr>
      </w:pPr>
      <w:r w:rsidRPr="00B50432">
        <w:rPr>
          <w:rFonts w:ascii="Times New Roman" w:hAnsi="Times New Roman" w:cs="Times New Roman"/>
          <w:b/>
          <w:bCs/>
          <w:sz w:val="28"/>
          <w:szCs w:val="28"/>
        </w:rPr>
        <w:t>1. Framework Overview</w:t>
      </w:r>
    </w:p>
    <w:p w14:paraId="03B775EC"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The cascade decomposes the conditions required for cross-region inference workload migration into ten independently estimable parameters:</w:t>
      </w:r>
    </w:p>
    <w:p w14:paraId="68D77912" w14:textId="77777777" w:rsidR="001D788D" w:rsidRPr="00354B33" w:rsidRDefault="001D788D" w:rsidP="00B50432">
      <w:pPr>
        <w:rPr>
          <w:rFonts w:ascii="Times New Roman" w:hAnsi="Times New Roman" w:cs="Times New Roman"/>
          <w:b/>
          <w:bCs/>
        </w:rPr>
      </w:pPr>
    </w:p>
    <w:p w14:paraId="43972925" w14:textId="08776E84" w:rsidR="00B50432" w:rsidRPr="00B50432" w:rsidRDefault="00B50432" w:rsidP="00B50432">
      <w:pPr>
        <w:rPr>
          <w:rFonts w:ascii="Times New Roman" w:hAnsi="Times New Roman" w:cs="Times New Roman"/>
        </w:rPr>
      </w:pPr>
      <w:r w:rsidRPr="00B50432">
        <w:rPr>
          <w:rFonts w:ascii="Times New Roman" w:hAnsi="Times New Roman" w:cs="Times New Roman"/>
          <w:b/>
          <w:bCs/>
        </w:rPr>
        <w:t>Effective Spatial Fraction = S1 × S2 × S3 × D1 × D2 × D3 × D4 × D5 × E1 × E2</w:t>
      </w:r>
    </w:p>
    <w:p w14:paraId="6E8A5463" w14:textId="659832A6" w:rsidR="00B50432" w:rsidRPr="00B50432" w:rsidRDefault="00B50432" w:rsidP="00B50432">
      <w:pPr>
        <w:rPr>
          <w:rFonts w:ascii="Times New Roman" w:hAnsi="Times New Roman" w:cs="Times New Roman"/>
        </w:rPr>
      </w:pPr>
      <w:r w:rsidRPr="00B50432">
        <w:rPr>
          <w:rFonts w:ascii="Times New Roman" w:hAnsi="Times New Roman" w:cs="Times New Roman"/>
          <w:b/>
          <w:bCs/>
        </w:rPr>
        <w:t>Commitment Depth = Spatial + FLEX_FRAC × (S1 − Spatial)</w:t>
      </w:r>
    </w:p>
    <w:p w14:paraId="3FB0FB4A" w14:textId="77777777" w:rsidR="001D788D" w:rsidRPr="00354B33" w:rsidRDefault="001D788D" w:rsidP="00B50432">
      <w:pPr>
        <w:rPr>
          <w:rFonts w:ascii="Times New Roman" w:hAnsi="Times New Roman" w:cs="Times New Roman"/>
        </w:rPr>
      </w:pPr>
    </w:p>
    <w:p w14:paraId="27ABCDF6" w14:textId="2912576F"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where FLEX_FRAC = 0.25, the DVFS flexibility fraction measured by Colangelo et al. (Nature Energy, 2025) at the GPU cluster level via </w:t>
      </w:r>
      <w:proofErr w:type="spellStart"/>
      <w:r w:rsidRPr="00B50432">
        <w:rPr>
          <w:rFonts w:ascii="Times New Roman" w:hAnsi="Times New Roman" w:cs="Times New Roman"/>
        </w:rPr>
        <w:t>nvidia-smi</w:t>
      </w:r>
      <w:proofErr w:type="spellEnd"/>
      <w:r w:rsidRPr="00B50432">
        <w:rPr>
          <w:rFonts w:ascii="Times New Roman" w:hAnsi="Times New Roman" w:cs="Times New Roman"/>
        </w:rPr>
        <w:t>.</w:t>
      </w:r>
    </w:p>
    <w:p w14:paraId="05091529" w14:textId="77777777" w:rsidR="00B50432" w:rsidRPr="00B50432" w:rsidRDefault="00B50432" w:rsidP="00B50432">
      <w:pPr>
        <w:rPr>
          <w:rFonts w:ascii="Times New Roman" w:hAnsi="Times New Roman" w:cs="Times New Roman"/>
        </w:rPr>
      </w:pPr>
    </w:p>
    <w:p w14:paraId="487D819D"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The three stages of the cascade reflect the logical sequence of spatial migration:</w:t>
      </w:r>
    </w:p>
    <w:p w14:paraId="2E167B70"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1. </w:t>
      </w:r>
      <w:r w:rsidRPr="00B50432">
        <w:rPr>
          <w:rFonts w:ascii="Times New Roman" w:hAnsi="Times New Roman" w:cs="Times New Roman"/>
          <w:b/>
          <w:bCs/>
        </w:rPr>
        <w:t>**Source-side (S1, S2, S3</w:t>
      </w:r>
      <w:proofErr w:type="gramStart"/>
      <w:r w:rsidRPr="00B50432">
        <w:rPr>
          <w:rFonts w:ascii="Times New Roman" w:hAnsi="Times New Roman" w:cs="Times New Roman"/>
          <w:b/>
          <w:bCs/>
        </w:rPr>
        <w:t>):*</w:t>
      </w:r>
      <w:proofErr w:type="gramEnd"/>
      <w:r w:rsidRPr="00B50432">
        <w:rPr>
          <w:rFonts w:ascii="Times New Roman" w:hAnsi="Times New Roman" w:cs="Times New Roman"/>
          <w:b/>
          <w:bCs/>
        </w:rPr>
        <w:t>*</w:t>
      </w:r>
      <w:r w:rsidRPr="00B50432">
        <w:rPr>
          <w:rFonts w:ascii="Times New Roman" w:hAnsi="Times New Roman" w:cs="Times New Roman"/>
        </w:rPr>
        <w:t xml:space="preserve"> Is the workload a migration candidate, is it geographically unconstrained, and can it complete within the dispatch window?</w:t>
      </w:r>
    </w:p>
    <w:p w14:paraId="2F8A48C3"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2. </w:t>
      </w:r>
      <w:r w:rsidRPr="00B50432">
        <w:rPr>
          <w:rFonts w:ascii="Times New Roman" w:hAnsi="Times New Roman" w:cs="Times New Roman"/>
          <w:b/>
          <w:bCs/>
        </w:rPr>
        <w:t>**Destination-side (D1, D2, D3, D4, D5</w:t>
      </w:r>
      <w:proofErr w:type="gramStart"/>
      <w:r w:rsidRPr="00B50432">
        <w:rPr>
          <w:rFonts w:ascii="Times New Roman" w:hAnsi="Times New Roman" w:cs="Times New Roman"/>
          <w:b/>
          <w:bCs/>
        </w:rPr>
        <w:t>):*</w:t>
      </w:r>
      <w:proofErr w:type="gramEnd"/>
      <w:r w:rsidRPr="00B50432">
        <w:rPr>
          <w:rFonts w:ascii="Times New Roman" w:hAnsi="Times New Roman" w:cs="Times New Roman"/>
          <w:b/>
          <w:bCs/>
        </w:rPr>
        <w:t>*</w:t>
      </w:r>
      <w:r w:rsidRPr="00B50432">
        <w:rPr>
          <w:rFonts w:ascii="Times New Roman" w:hAnsi="Times New Roman" w:cs="Times New Roman"/>
        </w:rPr>
        <w:t xml:space="preserve"> Is an unstressed destination available, does it have GPU headroom, is the hardware compatible, is it running inference, and are model weights pre-staged?</w:t>
      </w:r>
    </w:p>
    <w:p w14:paraId="671628D8"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3. </w:t>
      </w:r>
      <w:r w:rsidRPr="00B50432">
        <w:rPr>
          <w:rFonts w:ascii="Times New Roman" w:hAnsi="Times New Roman" w:cs="Times New Roman"/>
          <w:b/>
          <w:bCs/>
        </w:rPr>
        <w:t>**Execution (E1, E2</w:t>
      </w:r>
      <w:proofErr w:type="gramStart"/>
      <w:r w:rsidRPr="00B50432">
        <w:rPr>
          <w:rFonts w:ascii="Times New Roman" w:hAnsi="Times New Roman" w:cs="Times New Roman"/>
          <w:b/>
          <w:bCs/>
        </w:rPr>
        <w:t>):*</w:t>
      </w:r>
      <w:proofErr w:type="gramEnd"/>
      <w:r w:rsidRPr="00B50432">
        <w:rPr>
          <w:rFonts w:ascii="Times New Roman" w:hAnsi="Times New Roman" w:cs="Times New Roman"/>
          <w:b/>
          <w:bCs/>
        </w:rPr>
        <w:t>*</w:t>
      </w:r>
      <w:r w:rsidRPr="00B50432">
        <w:rPr>
          <w:rFonts w:ascii="Times New Roman" w:hAnsi="Times New Roman" w:cs="Times New Roman"/>
        </w:rPr>
        <w:t xml:space="preserve"> Does the routing operation succeed, and is there sufficient bandwidth?</w:t>
      </w:r>
    </w:p>
    <w:p w14:paraId="5829D5A9" w14:textId="77777777" w:rsidR="00B50432" w:rsidRPr="00B50432" w:rsidRDefault="00B50432" w:rsidP="00B50432">
      <w:pPr>
        <w:rPr>
          <w:rFonts w:ascii="Times New Roman" w:hAnsi="Times New Roman" w:cs="Times New Roman"/>
        </w:rPr>
      </w:pPr>
    </w:p>
    <w:p w14:paraId="57F6A383"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Each parameter is an independent filter. A workload must pass all ten to contribute to spatial migration. The product of all ten is the effective spatial fraction — the share of facility load that disappears from the source node during a capacity market dispatch event.</w:t>
      </w:r>
    </w:p>
    <w:p w14:paraId="2BEBC0BE" w14:textId="77777777" w:rsidR="00B50432" w:rsidRPr="00B50432" w:rsidRDefault="00B50432" w:rsidP="00B50432">
      <w:pPr>
        <w:rPr>
          <w:rFonts w:ascii="Times New Roman" w:hAnsi="Times New Roman" w:cs="Times New Roman"/>
        </w:rPr>
      </w:pPr>
    </w:p>
    <w:p w14:paraId="0E4DFEEF"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Commitment Depth Formula</w:t>
      </w:r>
    </w:p>
    <w:p w14:paraId="6139DC5B" w14:textId="77777777" w:rsidR="00B50432" w:rsidRPr="00B50432" w:rsidRDefault="00B50432" w:rsidP="00B50432">
      <w:pPr>
        <w:rPr>
          <w:rFonts w:ascii="Times New Roman" w:hAnsi="Times New Roman" w:cs="Times New Roman"/>
        </w:rPr>
      </w:pPr>
    </w:p>
    <w:p w14:paraId="03C77E7B"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The commitment depth formula applies DVFS only to the compute-amenable portion of facility load (the S1 envelope):</w:t>
      </w:r>
    </w:p>
    <w:p w14:paraId="174BEBFC" w14:textId="77777777" w:rsidR="00B50432" w:rsidRPr="00B50432" w:rsidRDefault="00B50432" w:rsidP="00B50432">
      <w:pPr>
        <w:rPr>
          <w:rFonts w:ascii="Times New Roman" w:hAnsi="Times New Roman" w:cs="Times New Roman"/>
        </w:rPr>
      </w:pPr>
    </w:p>
    <w:p w14:paraId="56A8D7F8"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&gt; Commitment Depth = Spatial + FLEX_FRAC × (S1 − Spatial)</w:t>
      </w:r>
    </w:p>
    <w:p w14:paraId="2672327E" w14:textId="77777777" w:rsidR="00B50432" w:rsidRPr="00B50432" w:rsidRDefault="00B50432" w:rsidP="00B50432">
      <w:pPr>
        <w:rPr>
          <w:rFonts w:ascii="Times New Roman" w:hAnsi="Times New Roman" w:cs="Times New Roman"/>
        </w:rPr>
      </w:pPr>
    </w:p>
    <w:p w14:paraId="0607C6BF"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This is a correction to the earlier formulation (Spatial + DVFS × (1 − Spatial)), which incorrectly applied DVFS to the entire non-migrating facility load including cooling, power conditioning, and non-compute infrastructure. Colangelo et al. measured DVFS power reduction at the GPU cluster level via </w:t>
      </w:r>
      <w:proofErr w:type="spellStart"/>
      <w:r w:rsidRPr="00B50432">
        <w:rPr>
          <w:rFonts w:ascii="Times New Roman" w:hAnsi="Times New Roman" w:cs="Times New Roman"/>
        </w:rPr>
        <w:t>nvidia-smi</w:t>
      </w:r>
      <w:proofErr w:type="spellEnd"/>
      <w:r w:rsidRPr="00B50432">
        <w:rPr>
          <w:rFonts w:ascii="Times New Roman" w:hAnsi="Times New Roman" w:cs="Times New Roman"/>
        </w:rPr>
        <w:t>, not at the facility meter. DVFS cannot reduce cooling or infrastructure load. The corrected formula restricts the DVFS base to the S1 fraction of facility load that is running compute workloads.</w:t>
      </w:r>
    </w:p>
    <w:p w14:paraId="73603EFD" w14:textId="77777777" w:rsidR="00B50432" w:rsidRPr="00B50432" w:rsidRDefault="00B50432" w:rsidP="00B50432">
      <w:pPr>
        <w:rPr>
          <w:rFonts w:ascii="Times New Roman" w:hAnsi="Times New Roman" w:cs="Times New Roman"/>
        </w:rPr>
      </w:pPr>
    </w:p>
    <w:p w14:paraId="4E5D5331"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The DVFS-only floor (no spatial migration at all) is FLEX_FRAC × S1 = 0.25 × 0.70 = 17.5%. This is the minimum </w:t>
      </w:r>
      <w:proofErr w:type="gramStart"/>
      <w:r w:rsidRPr="00B50432">
        <w:rPr>
          <w:rFonts w:ascii="Times New Roman" w:hAnsi="Times New Roman" w:cs="Times New Roman"/>
        </w:rPr>
        <w:t>commitment depth</w:t>
      </w:r>
      <w:proofErr w:type="gramEnd"/>
      <w:r w:rsidRPr="00B50432">
        <w:rPr>
          <w:rFonts w:ascii="Times New Roman" w:hAnsi="Times New Roman" w:cs="Times New Roman"/>
        </w:rPr>
        <w:t xml:space="preserve"> achievable by any inference-dominant facility through local power management alone, without any spatial migration.</w:t>
      </w:r>
    </w:p>
    <w:p w14:paraId="6D4D4C33" w14:textId="77777777" w:rsidR="00B50432" w:rsidRPr="00B50432" w:rsidRDefault="00B50432" w:rsidP="00B50432">
      <w:pPr>
        <w:rPr>
          <w:rFonts w:ascii="Times New Roman" w:hAnsi="Times New Roman" w:cs="Times New Roman"/>
        </w:rPr>
      </w:pPr>
    </w:p>
    <w:p w14:paraId="497132B8"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Analysis Scope</w:t>
      </w:r>
    </w:p>
    <w:p w14:paraId="16B38FCB" w14:textId="77777777" w:rsidR="00B50432" w:rsidRPr="00B50432" w:rsidRDefault="00B50432" w:rsidP="00B50432">
      <w:pPr>
        <w:rPr>
          <w:rFonts w:ascii="Times New Roman" w:hAnsi="Times New Roman" w:cs="Times New Roman"/>
        </w:rPr>
      </w:pPr>
    </w:p>
    <w:p w14:paraId="01A01526"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The cascade is scoped to </w:t>
      </w:r>
      <w:r w:rsidRPr="00B50432">
        <w:rPr>
          <w:rFonts w:ascii="Times New Roman" w:hAnsi="Times New Roman" w:cs="Times New Roman"/>
          <w:b/>
          <w:bCs/>
        </w:rPr>
        <w:t>**inference-dominant facilities**</w:t>
      </w:r>
      <w:r w:rsidRPr="00B50432">
        <w:rPr>
          <w:rFonts w:ascii="Times New Roman" w:hAnsi="Times New Roman" w:cs="Times New Roman"/>
        </w:rPr>
        <w:t xml:space="preserve"> (S1 = 0.70 fixed). S1 is a scope-defining parameter, not a stochastic variable — it is held fixed rather than drawn in </w:t>
      </w:r>
      <w:proofErr w:type="gramStart"/>
      <w:r w:rsidRPr="00B50432">
        <w:rPr>
          <w:rFonts w:ascii="Times New Roman" w:hAnsi="Times New Roman" w:cs="Times New Roman"/>
        </w:rPr>
        <w:t>the Monte</w:t>
      </w:r>
      <w:proofErr w:type="gramEnd"/>
      <w:r w:rsidRPr="00B50432">
        <w:rPr>
          <w:rFonts w:ascii="Times New Roman" w:hAnsi="Times New Roman" w:cs="Times New Roman"/>
        </w:rPr>
        <w:t xml:space="preserve"> Carlo. The rationale:</w:t>
      </w:r>
    </w:p>
    <w:p w14:paraId="75580155" w14:textId="77777777" w:rsidR="00B50432" w:rsidRPr="00B50432" w:rsidRDefault="00B50432" w:rsidP="00B50432">
      <w:pPr>
        <w:rPr>
          <w:rFonts w:ascii="Times New Roman" w:hAnsi="Times New Roman" w:cs="Times New Roman"/>
        </w:rPr>
      </w:pPr>
    </w:p>
    <w:p w14:paraId="4C38125D"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1. Inference is the fastest-growing segment of data center compute (35% CAGR per McKinsey December 2025), making inference-dominant facilities the likely marginal participants in any DR program.</w:t>
      </w:r>
    </w:p>
    <w:p w14:paraId="1E25622A"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2. The empirical grounding (production traces, published measurements) is strongest for inference workloads.</w:t>
      </w:r>
    </w:p>
    <w:p w14:paraId="1B3399B6"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3. Training-heavy facilities participate through DVFS only (the 17.5% floor), not through spatial migration.</w:t>
      </w:r>
    </w:p>
    <w:p w14:paraId="259C944A" w14:textId="77777777" w:rsidR="00B50432" w:rsidRPr="00B50432" w:rsidRDefault="00B50432" w:rsidP="00B50432">
      <w:pPr>
        <w:rPr>
          <w:rFonts w:ascii="Times New Roman" w:hAnsi="Times New Roman" w:cs="Times New Roman"/>
        </w:rPr>
      </w:pPr>
    </w:p>
    <w:p w14:paraId="02F1A511"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lastRenderedPageBreak/>
        <w:t>Composition uncertainty across facility archetypes (inference-dominant vs. training-heavy vs. mixed) is not modeled in the current framework. If participation is driven by regulatory mandate rather than voluntary optimization, a broader mix of facility types would participate and S1 would need to be treated as a stochastic parameter with its own distribution.</w:t>
      </w:r>
    </w:p>
    <w:p w14:paraId="0B5629E9" w14:textId="77777777" w:rsidR="00B50432" w:rsidRPr="00B50432" w:rsidRDefault="00B50432" w:rsidP="00B50432">
      <w:pPr>
        <w:rPr>
          <w:rFonts w:ascii="Times New Roman" w:hAnsi="Times New Roman" w:cs="Times New Roman"/>
        </w:rPr>
      </w:pPr>
    </w:p>
    <w:p w14:paraId="039293FC"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w:t>
      </w:r>
    </w:p>
    <w:p w14:paraId="2943E7D5" w14:textId="77777777" w:rsidR="00B50432" w:rsidRPr="00B50432" w:rsidRDefault="00B50432" w:rsidP="00B50432">
      <w:pPr>
        <w:rPr>
          <w:rFonts w:ascii="Times New Roman" w:hAnsi="Times New Roman" w:cs="Times New Roman"/>
        </w:rPr>
      </w:pPr>
    </w:p>
    <w:p w14:paraId="2D2190ED"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2. Source-Side Parameters</w:t>
      </w:r>
    </w:p>
    <w:p w14:paraId="7BC1B008" w14:textId="77777777" w:rsidR="00B50432" w:rsidRPr="00B50432" w:rsidRDefault="00B50432" w:rsidP="00B50432">
      <w:pPr>
        <w:rPr>
          <w:rFonts w:ascii="Times New Roman" w:hAnsi="Times New Roman" w:cs="Times New Roman"/>
        </w:rPr>
      </w:pPr>
    </w:p>
    <w:p w14:paraId="508B1E3D"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S1: Workload Candidacy</w:t>
      </w:r>
    </w:p>
    <w:p w14:paraId="0413E367" w14:textId="77777777" w:rsidR="00B50432" w:rsidRPr="00B50432" w:rsidRDefault="00B50432" w:rsidP="00B50432">
      <w:pPr>
        <w:rPr>
          <w:rFonts w:ascii="Times New Roman" w:hAnsi="Times New Roman" w:cs="Times New Roman"/>
        </w:rPr>
      </w:pPr>
    </w:p>
    <w:p w14:paraId="0A07A6B6"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Attribute | Value |</w:t>
      </w:r>
    </w:p>
    <w:p w14:paraId="629341BF" w14:textId="77777777" w:rsidR="00B50432" w:rsidRPr="00B50432" w:rsidRDefault="00B50432" w:rsidP="00B50432">
      <w:pPr>
        <w:rPr>
          <w:rFonts w:ascii="Times New Roman" w:hAnsi="Times New Roman" w:cs="Times New Roman"/>
        </w:rPr>
      </w:pPr>
      <w:proofErr w:type="gramStart"/>
      <w:r w:rsidRPr="00B50432">
        <w:rPr>
          <w:rFonts w:ascii="Times New Roman" w:hAnsi="Times New Roman" w:cs="Times New Roman"/>
        </w:rPr>
        <w:t>|---|---|</w:t>
      </w:r>
      <w:proofErr w:type="gramEnd"/>
    </w:p>
    <w:p w14:paraId="464E2DFA"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Central value | 0.70 (fixed) |</w:t>
      </w:r>
    </w:p>
    <w:p w14:paraId="4046B7BF"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Range | Not drawn; scope-defining |</w:t>
      </w:r>
    </w:p>
    <w:p w14:paraId="7403F1C0"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Grounding quality | STRUCTURAL |</w:t>
      </w:r>
    </w:p>
    <w:p w14:paraId="565E4B02"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Variance contribution | 0% (fixed) |</w:t>
      </w:r>
    </w:p>
    <w:p w14:paraId="7A707A18" w14:textId="77777777" w:rsidR="00B50432" w:rsidRPr="00B50432" w:rsidRDefault="00B50432" w:rsidP="00B50432">
      <w:pPr>
        <w:rPr>
          <w:rFonts w:ascii="Times New Roman" w:hAnsi="Times New Roman" w:cs="Times New Roman"/>
        </w:rPr>
      </w:pPr>
    </w:p>
    <w:p w14:paraId="4808D9EA"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What S1 Measures</w:t>
      </w:r>
    </w:p>
    <w:p w14:paraId="169CAEC4" w14:textId="77777777" w:rsidR="00B50432" w:rsidRPr="00B50432" w:rsidRDefault="00B50432" w:rsidP="00B50432">
      <w:pPr>
        <w:rPr>
          <w:rFonts w:ascii="Times New Roman" w:hAnsi="Times New Roman" w:cs="Times New Roman"/>
        </w:rPr>
      </w:pPr>
    </w:p>
    <w:p w14:paraId="13E956FE"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S1 answers: *of the </w:t>
      </w:r>
      <w:proofErr w:type="gramStart"/>
      <w:r w:rsidRPr="00B50432">
        <w:rPr>
          <w:rFonts w:ascii="Times New Roman" w:hAnsi="Times New Roman" w:cs="Times New Roman"/>
        </w:rPr>
        <w:t>compute</w:t>
      </w:r>
      <w:proofErr w:type="gramEnd"/>
      <w:r w:rsidRPr="00B50432">
        <w:rPr>
          <w:rFonts w:ascii="Times New Roman" w:hAnsi="Times New Roman" w:cs="Times New Roman"/>
        </w:rPr>
        <w:t xml:space="preserve"> running at a facility, what fraction is a workload type architecturally capable of spatial </w:t>
      </w:r>
      <w:proofErr w:type="gramStart"/>
      <w:r w:rsidRPr="00B50432">
        <w:rPr>
          <w:rFonts w:ascii="Times New Roman" w:hAnsi="Times New Roman" w:cs="Times New Roman"/>
        </w:rPr>
        <w:t>migration?*</w:t>
      </w:r>
      <w:proofErr w:type="gramEnd"/>
    </w:p>
    <w:p w14:paraId="79BB142E" w14:textId="77777777" w:rsidR="00B50432" w:rsidRPr="00B50432" w:rsidRDefault="00B50432" w:rsidP="00B50432">
      <w:pPr>
        <w:rPr>
          <w:rFonts w:ascii="Times New Roman" w:hAnsi="Times New Roman" w:cs="Times New Roman"/>
        </w:rPr>
      </w:pPr>
    </w:p>
    <w:p w14:paraId="1902149C"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S1 is a classification parameter. It selects the inference-eligible share of facility compute; all subsequent cascade parameters (S2 through E2) apply exclusively to this selected fraction. S1 does not assess whether a specific workload instance will </w:t>
      </w:r>
      <w:proofErr w:type="gramStart"/>
      <w:r w:rsidRPr="00B50432">
        <w:rPr>
          <w:rFonts w:ascii="Times New Roman" w:hAnsi="Times New Roman" w:cs="Times New Roman"/>
        </w:rPr>
        <w:t>actually execute</w:t>
      </w:r>
      <w:proofErr w:type="gramEnd"/>
      <w:r w:rsidRPr="00B50432">
        <w:rPr>
          <w:rFonts w:ascii="Times New Roman" w:hAnsi="Times New Roman" w:cs="Times New Roman"/>
        </w:rPr>
        <w:t xml:space="preserve"> migration — that is captured by S2 through E2.</w:t>
      </w:r>
    </w:p>
    <w:p w14:paraId="7FDD6DB9" w14:textId="77777777" w:rsidR="00B50432" w:rsidRPr="00B50432" w:rsidRDefault="00B50432" w:rsidP="00B50432">
      <w:pPr>
        <w:rPr>
          <w:rFonts w:ascii="Times New Roman" w:hAnsi="Times New Roman" w:cs="Times New Roman"/>
        </w:rPr>
      </w:pPr>
    </w:p>
    <w:p w14:paraId="6CC7563A"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AI-Era Workload Composition</w:t>
      </w:r>
    </w:p>
    <w:p w14:paraId="3643F15F" w14:textId="77777777" w:rsidR="00B50432" w:rsidRPr="00B50432" w:rsidRDefault="00B50432" w:rsidP="00B50432">
      <w:pPr>
        <w:rPr>
          <w:rFonts w:ascii="Times New Roman" w:hAnsi="Times New Roman" w:cs="Times New Roman"/>
        </w:rPr>
      </w:pPr>
    </w:p>
    <w:p w14:paraId="678F9E8E"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The workload composition of modern data centers has shifted dramatically toward inference, which has fundamentally different flexibility characteristics than traditional batch computing.</w:t>
      </w:r>
    </w:p>
    <w:p w14:paraId="0BC28DA6" w14:textId="77777777" w:rsidR="00B50432" w:rsidRPr="00B50432" w:rsidRDefault="00B50432" w:rsidP="00B50432">
      <w:pPr>
        <w:rPr>
          <w:rFonts w:ascii="Times New Roman" w:hAnsi="Times New Roman" w:cs="Times New Roman"/>
        </w:rPr>
      </w:pPr>
    </w:p>
    <w:p w14:paraId="41C0C789"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**McKinsey Data Center Demand Model (December 2025</w:t>
      </w:r>
      <w:proofErr w:type="gramStart"/>
      <w:r w:rsidRPr="00B50432">
        <w:rPr>
          <w:rFonts w:ascii="Times New Roman" w:hAnsi="Times New Roman" w:cs="Times New Roman"/>
          <w:b/>
          <w:bCs/>
        </w:rPr>
        <w:t>):*</w:t>
      </w:r>
      <w:proofErr w:type="gramEnd"/>
      <w:r w:rsidRPr="00B50432">
        <w:rPr>
          <w:rFonts w:ascii="Times New Roman" w:hAnsi="Times New Roman" w:cs="Times New Roman"/>
          <w:b/>
          <w:bCs/>
        </w:rPr>
        <w:t>*</w:t>
      </w:r>
    </w:p>
    <w:p w14:paraId="1BB3AF62" w14:textId="77777777" w:rsidR="00B50432" w:rsidRPr="00B50432" w:rsidRDefault="00B50432" w:rsidP="00B50432">
      <w:pPr>
        <w:rPr>
          <w:rFonts w:ascii="Times New Roman" w:hAnsi="Times New Roman" w:cs="Times New Roman"/>
        </w:rPr>
      </w:pPr>
    </w:p>
    <w:p w14:paraId="575C098F"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Year | Non-AI (GW) | Inference (GW) | Training (GW) | Total (GW) |</w:t>
      </w:r>
    </w:p>
    <w:p w14:paraId="00E78D51"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w:t>
      </w:r>
    </w:p>
    <w:p w14:paraId="4E251226"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2025 | 38.3 (47%) | 20.9 (25%) | 23.1 (28%) | 82.3 |</w:t>
      </w:r>
    </w:p>
    <w:p w14:paraId="7F361EB5"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2027 (extrapolated) | ~47 (38%) | ~45 (36%) | ~33 (26%) | ~125 |</w:t>
      </w:r>
    </w:p>
    <w:p w14:paraId="5A45086D"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2030 | 63.5 (29%) | 93.3 (43%) | 62.2 (28%) | 219.0 |</w:t>
      </w:r>
    </w:p>
    <w:p w14:paraId="25613569" w14:textId="77777777" w:rsidR="00B50432" w:rsidRPr="00B50432" w:rsidRDefault="00B50432" w:rsidP="00B50432">
      <w:pPr>
        <w:rPr>
          <w:rFonts w:ascii="Times New Roman" w:hAnsi="Times New Roman" w:cs="Times New Roman"/>
        </w:rPr>
      </w:pPr>
    </w:p>
    <w:p w14:paraId="1D4AC1A2"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**Deloitte (November 2025</w:t>
      </w:r>
      <w:proofErr w:type="gramStart"/>
      <w:r w:rsidRPr="00B50432">
        <w:rPr>
          <w:rFonts w:ascii="Times New Roman" w:hAnsi="Times New Roman" w:cs="Times New Roman"/>
          <w:b/>
          <w:bCs/>
        </w:rPr>
        <w:t>):*</w:t>
      </w:r>
      <w:proofErr w:type="gramEnd"/>
      <w:r w:rsidRPr="00B50432">
        <w:rPr>
          <w:rFonts w:ascii="Times New Roman" w:hAnsi="Times New Roman" w:cs="Times New Roman"/>
          <w:b/>
          <w:bCs/>
        </w:rPr>
        <w:t>*</w:t>
      </w:r>
      <w:r w:rsidRPr="00B50432">
        <w:rPr>
          <w:rFonts w:ascii="Times New Roman" w:hAnsi="Times New Roman" w:cs="Times New Roman"/>
        </w:rPr>
        <w:t xml:space="preserve"> Inference was approximately one-third of </w:t>
      </w:r>
      <w:proofErr w:type="gramStart"/>
      <w:r w:rsidRPr="00B50432">
        <w:rPr>
          <w:rFonts w:ascii="Times New Roman" w:hAnsi="Times New Roman" w:cs="Times New Roman"/>
        </w:rPr>
        <w:t>compute</w:t>
      </w:r>
      <w:proofErr w:type="gramEnd"/>
      <w:r w:rsidRPr="00B50432">
        <w:rPr>
          <w:rFonts w:ascii="Times New Roman" w:hAnsi="Times New Roman" w:cs="Times New Roman"/>
        </w:rPr>
        <w:t xml:space="preserve"> in 2023, roughly half in 2025, and projected two-thirds by 2026. Deloitte further notes that post-training and test-time scaling can be "relatively interruptible" compared to pre-training, which helps enable DR participation.</w:t>
      </w:r>
    </w:p>
    <w:p w14:paraId="57F31813" w14:textId="77777777" w:rsidR="00B50432" w:rsidRPr="00B50432" w:rsidRDefault="00B50432" w:rsidP="00B50432">
      <w:pPr>
        <w:rPr>
          <w:rFonts w:ascii="Times New Roman" w:hAnsi="Times New Roman" w:cs="Times New Roman"/>
        </w:rPr>
      </w:pPr>
    </w:p>
    <w:p w14:paraId="23EF81E5"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Workload Taxonomy and Flexibility Profiles</w:t>
      </w:r>
    </w:p>
    <w:p w14:paraId="365704BC" w14:textId="77777777" w:rsidR="00B50432" w:rsidRPr="00B50432" w:rsidRDefault="00B50432" w:rsidP="00B50432">
      <w:pPr>
        <w:rPr>
          <w:rFonts w:ascii="Times New Roman" w:hAnsi="Times New Roman" w:cs="Times New Roman"/>
        </w:rPr>
      </w:pPr>
    </w:p>
    <w:p w14:paraId="435D7245"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Rather than estimating S1 as a single universal constant, we define workload-type-specific flexibility profiles and compose them based on facility workload mixes. Four workload categories are relevant:</w:t>
      </w:r>
    </w:p>
    <w:p w14:paraId="72F58FF7" w14:textId="77777777" w:rsidR="00B50432" w:rsidRPr="00B50432" w:rsidRDefault="00B50432" w:rsidP="00B50432">
      <w:pPr>
        <w:rPr>
          <w:rFonts w:ascii="Times New Roman" w:hAnsi="Times New Roman" w:cs="Times New Roman"/>
        </w:rPr>
      </w:pPr>
    </w:p>
    <w:p w14:paraId="51A0DAD5"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**A. AI Inference (Stateless/Near-Stateless) — Architectural Spatial Flexibility: HIGH (0.80–0.</w:t>
      </w:r>
      <w:proofErr w:type="gramStart"/>
      <w:r w:rsidRPr="00B50432">
        <w:rPr>
          <w:rFonts w:ascii="Times New Roman" w:hAnsi="Times New Roman" w:cs="Times New Roman"/>
          <w:b/>
          <w:bCs/>
        </w:rPr>
        <w:t>95)*</w:t>
      </w:r>
      <w:proofErr w:type="gramEnd"/>
      <w:r w:rsidRPr="00B50432">
        <w:rPr>
          <w:rFonts w:ascii="Times New Roman" w:hAnsi="Times New Roman" w:cs="Times New Roman"/>
          <w:b/>
          <w:bCs/>
        </w:rPr>
        <w:t>*</w:t>
      </w:r>
    </w:p>
    <w:p w14:paraId="22F810FF" w14:textId="77777777" w:rsidR="00B50432" w:rsidRPr="00B50432" w:rsidRDefault="00B50432" w:rsidP="00B50432">
      <w:pPr>
        <w:rPr>
          <w:rFonts w:ascii="Times New Roman" w:hAnsi="Times New Roman" w:cs="Times New Roman"/>
        </w:rPr>
      </w:pPr>
    </w:p>
    <w:p w14:paraId="21B0C488"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Inference workloads are stateless at the request level: no persistent GPU state between requests, model weights loaded but not modified, KV-cache per-request and ephemeral.</w:t>
      </w:r>
    </w:p>
    <w:p w14:paraId="15704A3C" w14:textId="77777777" w:rsidR="00B50432" w:rsidRPr="00B50432" w:rsidRDefault="00B50432" w:rsidP="00B50432">
      <w:pPr>
        <w:rPr>
          <w:rFonts w:ascii="Times New Roman" w:hAnsi="Times New Roman" w:cs="Times New Roman"/>
        </w:rPr>
      </w:pPr>
    </w:p>
    <w:p w14:paraId="0FDC9573"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Key evidence:</w:t>
      </w:r>
    </w:p>
    <w:p w14:paraId="1C5E125B"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lastRenderedPageBreak/>
        <w:t xml:space="preserve">- McKinsey (December 2025) characterizes inference as "highly </w:t>
      </w:r>
      <w:proofErr w:type="spellStart"/>
      <w:r w:rsidRPr="00B50432">
        <w:rPr>
          <w:rFonts w:ascii="Times New Roman" w:hAnsi="Times New Roman" w:cs="Times New Roman"/>
        </w:rPr>
        <w:t>atomizable</w:t>
      </w:r>
      <w:proofErr w:type="spellEnd"/>
      <w:r w:rsidRPr="00B50432">
        <w:rPr>
          <w:rFonts w:ascii="Times New Roman" w:hAnsi="Times New Roman" w:cs="Times New Roman"/>
        </w:rPr>
        <w:t xml:space="preserve"> — individual tasks can be handled independently — unlike training, which relies on large-scale, tightly synchronized GPU clusters."</w:t>
      </w:r>
    </w:p>
    <w:p w14:paraId="5FF2DBAA"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proofErr w:type="spellStart"/>
      <w:r w:rsidRPr="00B50432">
        <w:rPr>
          <w:rFonts w:ascii="Times New Roman" w:hAnsi="Times New Roman" w:cs="Times New Roman"/>
        </w:rPr>
        <w:t>Splitwise</w:t>
      </w:r>
      <w:proofErr w:type="spellEnd"/>
      <w:r w:rsidRPr="00B50432">
        <w:rPr>
          <w:rFonts w:ascii="Times New Roman" w:hAnsi="Times New Roman" w:cs="Times New Roman"/>
        </w:rPr>
        <w:t xml:space="preserve"> (Patel et al., ISCA 2024) demonstrates that even within a single inference request, prompt and decode phases can be split across different machines with KV-cache transfer, implying inter-facility request routing is architecturally trivial compared to intra-request splitting.</w:t>
      </w:r>
    </w:p>
    <w:p w14:paraId="02E1E1DA"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proofErr w:type="spellStart"/>
      <w:r w:rsidRPr="00B50432">
        <w:rPr>
          <w:rFonts w:ascii="Times New Roman" w:hAnsi="Times New Roman" w:cs="Times New Roman"/>
        </w:rPr>
        <w:t>SageServe</w:t>
      </w:r>
      <w:proofErr w:type="spellEnd"/>
      <w:r w:rsidRPr="00B50432">
        <w:rPr>
          <w:rFonts w:ascii="Times New Roman" w:hAnsi="Times New Roman" w:cs="Times New Roman"/>
        </w:rPr>
        <w:t xml:space="preserve"> (Microsoft, 2025) production O365 traces show strong diurnal periodicity (ρ ≈ 0.95) for interactive foreground inference, confirming load is predictable and schedulable.</w:t>
      </w:r>
    </w:p>
    <w:p w14:paraId="2EA21A8C"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proofErr w:type="spellStart"/>
      <w:r w:rsidRPr="00B50432">
        <w:rPr>
          <w:rFonts w:ascii="Times New Roman" w:hAnsi="Times New Roman" w:cs="Times New Roman"/>
        </w:rPr>
        <w:t>DynamoLLM</w:t>
      </w:r>
      <w:proofErr w:type="spellEnd"/>
      <w:r w:rsidRPr="00B50432">
        <w:rPr>
          <w:rFonts w:ascii="Times New Roman" w:hAnsi="Times New Roman" w:cs="Times New Roman"/>
        </w:rPr>
        <w:t xml:space="preserve"> (Stojkovic et al., HPCA 2025) demonstrates inference clusters have significant load variation, with periods of low utilization where DVFS plus scale-in saves 53% energy.</w:t>
      </w:r>
    </w:p>
    <w:p w14:paraId="1BE1491A" w14:textId="77777777" w:rsidR="00B50432" w:rsidRPr="00B50432" w:rsidRDefault="00B50432" w:rsidP="00B50432">
      <w:pPr>
        <w:rPr>
          <w:rFonts w:ascii="Times New Roman" w:hAnsi="Times New Roman" w:cs="Times New Roman"/>
        </w:rPr>
      </w:pPr>
    </w:p>
    <w:p w14:paraId="2CBE2591"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The 0.80–0.95 range represents the architectural ceiling on spatial flexibility: the fraction of inference compute that could in principle migrate, based on workload architecture alone. The operational fraction that can </w:t>
      </w:r>
      <w:proofErr w:type="gramStart"/>
      <w:r w:rsidRPr="00B50432">
        <w:rPr>
          <w:rFonts w:ascii="Times New Roman" w:hAnsi="Times New Roman" w:cs="Times New Roman"/>
        </w:rPr>
        <w:t>actually execute</w:t>
      </w:r>
      <w:proofErr w:type="gramEnd"/>
      <w:r w:rsidRPr="00B50432">
        <w:rPr>
          <w:rFonts w:ascii="Times New Roman" w:hAnsi="Times New Roman" w:cs="Times New Roman"/>
        </w:rPr>
        <w:t xml:space="preserve"> migration in a specific event is captured separately by S2 and S3.</w:t>
      </w:r>
    </w:p>
    <w:p w14:paraId="15B3EB38" w14:textId="77777777" w:rsidR="00B50432" w:rsidRPr="00B50432" w:rsidRDefault="00B50432" w:rsidP="00B50432">
      <w:pPr>
        <w:rPr>
          <w:rFonts w:ascii="Times New Roman" w:hAnsi="Times New Roman" w:cs="Times New Roman"/>
        </w:rPr>
      </w:pPr>
    </w:p>
    <w:p w14:paraId="32537805"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DVFS amenability for inference is high:</w:t>
      </w:r>
    </w:p>
    <w:p w14:paraId="473025E4"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Patel et al. (ASPLOS 2024) measured approximately 21% power headroom at the cluster level in Azure production inference clusters due to statistical multiplexing.</w:t>
      </w:r>
    </w:p>
    <w:p w14:paraId="1D2A8002"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proofErr w:type="spellStart"/>
      <w:r w:rsidRPr="00B50432">
        <w:rPr>
          <w:rFonts w:ascii="Times New Roman" w:hAnsi="Times New Roman" w:cs="Times New Roman"/>
        </w:rPr>
        <w:t>Kakolyris</w:t>
      </w:r>
      <w:proofErr w:type="spellEnd"/>
      <w:r w:rsidRPr="00B50432">
        <w:rPr>
          <w:rFonts w:ascii="Times New Roman" w:hAnsi="Times New Roman" w:cs="Times New Roman"/>
        </w:rPr>
        <w:t xml:space="preserve"> et al. (IEEE CAL, 2024) achieved 22.8–45.5% energy savings under SLO constraints for inference serving through iteration-level GPU DVFS.</w:t>
      </w:r>
    </w:p>
    <w:p w14:paraId="027DA0F3" w14:textId="77777777" w:rsidR="00B50432" w:rsidRPr="00B50432" w:rsidRDefault="00B50432" w:rsidP="00B50432">
      <w:pPr>
        <w:rPr>
          <w:rFonts w:ascii="Times New Roman" w:hAnsi="Times New Roman" w:cs="Times New Roman"/>
        </w:rPr>
      </w:pPr>
    </w:p>
    <w:p w14:paraId="2894440C"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**B. AI Training (Synchronous, Stateful) — Spatial Flexibility: LOW (0.10–0.</w:t>
      </w:r>
      <w:proofErr w:type="gramStart"/>
      <w:r w:rsidRPr="00B50432">
        <w:rPr>
          <w:rFonts w:ascii="Times New Roman" w:hAnsi="Times New Roman" w:cs="Times New Roman"/>
          <w:b/>
          <w:bCs/>
        </w:rPr>
        <w:t>25)*</w:t>
      </w:r>
      <w:proofErr w:type="gramEnd"/>
      <w:r w:rsidRPr="00B50432">
        <w:rPr>
          <w:rFonts w:ascii="Times New Roman" w:hAnsi="Times New Roman" w:cs="Times New Roman"/>
          <w:b/>
          <w:bCs/>
        </w:rPr>
        <w:t>*</w:t>
      </w:r>
    </w:p>
    <w:p w14:paraId="5B035BEC" w14:textId="77777777" w:rsidR="00B50432" w:rsidRPr="00B50432" w:rsidRDefault="00B50432" w:rsidP="00B50432">
      <w:pPr>
        <w:rPr>
          <w:rFonts w:ascii="Times New Roman" w:hAnsi="Times New Roman" w:cs="Times New Roman"/>
        </w:rPr>
      </w:pPr>
    </w:p>
    <w:p w14:paraId="2AEA5C3B"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Training requires tight GPU synchronization across thousands of GPUs via </w:t>
      </w:r>
      <w:proofErr w:type="spellStart"/>
      <w:r w:rsidRPr="00B50432">
        <w:rPr>
          <w:rFonts w:ascii="Times New Roman" w:hAnsi="Times New Roman" w:cs="Times New Roman"/>
        </w:rPr>
        <w:t>NVLink</w:t>
      </w:r>
      <w:proofErr w:type="spellEnd"/>
      <w:r w:rsidRPr="00B50432">
        <w:rPr>
          <w:rFonts w:ascii="Times New Roman" w:hAnsi="Times New Roman" w:cs="Times New Roman"/>
        </w:rPr>
        <w:t>/InfiniBand. Mid-job migration requires full checkpoint (tens of GB to TB), cluster drain, and restart.</w:t>
      </w:r>
    </w:p>
    <w:p w14:paraId="7BE101B2" w14:textId="77777777" w:rsidR="00B50432" w:rsidRPr="00B50432" w:rsidRDefault="00B50432" w:rsidP="00B50432">
      <w:pPr>
        <w:rPr>
          <w:rFonts w:ascii="Times New Roman" w:hAnsi="Times New Roman" w:cs="Times New Roman"/>
        </w:rPr>
      </w:pPr>
    </w:p>
    <w:p w14:paraId="020B07B3"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Key evidence:</w:t>
      </w:r>
    </w:p>
    <w:p w14:paraId="7C32FF38"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Patel et al. (ASPLOS 2024) measured only approximately 3% power headroom in training clusters due to massive, coordinated power peaks from synchronous operations.</w:t>
      </w:r>
    </w:p>
    <w:p w14:paraId="4B75F318"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lastRenderedPageBreak/>
        <w:t>- Dubey et al. (Meta, 2024) documented 466 job interruptions during Llama 3's 54-day training run across 16,000 H100 GPUs, with recovery taking hours per event. This was failure recovery, not planned migration.</w:t>
      </w:r>
    </w:p>
    <w:p w14:paraId="06FBB1EB" w14:textId="77777777" w:rsidR="00B50432" w:rsidRPr="00B50432" w:rsidRDefault="00B50432" w:rsidP="00B50432">
      <w:pPr>
        <w:rPr>
          <w:rFonts w:ascii="Times New Roman" w:hAnsi="Times New Roman" w:cs="Times New Roman"/>
        </w:rPr>
      </w:pPr>
    </w:p>
    <w:p w14:paraId="00E541D1"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However, training has moderate-to-high temporal flexibility (0.60–0.80): runs last days to months, so completing six hours later is negligible impact. Deloitte explicitly identifies post-training as "relatively interruptible." Training participates in DR through DVFS and checkpoint-defer-restart, not through spatial migration.</w:t>
      </w:r>
    </w:p>
    <w:p w14:paraId="761AA04D" w14:textId="77777777" w:rsidR="00B50432" w:rsidRPr="00B50432" w:rsidRDefault="00B50432" w:rsidP="00B50432">
      <w:pPr>
        <w:rPr>
          <w:rFonts w:ascii="Times New Roman" w:hAnsi="Times New Roman" w:cs="Times New Roman"/>
        </w:rPr>
      </w:pPr>
    </w:p>
    <w:p w14:paraId="76849EB6"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**C. Traditional Cloud — Spatial Flexibility: MODERATE (0.30–0.</w:t>
      </w:r>
      <w:proofErr w:type="gramStart"/>
      <w:r w:rsidRPr="00B50432">
        <w:rPr>
          <w:rFonts w:ascii="Times New Roman" w:hAnsi="Times New Roman" w:cs="Times New Roman"/>
          <w:b/>
          <w:bCs/>
        </w:rPr>
        <w:t>50)*</w:t>
      </w:r>
      <w:proofErr w:type="gramEnd"/>
      <w:r w:rsidRPr="00B50432">
        <w:rPr>
          <w:rFonts w:ascii="Times New Roman" w:hAnsi="Times New Roman" w:cs="Times New Roman"/>
          <w:b/>
          <w:bCs/>
        </w:rPr>
        <w:t>*</w:t>
      </w:r>
    </w:p>
    <w:p w14:paraId="58C99158" w14:textId="77777777" w:rsidR="00B50432" w:rsidRPr="00B50432" w:rsidRDefault="00B50432" w:rsidP="00B50432">
      <w:pPr>
        <w:rPr>
          <w:rFonts w:ascii="Times New Roman" w:hAnsi="Times New Roman" w:cs="Times New Roman"/>
        </w:rPr>
      </w:pPr>
    </w:p>
    <w:p w14:paraId="47D9C618"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Google's Borg cluster management system reports approximately 40% of CPU usage allocated to non-production batch tiers (Verma et al., </w:t>
      </w:r>
      <w:proofErr w:type="spellStart"/>
      <w:r w:rsidRPr="00B50432">
        <w:rPr>
          <w:rFonts w:ascii="Times New Roman" w:hAnsi="Times New Roman" w:cs="Times New Roman"/>
        </w:rPr>
        <w:t>EuroSys</w:t>
      </w:r>
      <w:proofErr w:type="spellEnd"/>
      <w:r w:rsidRPr="00B50432">
        <w:rPr>
          <w:rFonts w:ascii="Times New Roman" w:hAnsi="Times New Roman" w:cs="Times New Roman"/>
        </w:rPr>
        <w:t xml:space="preserve"> 2015; </w:t>
      </w:r>
      <w:proofErr w:type="spellStart"/>
      <w:r w:rsidRPr="00B50432">
        <w:rPr>
          <w:rFonts w:ascii="Times New Roman" w:hAnsi="Times New Roman" w:cs="Times New Roman"/>
        </w:rPr>
        <w:t>Tirmazi</w:t>
      </w:r>
      <w:proofErr w:type="spellEnd"/>
      <w:r w:rsidRPr="00B50432">
        <w:rPr>
          <w:rFonts w:ascii="Times New Roman" w:hAnsi="Times New Roman" w:cs="Times New Roman"/>
        </w:rPr>
        <w:t xml:space="preserve"> et al., </w:t>
      </w:r>
      <w:proofErr w:type="spellStart"/>
      <w:r w:rsidRPr="00B50432">
        <w:rPr>
          <w:rFonts w:ascii="Times New Roman" w:hAnsi="Times New Roman" w:cs="Times New Roman"/>
        </w:rPr>
        <w:t>EuroSys</w:t>
      </w:r>
      <w:proofErr w:type="spellEnd"/>
      <w:r w:rsidRPr="00B50432">
        <w:rPr>
          <w:rFonts w:ascii="Times New Roman" w:hAnsi="Times New Roman" w:cs="Times New Roman"/>
        </w:rPr>
        <w:t xml:space="preserve"> 2020).</w:t>
      </w:r>
    </w:p>
    <w:p w14:paraId="08915A7E"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Azure reports 60% of VMs with average CPU utilization below 20% (Cortez et al., SOSP 2017).</w:t>
      </w:r>
    </w:p>
    <w:p w14:paraId="4B494A19"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Zhang &amp; Chien show a [0.4, 1.0] dynamic range achievable with intelligent scheduling but with goodput degradation. The upper bound of 0.50 reflects that achieving 60% dynamic range requires sophisticated scheduling with 24-hour foresight and produces 40–60% goodput loss; typical operations without such scheduling are closer to 0.30–0.40.</w:t>
      </w:r>
    </w:p>
    <w:p w14:paraId="55AC6F02" w14:textId="77777777" w:rsidR="00B50432" w:rsidRPr="00B50432" w:rsidRDefault="00B50432" w:rsidP="00B50432">
      <w:pPr>
        <w:rPr>
          <w:rFonts w:ascii="Times New Roman" w:hAnsi="Times New Roman" w:cs="Times New Roman"/>
        </w:rPr>
      </w:pPr>
    </w:p>
    <w:p w14:paraId="532B75F8"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**D. Fine-Tuning / Post-Training — Spatial Flexibility: MODERATE (0.30–0.</w:t>
      </w:r>
      <w:proofErr w:type="gramStart"/>
      <w:r w:rsidRPr="00B50432">
        <w:rPr>
          <w:rFonts w:ascii="Times New Roman" w:hAnsi="Times New Roman" w:cs="Times New Roman"/>
          <w:b/>
          <w:bCs/>
        </w:rPr>
        <w:t>50)*</w:t>
      </w:r>
      <w:proofErr w:type="gramEnd"/>
      <w:r w:rsidRPr="00B50432">
        <w:rPr>
          <w:rFonts w:ascii="Times New Roman" w:hAnsi="Times New Roman" w:cs="Times New Roman"/>
          <w:b/>
          <w:bCs/>
        </w:rPr>
        <w:t>*</w:t>
      </w:r>
    </w:p>
    <w:p w14:paraId="4559878E" w14:textId="77777777" w:rsidR="00B50432" w:rsidRPr="00B50432" w:rsidRDefault="00B50432" w:rsidP="00B50432">
      <w:pPr>
        <w:rPr>
          <w:rFonts w:ascii="Times New Roman" w:hAnsi="Times New Roman" w:cs="Times New Roman"/>
        </w:rPr>
      </w:pPr>
    </w:p>
    <w:p w14:paraId="16B231F9"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Smaller scale than pre-training (typically single-node or few-node). Checkpoints are smaller, enabling faster migration. Can be paused and resumed more readily. Non-real-time, not user-facing. High temporal flexibility (0.70–0.90). The 0.30–0.50 range is the author's estimate based on these architectural characteristics; no production measurement of fine-tuning spatial migration is available in the cited literature.</w:t>
      </w:r>
    </w:p>
    <w:p w14:paraId="4D33D9B3" w14:textId="77777777" w:rsidR="00B50432" w:rsidRPr="00B50432" w:rsidRDefault="00B50432" w:rsidP="00B50432">
      <w:pPr>
        <w:rPr>
          <w:rFonts w:ascii="Times New Roman" w:hAnsi="Times New Roman" w:cs="Times New Roman"/>
        </w:rPr>
      </w:pPr>
    </w:p>
    <w:p w14:paraId="5933835D"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S1 = 0.70 for the Inference-Dominant Scenario</w:t>
      </w:r>
    </w:p>
    <w:p w14:paraId="284370BC" w14:textId="77777777" w:rsidR="00B50432" w:rsidRPr="00B50432" w:rsidRDefault="00B50432" w:rsidP="00B50432">
      <w:pPr>
        <w:rPr>
          <w:rFonts w:ascii="Times New Roman" w:hAnsi="Times New Roman" w:cs="Times New Roman"/>
        </w:rPr>
      </w:pPr>
    </w:p>
    <w:p w14:paraId="3E48AFFE"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lastRenderedPageBreak/>
        <w:t>The inference-dominant scenario assumes a 70/10/10/10 workload mix (inference/training/cloud/fine-tuning). S1 = 0.70 is the inference share, grounded in McKinsey projections for 2027+ inference-specialized facilities.</w:t>
      </w:r>
    </w:p>
    <w:p w14:paraId="059478FF" w14:textId="77777777" w:rsidR="00B50432" w:rsidRPr="00B50432" w:rsidRDefault="00B50432" w:rsidP="00B50432">
      <w:pPr>
        <w:rPr>
          <w:rFonts w:ascii="Times New Roman" w:hAnsi="Times New Roman" w:cs="Times New Roman"/>
        </w:rPr>
      </w:pPr>
    </w:p>
    <w:p w14:paraId="2BF27A52"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S1 is a scenario construction, not a stochastic variable: within the inference-dominant archetype, S1 does not carry a range. The value is a modeling assumption informed by industry projections, not a published benchmark. The conceptual basis for distinct facility archetypes is well-supported by McKinsey, Uptime Institute, and Deloitte analyses of diverging infrastructure requirements, but no published source provides exact inference-share coefficients by facility type.</w:t>
      </w:r>
    </w:p>
    <w:p w14:paraId="104B71A9" w14:textId="77777777" w:rsidR="00B50432" w:rsidRPr="00B50432" w:rsidRDefault="00B50432" w:rsidP="00B50432">
      <w:pPr>
        <w:rPr>
          <w:rFonts w:ascii="Times New Roman" w:hAnsi="Times New Roman" w:cs="Times New Roman"/>
        </w:rPr>
      </w:pPr>
    </w:p>
    <w:p w14:paraId="39541A04"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Empirical Grounding: Azure LLM Inference Trace Analysis</w:t>
      </w:r>
    </w:p>
    <w:p w14:paraId="6A76D914" w14:textId="77777777" w:rsidR="00B50432" w:rsidRPr="00B50432" w:rsidRDefault="00B50432" w:rsidP="00B50432">
      <w:pPr>
        <w:rPr>
          <w:rFonts w:ascii="Times New Roman" w:hAnsi="Times New Roman" w:cs="Times New Roman"/>
        </w:rPr>
      </w:pPr>
    </w:p>
    <w:p w14:paraId="6C72B4FF"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To ground the inference flexibility profile in production data, we analyzed the </w:t>
      </w:r>
      <w:proofErr w:type="spellStart"/>
      <w:r w:rsidRPr="00B50432">
        <w:rPr>
          <w:rFonts w:ascii="Times New Roman" w:hAnsi="Times New Roman" w:cs="Times New Roman"/>
        </w:rPr>
        <w:t>DynamoLLM</w:t>
      </w:r>
      <w:proofErr w:type="spellEnd"/>
      <w:r w:rsidRPr="00B50432">
        <w:rPr>
          <w:rFonts w:ascii="Times New Roman" w:hAnsi="Times New Roman" w:cs="Times New Roman"/>
        </w:rPr>
        <w:t xml:space="preserve"> dataset (Stojkovic et al., HPCA 2025): 44.1 million production LLM inference requests across two Azure services, collected May 10–18, 2024. The dataset includes per-request timestamps, context tokens, generated tokens, and time-to-</w:t>
      </w:r>
      <w:proofErr w:type="gramStart"/>
      <w:r w:rsidRPr="00B50432">
        <w:rPr>
          <w:rFonts w:ascii="Times New Roman" w:hAnsi="Times New Roman" w:cs="Times New Roman"/>
        </w:rPr>
        <w:t>first-token</w:t>
      </w:r>
      <w:proofErr w:type="gramEnd"/>
      <w:r w:rsidRPr="00B50432">
        <w:rPr>
          <w:rFonts w:ascii="Times New Roman" w:hAnsi="Times New Roman" w:cs="Times New Roman"/>
        </w:rPr>
        <w:t xml:space="preserve"> for two distinct service traces (Coding and Conversation).</w:t>
      </w:r>
    </w:p>
    <w:p w14:paraId="07968796" w14:textId="77777777" w:rsidR="00B50432" w:rsidRPr="00B50432" w:rsidRDefault="00B50432" w:rsidP="00B50432">
      <w:pPr>
        <w:rPr>
          <w:rFonts w:ascii="Times New Roman" w:hAnsi="Times New Roman" w:cs="Times New Roman"/>
        </w:rPr>
      </w:pPr>
    </w:p>
    <w:p w14:paraId="34DC3D2A"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Key findings relevant to the cascade:</w:t>
      </w:r>
    </w:p>
    <w:p w14:paraId="00234C87" w14:textId="77777777" w:rsidR="00B50432" w:rsidRPr="00B50432" w:rsidRDefault="00B50432" w:rsidP="00B50432">
      <w:pPr>
        <w:rPr>
          <w:rFonts w:ascii="Times New Roman" w:hAnsi="Times New Roman" w:cs="Times New Roman"/>
        </w:rPr>
      </w:pPr>
    </w:p>
    <w:p w14:paraId="653B8978"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r w:rsidRPr="00B50432">
        <w:rPr>
          <w:rFonts w:ascii="Times New Roman" w:hAnsi="Times New Roman" w:cs="Times New Roman"/>
          <w:b/>
          <w:bCs/>
        </w:rPr>
        <w:t>**Load variability**</w:t>
      </w:r>
      <w:r w:rsidRPr="00B50432">
        <w:rPr>
          <w:rFonts w:ascii="Times New Roman" w:hAnsi="Times New Roman" w:cs="Times New Roman"/>
        </w:rPr>
        <w:t>: Hourly request coefficient of variation (CoV) ranges from 0.29 (Conversation) to 0.85 (Coding) across the two services, reflecting the sharper diurnal cycle in code-generation workloads. The 24-hour autocorrelation is moderate to strong (ρ ≈ 0.40–0.75), confirming diurnal periodicity, with Coding exhibiting the stronger cycle (ρ = 0.75). Weekday peak-to-trough ratios average 2.0:1 (Conversation) to 10.0:1 (Coding), with weekend load reduction of 43–68%. Median headroom versus peak is 38% (Conversation) to 80% (Coding) of instantaneous capacity. This variability is the temporal flexibility that DVFS exploits.</w:t>
      </w:r>
    </w:p>
    <w:p w14:paraId="3815A3CD" w14:textId="77777777" w:rsidR="00B50432" w:rsidRPr="00B50432" w:rsidRDefault="00B50432" w:rsidP="00B50432">
      <w:pPr>
        <w:rPr>
          <w:rFonts w:ascii="Times New Roman" w:hAnsi="Times New Roman" w:cs="Times New Roman"/>
        </w:rPr>
      </w:pPr>
    </w:p>
    <w:p w14:paraId="3139C438"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r w:rsidRPr="00B50432">
        <w:rPr>
          <w:rFonts w:ascii="Times New Roman" w:hAnsi="Times New Roman" w:cs="Times New Roman"/>
          <w:b/>
          <w:bCs/>
        </w:rPr>
        <w:t xml:space="preserve">**Drain </w:t>
      </w:r>
      <w:proofErr w:type="gramStart"/>
      <w:r w:rsidRPr="00B50432">
        <w:rPr>
          <w:rFonts w:ascii="Times New Roman" w:hAnsi="Times New Roman" w:cs="Times New Roman"/>
          <w:b/>
          <w:bCs/>
        </w:rPr>
        <w:t>time:*</w:t>
      </w:r>
      <w:proofErr w:type="gramEnd"/>
      <w:r w:rsidRPr="00B50432">
        <w:rPr>
          <w:rFonts w:ascii="Times New Roman" w:hAnsi="Times New Roman" w:cs="Times New Roman"/>
          <w:b/>
          <w:bCs/>
        </w:rPr>
        <w:t>*</w:t>
      </w:r>
      <w:r w:rsidRPr="00B50432">
        <w:rPr>
          <w:rFonts w:ascii="Times New Roman" w:hAnsi="Times New Roman" w:cs="Times New Roman"/>
        </w:rPr>
        <w:t xml:space="preserve"> P99 generated token counts imply drain times of 4.5–11.6 seconds at typical throughput (60 </w:t>
      </w:r>
      <w:proofErr w:type="spellStart"/>
      <w:r w:rsidRPr="00B50432">
        <w:rPr>
          <w:rFonts w:ascii="Times New Roman" w:hAnsi="Times New Roman" w:cs="Times New Roman"/>
        </w:rPr>
        <w:t>tok</w:t>
      </w:r>
      <w:proofErr w:type="spellEnd"/>
      <w:r w:rsidRPr="00B50432">
        <w:rPr>
          <w:rFonts w:ascii="Times New Roman" w:hAnsi="Times New Roman" w:cs="Times New Roman"/>
        </w:rPr>
        <w:t xml:space="preserve">/s per GPU), spanning Coding (4.5 s) and Conversation (11.6 s) services. At optimistic throughput (100 </w:t>
      </w:r>
      <w:proofErr w:type="spellStart"/>
      <w:r w:rsidRPr="00B50432">
        <w:rPr>
          <w:rFonts w:ascii="Times New Roman" w:hAnsi="Times New Roman" w:cs="Times New Roman"/>
        </w:rPr>
        <w:t>tok</w:t>
      </w:r>
      <w:proofErr w:type="spellEnd"/>
      <w:r w:rsidRPr="00B50432">
        <w:rPr>
          <w:rFonts w:ascii="Times New Roman" w:hAnsi="Times New Roman" w:cs="Times New Roman"/>
        </w:rPr>
        <w:t>/s), drain times compress to 2.7–7.0 seconds. Even at the P99.9 level, individual requests complete well within one minute. This confirms that for inference, the "migration" operation completes in seconds to tens of seconds, not minutes.</w:t>
      </w:r>
    </w:p>
    <w:p w14:paraId="10295C88" w14:textId="77777777" w:rsidR="00B50432" w:rsidRPr="00B50432" w:rsidRDefault="00B50432" w:rsidP="00B50432">
      <w:pPr>
        <w:rPr>
          <w:rFonts w:ascii="Times New Roman" w:hAnsi="Times New Roman" w:cs="Times New Roman"/>
        </w:rPr>
      </w:pPr>
    </w:p>
    <w:p w14:paraId="1DCF8C20"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r w:rsidRPr="00B50432">
        <w:rPr>
          <w:rFonts w:ascii="Times New Roman" w:hAnsi="Times New Roman" w:cs="Times New Roman"/>
          <w:b/>
          <w:bCs/>
        </w:rPr>
        <w:t xml:space="preserve">**Request </w:t>
      </w:r>
      <w:proofErr w:type="gramStart"/>
      <w:r w:rsidRPr="00B50432">
        <w:rPr>
          <w:rFonts w:ascii="Times New Roman" w:hAnsi="Times New Roman" w:cs="Times New Roman"/>
          <w:b/>
          <w:bCs/>
        </w:rPr>
        <w:t>independence:*</w:t>
      </w:r>
      <w:proofErr w:type="gramEnd"/>
      <w:r w:rsidRPr="00B50432">
        <w:rPr>
          <w:rFonts w:ascii="Times New Roman" w:hAnsi="Times New Roman" w:cs="Times New Roman"/>
          <w:b/>
          <w:bCs/>
        </w:rPr>
        <w:t>*</w:t>
      </w:r>
      <w:r w:rsidRPr="00B50432">
        <w:rPr>
          <w:rFonts w:ascii="Times New Roman" w:hAnsi="Times New Roman" w:cs="Times New Roman"/>
        </w:rPr>
        <w:t xml:space="preserve"> Inter-arrival time distributions are approximately exponential (consistent with independent Poisson arrivals). This supports the architectural argument that inference requests are statistically independent and can be routed to any available endpoint without coordination.</w:t>
      </w:r>
    </w:p>
    <w:p w14:paraId="3E3F5C60" w14:textId="77777777" w:rsidR="00B50432" w:rsidRPr="00B50432" w:rsidRDefault="00B50432" w:rsidP="00B50432">
      <w:pPr>
        <w:rPr>
          <w:rFonts w:ascii="Times New Roman" w:hAnsi="Times New Roman" w:cs="Times New Roman"/>
        </w:rPr>
      </w:pPr>
    </w:p>
    <w:p w14:paraId="1FC7A3EC"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r w:rsidRPr="00B50432">
        <w:rPr>
          <w:rFonts w:ascii="Times New Roman" w:hAnsi="Times New Roman" w:cs="Times New Roman"/>
          <w:b/>
          <w:bCs/>
        </w:rPr>
        <w:t xml:space="preserve">**Token throughput versus request </w:t>
      </w:r>
      <w:proofErr w:type="gramStart"/>
      <w:r w:rsidRPr="00B50432">
        <w:rPr>
          <w:rFonts w:ascii="Times New Roman" w:hAnsi="Times New Roman" w:cs="Times New Roman"/>
          <w:b/>
          <w:bCs/>
        </w:rPr>
        <w:t>count:*</w:t>
      </w:r>
      <w:proofErr w:type="gramEnd"/>
      <w:r w:rsidRPr="00B50432">
        <w:rPr>
          <w:rFonts w:ascii="Times New Roman" w:hAnsi="Times New Roman" w:cs="Times New Roman"/>
          <w:b/>
          <w:bCs/>
        </w:rPr>
        <w:t>*</w:t>
      </w:r>
      <w:r w:rsidRPr="00B50432">
        <w:rPr>
          <w:rFonts w:ascii="Times New Roman" w:hAnsi="Times New Roman" w:cs="Times New Roman"/>
        </w:rPr>
        <w:t xml:space="preserve"> Correlation between hourly request counts and hourly token throughput is 0.85–0.95, meaning request-count-based load metrics are a reasonable proxy for compute-weighted load. This simplifies operational implementation: the orchestrator can make routing decisions based on request counts without per-request compute profiling.</w:t>
      </w:r>
    </w:p>
    <w:p w14:paraId="48E84E6E" w14:textId="77777777" w:rsidR="00B50432" w:rsidRPr="00B50432" w:rsidRDefault="00B50432" w:rsidP="00B50432">
      <w:pPr>
        <w:rPr>
          <w:rFonts w:ascii="Times New Roman" w:hAnsi="Times New Roman" w:cs="Times New Roman"/>
        </w:rPr>
      </w:pPr>
    </w:p>
    <w:p w14:paraId="1315A68F"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w:t>
      </w:r>
    </w:p>
    <w:p w14:paraId="40A37233" w14:textId="77777777" w:rsidR="00B50432" w:rsidRPr="00B50432" w:rsidRDefault="00B50432" w:rsidP="00B50432">
      <w:pPr>
        <w:rPr>
          <w:rFonts w:ascii="Times New Roman" w:hAnsi="Times New Roman" w:cs="Times New Roman"/>
        </w:rPr>
      </w:pPr>
    </w:p>
    <w:p w14:paraId="5960D57C"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S2: Data Locality</w:t>
      </w:r>
    </w:p>
    <w:p w14:paraId="72EAD068" w14:textId="77777777" w:rsidR="00B50432" w:rsidRPr="00B50432" w:rsidRDefault="00B50432" w:rsidP="00B50432">
      <w:pPr>
        <w:rPr>
          <w:rFonts w:ascii="Times New Roman" w:hAnsi="Times New Roman" w:cs="Times New Roman"/>
        </w:rPr>
      </w:pPr>
    </w:p>
    <w:p w14:paraId="354A283B"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Attribute | Value |</w:t>
      </w:r>
    </w:p>
    <w:p w14:paraId="78F64269" w14:textId="77777777" w:rsidR="00B50432" w:rsidRPr="00B50432" w:rsidRDefault="00B50432" w:rsidP="00B50432">
      <w:pPr>
        <w:rPr>
          <w:rFonts w:ascii="Times New Roman" w:hAnsi="Times New Roman" w:cs="Times New Roman"/>
        </w:rPr>
      </w:pPr>
      <w:proofErr w:type="gramStart"/>
      <w:r w:rsidRPr="00B50432">
        <w:rPr>
          <w:rFonts w:ascii="Times New Roman" w:hAnsi="Times New Roman" w:cs="Times New Roman"/>
        </w:rPr>
        <w:t>|---|---|</w:t>
      </w:r>
      <w:proofErr w:type="gramEnd"/>
    </w:p>
    <w:p w14:paraId="1A5EB454"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Central value | 0.70 |</w:t>
      </w:r>
    </w:p>
    <w:p w14:paraId="3E38A97F"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Range | </w:t>
      </w:r>
      <w:proofErr w:type="gramStart"/>
      <w:r w:rsidRPr="00B50432">
        <w:rPr>
          <w:rFonts w:ascii="Times New Roman" w:hAnsi="Times New Roman" w:cs="Times New Roman"/>
        </w:rPr>
        <w:t>Uniform[</w:t>
      </w:r>
      <w:proofErr w:type="gramEnd"/>
      <w:r w:rsidRPr="00B50432">
        <w:rPr>
          <w:rFonts w:ascii="Times New Roman" w:hAnsi="Times New Roman" w:cs="Times New Roman"/>
        </w:rPr>
        <w:t>0.60, 0.95] |</w:t>
      </w:r>
    </w:p>
    <w:p w14:paraId="1ECB42B5"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Grounding quality | ESTIMATED-WEAK |</w:t>
      </w:r>
    </w:p>
    <w:p w14:paraId="76CADDDC"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Variance contribution | 12.5% (4th highest) |</w:t>
      </w:r>
    </w:p>
    <w:p w14:paraId="5FAE4565" w14:textId="77777777" w:rsidR="00B50432" w:rsidRPr="00B50432" w:rsidRDefault="00B50432" w:rsidP="00B50432">
      <w:pPr>
        <w:rPr>
          <w:rFonts w:ascii="Times New Roman" w:hAnsi="Times New Roman" w:cs="Times New Roman"/>
        </w:rPr>
      </w:pPr>
    </w:p>
    <w:p w14:paraId="3BA912ED"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What S2 Measures</w:t>
      </w:r>
    </w:p>
    <w:p w14:paraId="6047E2C4" w14:textId="77777777" w:rsidR="00B50432" w:rsidRPr="00B50432" w:rsidRDefault="00B50432" w:rsidP="00B50432">
      <w:pPr>
        <w:rPr>
          <w:rFonts w:ascii="Times New Roman" w:hAnsi="Times New Roman" w:cs="Times New Roman"/>
        </w:rPr>
      </w:pPr>
    </w:p>
    <w:p w14:paraId="40D35CC8"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S2 answers: *of the S1-eligible inference workloads, what fraction is not geographically pinned by data residency mandates, sovereignty requirements, or contractual constraints that prevent relocation to a cross-interconnection </w:t>
      </w:r>
      <w:proofErr w:type="gramStart"/>
      <w:r w:rsidRPr="00B50432">
        <w:rPr>
          <w:rFonts w:ascii="Times New Roman" w:hAnsi="Times New Roman" w:cs="Times New Roman"/>
        </w:rPr>
        <w:t>destination?*</w:t>
      </w:r>
      <w:proofErr w:type="gramEnd"/>
    </w:p>
    <w:p w14:paraId="079B4DDC" w14:textId="77777777" w:rsidR="00B50432" w:rsidRPr="00B50432" w:rsidRDefault="00B50432" w:rsidP="00B50432">
      <w:pPr>
        <w:rPr>
          <w:rFonts w:ascii="Times New Roman" w:hAnsi="Times New Roman" w:cs="Times New Roman"/>
        </w:rPr>
      </w:pPr>
    </w:p>
    <w:p w14:paraId="6C06A54B"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S2 was previously combined with operational timing as a single "execution feasibility" parameter (old S2 = data locality × timing, central 0.72). In the 10-parameter cascade, data </w:t>
      </w:r>
      <w:r w:rsidRPr="00B50432">
        <w:rPr>
          <w:rFonts w:ascii="Times New Roman" w:hAnsi="Times New Roman" w:cs="Times New Roman"/>
        </w:rPr>
        <w:lastRenderedPageBreak/>
        <w:t>locality and operational timing are separated into S2 and S3 respectively, reflecting that they represent fundamentally different constraints: S2 is a regulatory/contractual constraint that applies before any dispatch event, while S3 is a physical timing constraint that applies during the event.</w:t>
      </w:r>
    </w:p>
    <w:p w14:paraId="56002D2C" w14:textId="77777777" w:rsidR="00B50432" w:rsidRPr="00B50432" w:rsidRDefault="00B50432" w:rsidP="00B50432">
      <w:pPr>
        <w:rPr>
          <w:rFonts w:ascii="Times New Roman" w:hAnsi="Times New Roman" w:cs="Times New Roman"/>
        </w:rPr>
      </w:pPr>
    </w:p>
    <w:p w14:paraId="5FD1E5CC"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Three Categories of Geographic Constraint</w:t>
      </w:r>
    </w:p>
    <w:p w14:paraId="1269A3C5" w14:textId="77777777" w:rsidR="00B50432" w:rsidRPr="00B50432" w:rsidRDefault="00B50432" w:rsidP="00B50432">
      <w:pPr>
        <w:rPr>
          <w:rFonts w:ascii="Times New Roman" w:hAnsi="Times New Roman" w:cs="Times New Roman"/>
        </w:rPr>
      </w:pPr>
    </w:p>
    <w:p w14:paraId="79BC7C2D"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xml:space="preserve">**1. Data residency and sovereignty </w:t>
      </w:r>
      <w:proofErr w:type="gramStart"/>
      <w:r w:rsidRPr="00B50432">
        <w:rPr>
          <w:rFonts w:ascii="Times New Roman" w:hAnsi="Times New Roman" w:cs="Times New Roman"/>
          <w:b/>
          <w:bCs/>
        </w:rPr>
        <w:t>mandates.*</w:t>
      </w:r>
      <w:proofErr w:type="gramEnd"/>
      <w:r w:rsidRPr="00B50432">
        <w:rPr>
          <w:rFonts w:ascii="Times New Roman" w:hAnsi="Times New Roman" w:cs="Times New Roman"/>
          <w:b/>
          <w:bCs/>
        </w:rPr>
        <w:t>*</w:t>
      </w:r>
    </w:p>
    <w:p w14:paraId="4EF4D2B7" w14:textId="77777777" w:rsidR="00B50432" w:rsidRPr="00B50432" w:rsidRDefault="00B50432" w:rsidP="00B50432">
      <w:pPr>
        <w:rPr>
          <w:rFonts w:ascii="Times New Roman" w:hAnsi="Times New Roman" w:cs="Times New Roman"/>
        </w:rPr>
      </w:pPr>
    </w:p>
    <w:p w14:paraId="2144A6CD"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GDPR (EU), China's Personal Information Protection Law (PIPL), India's Digital Personal Data Protection Act (DPDP), and sector-specific regulations create hard geographic boundaries:</w:t>
      </w:r>
    </w:p>
    <w:p w14:paraId="61BFC4A9" w14:textId="77777777" w:rsidR="00B50432" w:rsidRPr="00B50432" w:rsidRDefault="00B50432" w:rsidP="00B50432">
      <w:pPr>
        <w:rPr>
          <w:rFonts w:ascii="Times New Roman" w:hAnsi="Times New Roman" w:cs="Times New Roman"/>
        </w:rPr>
      </w:pPr>
    </w:p>
    <w:p w14:paraId="14E87E75"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GDPR Article 44–49 restricts transfer of personal data outside the EEA unless adequacy decisions or approved safeguards apply. Inference workloads processing EU personal data cannot migrate to a US facility without explicit legal basis.</w:t>
      </w:r>
    </w:p>
    <w:p w14:paraId="36481A08"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HIPAA (US healthcare): Protected health information must be processed by covered entities or business associates, with geographic restrictions implicit in the compliance framework.</w:t>
      </w:r>
    </w:p>
    <w:p w14:paraId="071B8258"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SOX-adjacent financial regulations: Certain financial data processing must occur within regulated environments.</w:t>
      </w:r>
    </w:p>
    <w:p w14:paraId="456430DA"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Bain (2025) notes growing sovereign AI requirements as governments increasingly mandate domestic processing for sensitive inference workloads.</w:t>
      </w:r>
    </w:p>
    <w:p w14:paraId="2FB2EE98" w14:textId="77777777" w:rsidR="00B50432" w:rsidRPr="00B50432" w:rsidRDefault="00B50432" w:rsidP="00B50432">
      <w:pPr>
        <w:rPr>
          <w:rFonts w:ascii="Times New Roman" w:hAnsi="Times New Roman" w:cs="Times New Roman"/>
        </w:rPr>
      </w:pPr>
    </w:p>
    <w:p w14:paraId="7E77F70F"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Regulatory constraints are estimated to pin 10–15% of inference workloads.</w:t>
      </w:r>
    </w:p>
    <w:p w14:paraId="5B4E0358" w14:textId="77777777" w:rsidR="00B50432" w:rsidRPr="00B50432" w:rsidRDefault="00B50432" w:rsidP="00B50432">
      <w:pPr>
        <w:rPr>
          <w:rFonts w:ascii="Times New Roman" w:hAnsi="Times New Roman" w:cs="Times New Roman"/>
        </w:rPr>
      </w:pPr>
    </w:p>
    <w:p w14:paraId="5AE31B69"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xml:space="preserve">**2. Ultra-low-latency SLO </w:t>
      </w:r>
      <w:proofErr w:type="gramStart"/>
      <w:r w:rsidRPr="00B50432">
        <w:rPr>
          <w:rFonts w:ascii="Times New Roman" w:hAnsi="Times New Roman" w:cs="Times New Roman"/>
          <w:b/>
          <w:bCs/>
        </w:rPr>
        <w:t>constraints.*</w:t>
      </w:r>
      <w:proofErr w:type="gramEnd"/>
      <w:r w:rsidRPr="00B50432">
        <w:rPr>
          <w:rFonts w:ascii="Times New Roman" w:hAnsi="Times New Roman" w:cs="Times New Roman"/>
          <w:b/>
          <w:bCs/>
        </w:rPr>
        <w:t>*</w:t>
      </w:r>
    </w:p>
    <w:p w14:paraId="559F802E" w14:textId="77777777" w:rsidR="00B50432" w:rsidRPr="00B50432" w:rsidRDefault="00B50432" w:rsidP="00B50432">
      <w:pPr>
        <w:rPr>
          <w:rFonts w:ascii="Times New Roman" w:hAnsi="Times New Roman" w:cs="Times New Roman"/>
        </w:rPr>
      </w:pPr>
    </w:p>
    <w:p w14:paraId="63055A46"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A fraction of inference traffic has latency requirements tight enough (sub-10ms round-trip) that geographic distance precludes cross-interconnection routing. This primarily affects:</w:t>
      </w:r>
    </w:p>
    <w:p w14:paraId="5F65090B"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Real-time interactive applications (gaming inference, high-frequency trading co-processing, real-time robotics control)</w:t>
      </w:r>
    </w:p>
    <w:p w14:paraId="4218CE20"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Edge-deployed inference with hard latency budgets</w:t>
      </w:r>
    </w:p>
    <w:p w14:paraId="4CA88761" w14:textId="77777777" w:rsidR="00B50432" w:rsidRPr="00B50432" w:rsidRDefault="00B50432" w:rsidP="00B50432">
      <w:pPr>
        <w:rPr>
          <w:rFonts w:ascii="Times New Roman" w:hAnsi="Times New Roman" w:cs="Times New Roman"/>
        </w:rPr>
      </w:pPr>
    </w:p>
    <w:p w14:paraId="785E6156"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It does NOT affect cloud API serving, batch inference, embedding generation, or asynchronous model evaluation, which constitute the majority of inference compute and tolerate 50–200ms latency without SLO violation. Latency-sensitive workloads are estimated to constrain an additional 5–10%.</w:t>
      </w:r>
    </w:p>
    <w:p w14:paraId="57C91CEC" w14:textId="77777777" w:rsidR="00B50432" w:rsidRPr="00B50432" w:rsidRDefault="00B50432" w:rsidP="00B50432">
      <w:pPr>
        <w:rPr>
          <w:rFonts w:ascii="Times New Roman" w:hAnsi="Times New Roman" w:cs="Times New Roman"/>
        </w:rPr>
      </w:pPr>
    </w:p>
    <w:p w14:paraId="59676D2A"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xml:space="preserve">**3. Enterprise contractual </w:t>
      </w:r>
      <w:proofErr w:type="gramStart"/>
      <w:r w:rsidRPr="00B50432">
        <w:rPr>
          <w:rFonts w:ascii="Times New Roman" w:hAnsi="Times New Roman" w:cs="Times New Roman"/>
          <w:b/>
          <w:bCs/>
        </w:rPr>
        <w:t>restrictions.*</w:t>
      </w:r>
      <w:proofErr w:type="gramEnd"/>
      <w:r w:rsidRPr="00B50432">
        <w:rPr>
          <w:rFonts w:ascii="Times New Roman" w:hAnsi="Times New Roman" w:cs="Times New Roman"/>
          <w:b/>
          <w:bCs/>
        </w:rPr>
        <w:t>*</w:t>
      </w:r>
    </w:p>
    <w:p w14:paraId="6FD3BF85" w14:textId="77777777" w:rsidR="00B50432" w:rsidRPr="00B50432" w:rsidRDefault="00B50432" w:rsidP="00B50432">
      <w:pPr>
        <w:rPr>
          <w:rFonts w:ascii="Times New Roman" w:hAnsi="Times New Roman" w:cs="Times New Roman"/>
        </w:rPr>
      </w:pPr>
    </w:p>
    <w:p w14:paraId="2967344C"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Some enterprise cloud deployments include contractual provisions specifying the region or facility where workloads </w:t>
      </w:r>
      <w:proofErr w:type="gramStart"/>
      <w:r w:rsidRPr="00B50432">
        <w:rPr>
          <w:rFonts w:ascii="Times New Roman" w:hAnsi="Times New Roman" w:cs="Times New Roman"/>
        </w:rPr>
        <w:t>execute</w:t>
      </w:r>
      <w:proofErr w:type="gramEnd"/>
      <w:r w:rsidRPr="00B50432">
        <w:rPr>
          <w:rFonts w:ascii="Times New Roman" w:hAnsi="Times New Roman" w:cs="Times New Roman"/>
        </w:rPr>
        <w:t>, independent of regulatory requirements. These constraints are commercial, not physical, but they are binding during a dispatch event. Enterprise restrictions are estimated to add another 5–10%.</w:t>
      </w:r>
    </w:p>
    <w:p w14:paraId="774E1F7F" w14:textId="77777777" w:rsidR="00B50432" w:rsidRPr="00B50432" w:rsidRDefault="00B50432" w:rsidP="00B50432">
      <w:pPr>
        <w:rPr>
          <w:rFonts w:ascii="Times New Roman" w:hAnsi="Times New Roman" w:cs="Times New Roman"/>
        </w:rPr>
      </w:pPr>
    </w:p>
    <w:p w14:paraId="0B1B4DD1"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Range Justification</w:t>
      </w:r>
    </w:p>
    <w:p w14:paraId="3184F603" w14:textId="77777777" w:rsidR="00B50432" w:rsidRPr="00B50432" w:rsidRDefault="00B50432" w:rsidP="00B50432">
      <w:pPr>
        <w:rPr>
          <w:rFonts w:ascii="Times New Roman" w:hAnsi="Times New Roman" w:cs="Times New Roman"/>
        </w:rPr>
      </w:pPr>
    </w:p>
    <w:p w14:paraId="54DE9593"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r w:rsidRPr="00B50432">
        <w:rPr>
          <w:rFonts w:ascii="Times New Roman" w:hAnsi="Times New Roman" w:cs="Times New Roman"/>
          <w:b/>
          <w:bCs/>
        </w:rPr>
        <w:t>**Floor (0.60</w:t>
      </w:r>
      <w:proofErr w:type="gramStart"/>
      <w:r w:rsidRPr="00B50432">
        <w:rPr>
          <w:rFonts w:ascii="Times New Roman" w:hAnsi="Times New Roman" w:cs="Times New Roman"/>
          <w:b/>
          <w:bCs/>
        </w:rPr>
        <w:t>):*</w:t>
      </w:r>
      <w:proofErr w:type="gramEnd"/>
      <w:r w:rsidRPr="00B50432">
        <w:rPr>
          <w:rFonts w:ascii="Times New Roman" w:hAnsi="Times New Roman" w:cs="Times New Roman"/>
          <w:b/>
          <w:bCs/>
        </w:rPr>
        <w:t>*</w:t>
      </w:r>
      <w:r w:rsidRPr="00B50432">
        <w:rPr>
          <w:rFonts w:ascii="Times New Roman" w:hAnsi="Times New Roman" w:cs="Times New Roman"/>
        </w:rPr>
        <w:t xml:space="preserve"> Reflects a scenario where sovereign AI mandates, data residency regulations, and enterprise restrictions collectively pin ~40% of inference workloads to specific regions. This is </w:t>
      </w:r>
      <w:proofErr w:type="gramStart"/>
      <w:r w:rsidRPr="00B50432">
        <w:rPr>
          <w:rFonts w:ascii="Times New Roman" w:hAnsi="Times New Roman" w:cs="Times New Roman"/>
        </w:rPr>
        <w:t>the</w:t>
      </w:r>
      <w:proofErr w:type="gramEnd"/>
      <w:r w:rsidRPr="00B50432">
        <w:rPr>
          <w:rFonts w:ascii="Times New Roman" w:hAnsi="Times New Roman" w:cs="Times New Roman"/>
        </w:rPr>
        <w:t xml:space="preserve"> pessimistic case accounting for regulatory expansion and enterprise contract rigidity.</w:t>
      </w:r>
    </w:p>
    <w:p w14:paraId="7A1D02FD" w14:textId="77777777" w:rsidR="00B50432" w:rsidRPr="00B50432" w:rsidRDefault="00B50432" w:rsidP="00B50432">
      <w:pPr>
        <w:rPr>
          <w:rFonts w:ascii="Times New Roman" w:hAnsi="Times New Roman" w:cs="Times New Roman"/>
        </w:rPr>
      </w:pPr>
    </w:p>
    <w:p w14:paraId="460894E7"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r w:rsidRPr="00B50432">
        <w:rPr>
          <w:rFonts w:ascii="Times New Roman" w:hAnsi="Times New Roman" w:cs="Times New Roman"/>
          <w:b/>
          <w:bCs/>
        </w:rPr>
        <w:t>**Central (0.70</w:t>
      </w:r>
      <w:proofErr w:type="gramStart"/>
      <w:r w:rsidRPr="00B50432">
        <w:rPr>
          <w:rFonts w:ascii="Times New Roman" w:hAnsi="Times New Roman" w:cs="Times New Roman"/>
          <w:b/>
          <w:bCs/>
        </w:rPr>
        <w:t>):*</w:t>
      </w:r>
      <w:proofErr w:type="gramEnd"/>
      <w:r w:rsidRPr="00B50432">
        <w:rPr>
          <w:rFonts w:ascii="Times New Roman" w:hAnsi="Times New Roman" w:cs="Times New Roman"/>
          <w:b/>
          <w:bCs/>
        </w:rPr>
        <w:t>*</w:t>
      </w:r>
      <w:r w:rsidRPr="00B50432">
        <w:rPr>
          <w:rFonts w:ascii="Times New Roman" w:hAnsi="Times New Roman" w:cs="Times New Roman"/>
        </w:rPr>
        <w:t xml:space="preserve"> Author's estimate. Total pinned: ~30% (regulatory 10–15%, latency 5–10%, enterprise 5–10%).</w:t>
      </w:r>
    </w:p>
    <w:p w14:paraId="52453876" w14:textId="77777777" w:rsidR="00B50432" w:rsidRPr="00B50432" w:rsidRDefault="00B50432" w:rsidP="00B50432">
      <w:pPr>
        <w:rPr>
          <w:rFonts w:ascii="Times New Roman" w:hAnsi="Times New Roman" w:cs="Times New Roman"/>
        </w:rPr>
      </w:pPr>
    </w:p>
    <w:p w14:paraId="4493D8D7"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r w:rsidRPr="00B50432">
        <w:rPr>
          <w:rFonts w:ascii="Times New Roman" w:hAnsi="Times New Roman" w:cs="Times New Roman"/>
          <w:b/>
          <w:bCs/>
        </w:rPr>
        <w:t>**Ceiling (0.95</w:t>
      </w:r>
      <w:proofErr w:type="gramStart"/>
      <w:r w:rsidRPr="00B50432">
        <w:rPr>
          <w:rFonts w:ascii="Times New Roman" w:hAnsi="Times New Roman" w:cs="Times New Roman"/>
          <w:b/>
          <w:bCs/>
        </w:rPr>
        <w:t>):*</w:t>
      </w:r>
      <w:proofErr w:type="gramEnd"/>
      <w:r w:rsidRPr="00B50432">
        <w:rPr>
          <w:rFonts w:ascii="Times New Roman" w:hAnsi="Times New Roman" w:cs="Times New Roman"/>
          <w:b/>
          <w:bCs/>
        </w:rPr>
        <w:t>*</w:t>
      </w:r>
      <w:r w:rsidRPr="00B50432">
        <w:rPr>
          <w:rFonts w:ascii="Times New Roman" w:hAnsi="Times New Roman" w:cs="Times New Roman"/>
        </w:rPr>
        <w:t xml:space="preserve"> Reflects that the bulk of inference traffic — cloud API serving, batch inference, embedding generation, asynchronous model evaluation — has no geographic constraint beyond continental latency bounds. Bain (2025) characterizes this traffic as the majority of inference </w:t>
      </w:r>
      <w:proofErr w:type="gramStart"/>
      <w:r w:rsidRPr="00B50432">
        <w:rPr>
          <w:rFonts w:ascii="Times New Roman" w:hAnsi="Times New Roman" w:cs="Times New Roman"/>
        </w:rPr>
        <w:t>compute</w:t>
      </w:r>
      <w:proofErr w:type="gramEnd"/>
      <w:r w:rsidRPr="00B50432">
        <w:rPr>
          <w:rFonts w:ascii="Times New Roman" w:hAnsi="Times New Roman" w:cs="Times New Roman"/>
        </w:rPr>
        <w:t>.</w:t>
      </w:r>
    </w:p>
    <w:p w14:paraId="76F27F00" w14:textId="77777777" w:rsidR="00B50432" w:rsidRPr="00B50432" w:rsidRDefault="00B50432" w:rsidP="00B50432">
      <w:pPr>
        <w:rPr>
          <w:rFonts w:ascii="Times New Roman" w:hAnsi="Times New Roman" w:cs="Times New Roman"/>
        </w:rPr>
      </w:pPr>
    </w:p>
    <w:p w14:paraId="4FFF2D78"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Indirect Evidence</w:t>
      </w:r>
    </w:p>
    <w:p w14:paraId="0B8021D9" w14:textId="77777777" w:rsidR="00B50432" w:rsidRPr="00B50432" w:rsidRDefault="00B50432" w:rsidP="00B50432">
      <w:pPr>
        <w:rPr>
          <w:rFonts w:ascii="Times New Roman" w:hAnsi="Times New Roman" w:cs="Times New Roman"/>
        </w:rPr>
      </w:pPr>
    </w:p>
    <w:p w14:paraId="4D9F3FB9"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No published study directly measures the fraction of inference workloads with geographic constraints. Indirect evidence supports the central estimate:</w:t>
      </w:r>
    </w:p>
    <w:p w14:paraId="715C7764" w14:textId="77777777" w:rsidR="00B50432" w:rsidRPr="00B50432" w:rsidRDefault="00B50432" w:rsidP="00B50432">
      <w:pPr>
        <w:rPr>
          <w:rFonts w:ascii="Times New Roman" w:hAnsi="Times New Roman" w:cs="Times New Roman"/>
        </w:rPr>
      </w:pPr>
    </w:p>
    <w:p w14:paraId="035D39B5"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r w:rsidRPr="00B50432">
        <w:rPr>
          <w:rFonts w:ascii="Times New Roman" w:hAnsi="Times New Roman" w:cs="Times New Roman"/>
          <w:b/>
          <w:bCs/>
        </w:rPr>
        <w:t>**Google**</w:t>
      </w:r>
      <w:r w:rsidRPr="00B50432">
        <w:rPr>
          <w:rFonts w:ascii="Times New Roman" w:hAnsi="Times New Roman" w:cs="Times New Roman"/>
        </w:rPr>
        <w:t xml:space="preserve"> actively shifts "moveable compute tasks" across data centers for carbon-free energy optimization (Radovanović et al., IEEE TPWRS 38(2), 2022), implying a significant fraction of compute is geographically flexible.</w:t>
      </w:r>
    </w:p>
    <w:p w14:paraId="2A7B8A54"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r w:rsidRPr="00B50432">
        <w:rPr>
          <w:rFonts w:ascii="Times New Roman" w:hAnsi="Times New Roman" w:cs="Times New Roman"/>
          <w:b/>
          <w:bCs/>
        </w:rPr>
        <w:t>**Amazon Bedrock**</w:t>
      </w:r>
      <w:r w:rsidRPr="00B50432">
        <w:rPr>
          <w:rFonts w:ascii="Times New Roman" w:hAnsi="Times New Roman" w:cs="Times New Roman"/>
        </w:rPr>
        <w:t xml:space="preserve"> routes inference requests across regions automatically via cross-region inference profiles, demonstrating production-grade cross-region inference is architecturally ready.</w:t>
      </w:r>
    </w:p>
    <w:p w14:paraId="60768D7C"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r w:rsidRPr="00B50432">
        <w:rPr>
          <w:rFonts w:ascii="Times New Roman" w:hAnsi="Times New Roman" w:cs="Times New Roman"/>
          <w:b/>
          <w:bCs/>
        </w:rPr>
        <w:t>**SkyLB**</w:t>
      </w:r>
      <w:r w:rsidRPr="00B50432">
        <w:rPr>
          <w:rFonts w:ascii="Times New Roman" w:hAnsi="Times New Roman" w:cs="Times New Roman"/>
        </w:rPr>
        <w:t xml:space="preserve"> (arXiv:2505.24095, 2025) demonstrates production-grade locality-aware cross-region load balancing for LLM inference.</w:t>
      </w:r>
    </w:p>
    <w:p w14:paraId="3F1EA723" w14:textId="77777777" w:rsidR="00B50432" w:rsidRPr="00B50432" w:rsidRDefault="00B50432" w:rsidP="00B50432">
      <w:pPr>
        <w:rPr>
          <w:rFonts w:ascii="Times New Roman" w:hAnsi="Times New Roman" w:cs="Times New Roman"/>
        </w:rPr>
      </w:pPr>
    </w:p>
    <w:p w14:paraId="15FEC26F"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xml:space="preserve">**S2 is the </w:t>
      </w:r>
      <w:proofErr w:type="gramStart"/>
      <w:r w:rsidRPr="00B50432">
        <w:rPr>
          <w:rFonts w:ascii="Times New Roman" w:hAnsi="Times New Roman" w:cs="Times New Roman"/>
          <w:b/>
          <w:bCs/>
        </w:rPr>
        <w:t>parameter most</w:t>
      </w:r>
      <w:proofErr w:type="gramEnd"/>
      <w:r w:rsidRPr="00B50432">
        <w:rPr>
          <w:rFonts w:ascii="Times New Roman" w:hAnsi="Times New Roman" w:cs="Times New Roman"/>
          <w:b/>
          <w:bCs/>
        </w:rPr>
        <w:t xml:space="preserve"> in need of empirical measurement.**</w:t>
      </w:r>
      <w:r w:rsidRPr="00B50432">
        <w:rPr>
          <w:rFonts w:ascii="Times New Roman" w:hAnsi="Times New Roman" w:cs="Times New Roman"/>
        </w:rPr>
        <w:t xml:space="preserve"> Production data on the geographic distribution of inference API traffic — specifically the fraction subject to data residency mandates or sub-10ms latency SLOs — would narrow the [0.60, 0.95] range substantially. This is the single least-grounded parameter in the cascade.</w:t>
      </w:r>
    </w:p>
    <w:p w14:paraId="6975D232" w14:textId="77777777" w:rsidR="00B50432" w:rsidRPr="00B50432" w:rsidRDefault="00B50432" w:rsidP="00B50432">
      <w:pPr>
        <w:rPr>
          <w:rFonts w:ascii="Times New Roman" w:hAnsi="Times New Roman" w:cs="Times New Roman"/>
        </w:rPr>
      </w:pPr>
    </w:p>
    <w:p w14:paraId="680DB901"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w:t>
      </w:r>
    </w:p>
    <w:p w14:paraId="717F4A54" w14:textId="77777777" w:rsidR="00B50432" w:rsidRPr="00B50432" w:rsidRDefault="00B50432" w:rsidP="00B50432">
      <w:pPr>
        <w:rPr>
          <w:rFonts w:ascii="Times New Roman" w:hAnsi="Times New Roman" w:cs="Times New Roman"/>
        </w:rPr>
      </w:pPr>
    </w:p>
    <w:p w14:paraId="3B537918"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S3: Operational Timing</w:t>
      </w:r>
    </w:p>
    <w:p w14:paraId="0C595BDF" w14:textId="77777777" w:rsidR="00B50432" w:rsidRPr="00B50432" w:rsidRDefault="00B50432" w:rsidP="00B50432">
      <w:pPr>
        <w:rPr>
          <w:rFonts w:ascii="Times New Roman" w:hAnsi="Times New Roman" w:cs="Times New Roman"/>
        </w:rPr>
      </w:pPr>
    </w:p>
    <w:p w14:paraId="5B263ECB"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Attribute | Value |</w:t>
      </w:r>
    </w:p>
    <w:p w14:paraId="6543E835" w14:textId="77777777" w:rsidR="00B50432" w:rsidRPr="00B50432" w:rsidRDefault="00B50432" w:rsidP="00B50432">
      <w:pPr>
        <w:rPr>
          <w:rFonts w:ascii="Times New Roman" w:hAnsi="Times New Roman" w:cs="Times New Roman"/>
        </w:rPr>
      </w:pPr>
      <w:proofErr w:type="gramStart"/>
      <w:r w:rsidRPr="00B50432">
        <w:rPr>
          <w:rFonts w:ascii="Times New Roman" w:hAnsi="Times New Roman" w:cs="Times New Roman"/>
        </w:rPr>
        <w:t>|---|---|</w:t>
      </w:r>
      <w:proofErr w:type="gramEnd"/>
    </w:p>
    <w:p w14:paraId="793019C2"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Central value | 0.90 |</w:t>
      </w:r>
    </w:p>
    <w:p w14:paraId="455925E1"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Range | </w:t>
      </w:r>
      <w:proofErr w:type="gramStart"/>
      <w:r w:rsidRPr="00B50432">
        <w:rPr>
          <w:rFonts w:ascii="Times New Roman" w:hAnsi="Times New Roman" w:cs="Times New Roman"/>
        </w:rPr>
        <w:t>Uniform[</w:t>
      </w:r>
      <w:proofErr w:type="gramEnd"/>
      <w:r w:rsidRPr="00B50432">
        <w:rPr>
          <w:rFonts w:ascii="Times New Roman" w:hAnsi="Times New Roman" w:cs="Times New Roman"/>
        </w:rPr>
        <w:t>0.85, 0.95] |</w:t>
      </w:r>
    </w:p>
    <w:p w14:paraId="080F1311"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Grounding quality | DATA |</w:t>
      </w:r>
    </w:p>
    <w:p w14:paraId="455B1CFC"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Variance contribution | 0.9% |</w:t>
      </w:r>
    </w:p>
    <w:p w14:paraId="5373D706" w14:textId="77777777" w:rsidR="00B50432" w:rsidRPr="00B50432" w:rsidRDefault="00B50432" w:rsidP="00B50432">
      <w:pPr>
        <w:rPr>
          <w:rFonts w:ascii="Times New Roman" w:hAnsi="Times New Roman" w:cs="Times New Roman"/>
        </w:rPr>
      </w:pPr>
    </w:p>
    <w:p w14:paraId="1E0CD51A"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What S3 Measures</w:t>
      </w:r>
    </w:p>
    <w:p w14:paraId="6D580AB4" w14:textId="77777777" w:rsidR="00B50432" w:rsidRPr="00B50432" w:rsidRDefault="00B50432" w:rsidP="00B50432">
      <w:pPr>
        <w:rPr>
          <w:rFonts w:ascii="Times New Roman" w:hAnsi="Times New Roman" w:cs="Times New Roman"/>
        </w:rPr>
      </w:pPr>
    </w:p>
    <w:p w14:paraId="659F876F"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S3 answers: *of the S1-eligible, S2-unconstrained inference workloads, what fraction can complete the migration operation within the grid operator's emergency dispatch </w:t>
      </w:r>
      <w:proofErr w:type="gramStart"/>
      <w:r w:rsidRPr="00B50432">
        <w:rPr>
          <w:rFonts w:ascii="Times New Roman" w:hAnsi="Times New Roman" w:cs="Times New Roman"/>
        </w:rPr>
        <w:t>window?*</w:t>
      </w:r>
      <w:proofErr w:type="gramEnd"/>
    </w:p>
    <w:p w14:paraId="341BAAD5" w14:textId="77777777" w:rsidR="00B50432" w:rsidRPr="00B50432" w:rsidRDefault="00B50432" w:rsidP="00B50432">
      <w:pPr>
        <w:rPr>
          <w:rFonts w:ascii="Times New Roman" w:hAnsi="Times New Roman" w:cs="Times New Roman"/>
        </w:rPr>
      </w:pPr>
    </w:p>
    <w:p w14:paraId="24756A5F"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For inference workloads, "migration" means finishing in-flight requests at the source endpoint and routing new requests to the destination. There is no checkpoint, no optimizer state, no training run to interrupt. Active requests drain in seconds; new requests route immediately via load balancer configuration.</w:t>
      </w:r>
    </w:p>
    <w:p w14:paraId="477E92CE" w14:textId="77777777" w:rsidR="00B50432" w:rsidRPr="00B50432" w:rsidRDefault="00B50432" w:rsidP="00B50432">
      <w:pPr>
        <w:rPr>
          <w:rFonts w:ascii="Times New Roman" w:hAnsi="Times New Roman" w:cs="Times New Roman"/>
        </w:rPr>
      </w:pPr>
    </w:p>
    <w:p w14:paraId="5DD2CFF0"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The Timescale Mismatch</w:t>
      </w:r>
    </w:p>
    <w:p w14:paraId="7B8001A0" w14:textId="77777777" w:rsidR="00B50432" w:rsidRPr="00B50432" w:rsidRDefault="00B50432" w:rsidP="00B50432">
      <w:pPr>
        <w:rPr>
          <w:rFonts w:ascii="Times New Roman" w:hAnsi="Times New Roman" w:cs="Times New Roman"/>
        </w:rPr>
      </w:pPr>
    </w:p>
    <w:p w14:paraId="78CB565A"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The empirical case rests on a two-orders-of-magnitude gap between the drain timescale and the dispatch notice timescale:</w:t>
      </w:r>
    </w:p>
    <w:p w14:paraId="2BBCA505" w14:textId="77777777" w:rsidR="00B50432" w:rsidRPr="00B50432" w:rsidRDefault="00B50432" w:rsidP="00B50432">
      <w:pPr>
        <w:rPr>
          <w:rFonts w:ascii="Times New Roman" w:hAnsi="Times New Roman" w:cs="Times New Roman"/>
        </w:rPr>
      </w:pPr>
    </w:p>
    <w:p w14:paraId="7F138110"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r w:rsidRPr="00B50432">
        <w:rPr>
          <w:rFonts w:ascii="Times New Roman" w:hAnsi="Times New Roman" w:cs="Times New Roman"/>
          <w:b/>
          <w:bCs/>
        </w:rPr>
        <w:t xml:space="preserve">**PJM dispatch </w:t>
      </w:r>
      <w:proofErr w:type="gramStart"/>
      <w:r w:rsidRPr="00B50432">
        <w:rPr>
          <w:rFonts w:ascii="Times New Roman" w:hAnsi="Times New Roman" w:cs="Times New Roman"/>
          <w:b/>
          <w:bCs/>
        </w:rPr>
        <w:t>window:*</w:t>
      </w:r>
      <w:proofErr w:type="gramEnd"/>
      <w:r w:rsidRPr="00B50432">
        <w:rPr>
          <w:rFonts w:ascii="Times New Roman" w:hAnsi="Times New Roman" w:cs="Times New Roman"/>
          <w:b/>
          <w:bCs/>
        </w:rPr>
        <w:t>*</w:t>
      </w:r>
      <w:r w:rsidRPr="00B50432">
        <w:rPr>
          <w:rFonts w:ascii="Times New Roman" w:hAnsi="Times New Roman" w:cs="Times New Roman"/>
        </w:rPr>
        <w:t xml:space="preserve"> 10–30 minutes advance notice (PJM Manual 13, Emergency Operations, Rev. 86, 2025).</w:t>
      </w:r>
    </w:p>
    <w:p w14:paraId="2A4B3142"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r w:rsidRPr="00B50432">
        <w:rPr>
          <w:rFonts w:ascii="Times New Roman" w:hAnsi="Times New Roman" w:cs="Times New Roman"/>
          <w:b/>
          <w:bCs/>
        </w:rPr>
        <w:t xml:space="preserve">**Inference drain </w:t>
      </w:r>
      <w:proofErr w:type="gramStart"/>
      <w:r w:rsidRPr="00B50432">
        <w:rPr>
          <w:rFonts w:ascii="Times New Roman" w:hAnsi="Times New Roman" w:cs="Times New Roman"/>
          <w:b/>
          <w:bCs/>
        </w:rPr>
        <w:t>time:*</w:t>
      </w:r>
      <w:proofErr w:type="gramEnd"/>
      <w:r w:rsidRPr="00B50432">
        <w:rPr>
          <w:rFonts w:ascii="Times New Roman" w:hAnsi="Times New Roman" w:cs="Times New Roman"/>
          <w:b/>
          <w:bCs/>
        </w:rPr>
        <w:t>*</w:t>
      </w:r>
      <w:r w:rsidRPr="00B50432">
        <w:rPr>
          <w:rFonts w:ascii="Times New Roman" w:hAnsi="Times New Roman" w:cs="Times New Roman"/>
        </w:rPr>
        <w:t xml:space="preserve"> P99 of 4.5–12.1 seconds at 60 tokens/second.</w:t>
      </w:r>
    </w:p>
    <w:p w14:paraId="21AD80ED" w14:textId="77777777" w:rsidR="00B50432" w:rsidRPr="00B50432" w:rsidRDefault="00B50432" w:rsidP="00B50432">
      <w:pPr>
        <w:rPr>
          <w:rFonts w:ascii="Times New Roman" w:hAnsi="Times New Roman" w:cs="Times New Roman"/>
        </w:rPr>
      </w:pPr>
    </w:p>
    <w:p w14:paraId="1837D6AC"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Even at 10× the observed P99 drain time (i.e., ~120 seconds), the operation completes well within the 10-minute minimum notice period.</w:t>
      </w:r>
    </w:p>
    <w:p w14:paraId="31333E68" w14:textId="77777777" w:rsidR="00B50432" w:rsidRPr="00B50432" w:rsidRDefault="00B50432" w:rsidP="00B50432">
      <w:pPr>
        <w:rPr>
          <w:rFonts w:ascii="Times New Roman" w:hAnsi="Times New Roman" w:cs="Times New Roman"/>
        </w:rPr>
      </w:pPr>
    </w:p>
    <w:p w14:paraId="15EDDEEB"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Empirical Validation (NE Paper §4)</w:t>
      </w:r>
    </w:p>
    <w:p w14:paraId="618DAD9E" w14:textId="77777777" w:rsidR="00B50432" w:rsidRPr="00B50432" w:rsidRDefault="00B50432" w:rsidP="00B50432">
      <w:pPr>
        <w:rPr>
          <w:rFonts w:ascii="Times New Roman" w:hAnsi="Times New Roman" w:cs="Times New Roman"/>
        </w:rPr>
      </w:pPr>
    </w:p>
    <w:p w14:paraId="134A74D9"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Two independent production inference datasets, totaling 49.4 million requests over a combined 128 days of observation:</w:t>
      </w:r>
    </w:p>
    <w:p w14:paraId="2A715245" w14:textId="77777777" w:rsidR="00B50432" w:rsidRPr="00B50432" w:rsidRDefault="00B50432" w:rsidP="00B50432">
      <w:pPr>
        <w:rPr>
          <w:rFonts w:ascii="Times New Roman" w:hAnsi="Times New Roman" w:cs="Times New Roman"/>
        </w:rPr>
      </w:pPr>
    </w:p>
    <w:p w14:paraId="586DE5B3"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Dataset | Source | Requests | Duration | P99 Drain Time (60 </w:t>
      </w:r>
      <w:proofErr w:type="spellStart"/>
      <w:r w:rsidRPr="00B50432">
        <w:rPr>
          <w:rFonts w:ascii="Times New Roman" w:hAnsi="Times New Roman" w:cs="Times New Roman"/>
        </w:rPr>
        <w:t>tok</w:t>
      </w:r>
      <w:proofErr w:type="spellEnd"/>
      <w:r w:rsidRPr="00B50432">
        <w:rPr>
          <w:rFonts w:ascii="Times New Roman" w:hAnsi="Times New Roman" w:cs="Times New Roman"/>
        </w:rPr>
        <w:t>/s) |</w:t>
      </w:r>
    </w:p>
    <w:p w14:paraId="0B11EC8E"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w:t>
      </w:r>
    </w:p>
    <w:p w14:paraId="49ACC5F9"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proofErr w:type="spellStart"/>
      <w:r w:rsidRPr="00B50432">
        <w:rPr>
          <w:rFonts w:ascii="Times New Roman" w:hAnsi="Times New Roman" w:cs="Times New Roman"/>
        </w:rPr>
        <w:t>DynamoLLM</w:t>
      </w:r>
      <w:proofErr w:type="spellEnd"/>
      <w:r w:rsidRPr="00B50432">
        <w:rPr>
          <w:rFonts w:ascii="Times New Roman" w:hAnsi="Times New Roman" w:cs="Times New Roman"/>
        </w:rPr>
        <w:t xml:space="preserve"> | Azure production infrastructure | 44.1M | 7 days (May 2024) | Coding: 4.5s, Conv: 11.6s |</w:t>
      </w:r>
    </w:p>
    <w:p w14:paraId="0433B8C1"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proofErr w:type="spellStart"/>
      <w:r w:rsidRPr="00B50432">
        <w:rPr>
          <w:rFonts w:ascii="Times New Roman" w:hAnsi="Times New Roman" w:cs="Times New Roman"/>
        </w:rPr>
        <w:t>BurstGPT</w:t>
      </w:r>
      <w:proofErr w:type="spellEnd"/>
      <w:r w:rsidRPr="00B50432">
        <w:rPr>
          <w:rFonts w:ascii="Times New Roman" w:hAnsi="Times New Roman" w:cs="Times New Roman"/>
        </w:rPr>
        <w:t xml:space="preserve"> | Azure OpenAI regional endpoints | 5.2M | 121 days (Jan–Apr 2024) | 12.1s |</w:t>
      </w:r>
    </w:p>
    <w:p w14:paraId="4F4368AD" w14:textId="77777777" w:rsidR="00B50432" w:rsidRPr="00B50432" w:rsidRDefault="00B50432" w:rsidP="00B50432">
      <w:pPr>
        <w:rPr>
          <w:rFonts w:ascii="Times New Roman" w:hAnsi="Times New Roman" w:cs="Times New Roman"/>
        </w:rPr>
      </w:pPr>
    </w:p>
    <w:p w14:paraId="6813A743"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lastRenderedPageBreak/>
        <w:t xml:space="preserve">The consistency of P99 drain times across two independent datasets from different Azure service tiers provides partial cross-validation. Both </w:t>
      </w:r>
      <w:proofErr w:type="gramStart"/>
      <w:r w:rsidRPr="00B50432">
        <w:rPr>
          <w:rFonts w:ascii="Times New Roman" w:hAnsi="Times New Roman" w:cs="Times New Roman"/>
        </w:rPr>
        <w:t>yield</w:t>
      </w:r>
      <w:proofErr w:type="gramEnd"/>
      <w:r w:rsidRPr="00B50432">
        <w:rPr>
          <w:rFonts w:ascii="Times New Roman" w:hAnsi="Times New Roman" w:cs="Times New Roman"/>
        </w:rPr>
        <w:t xml:space="preserve"> drain times approximately two orders of magnitude below the PJM dispatch window.</w:t>
      </w:r>
    </w:p>
    <w:p w14:paraId="55049D31" w14:textId="77777777" w:rsidR="00B50432" w:rsidRPr="00B50432" w:rsidRDefault="00B50432" w:rsidP="00B50432">
      <w:pPr>
        <w:rPr>
          <w:rFonts w:ascii="Times New Roman" w:hAnsi="Times New Roman" w:cs="Times New Roman"/>
        </w:rPr>
      </w:pPr>
    </w:p>
    <w:p w14:paraId="2D0F3133"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Drain times are computed at an assumed generation rate of 60 tokens per second. Sensitivity to this assumption is reported in Extended Data Fig. 2 of the NE paper; the timescale argument is robust to significant variation.</w:t>
      </w:r>
    </w:p>
    <w:p w14:paraId="3ADF478C" w14:textId="77777777" w:rsidR="00B50432" w:rsidRPr="00B50432" w:rsidRDefault="00B50432" w:rsidP="00B50432">
      <w:pPr>
        <w:rPr>
          <w:rFonts w:ascii="Times New Roman" w:hAnsi="Times New Roman" w:cs="Times New Roman"/>
        </w:rPr>
      </w:pPr>
    </w:p>
    <w:p w14:paraId="22C88D6B"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S3 = 0.90: The 10% Reserve</w:t>
      </w:r>
    </w:p>
    <w:p w14:paraId="02E60742" w14:textId="77777777" w:rsidR="00B50432" w:rsidRPr="00B50432" w:rsidRDefault="00B50432" w:rsidP="00B50432">
      <w:pPr>
        <w:rPr>
          <w:rFonts w:ascii="Times New Roman" w:hAnsi="Times New Roman" w:cs="Times New Roman"/>
        </w:rPr>
      </w:pPr>
    </w:p>
    <w:p w14:paraId="4DB12A18"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The 10% excluded by S3 </w:t>
      </w:r>
      <w:proofErr w:type="gramStart"/>
      <w:r w:rsidRPr="00B50432">
        <w:rPr>
          <w:rFonts w:ascii="Times New Roman" w:hAnsi="Times New Roman" w:cs="Times New Roman"/>
        </w:rPr>
        <w:t>accommodates</w:t>
      </w:r>
      <w:proofErr w:type="gramEnd"/>
      <w:r w:rsidRPr="00B50432">
        <w:rPr>
          <w:rFonts w:ascii="Times New Roman" w:hAnsi="Times New Roman" w:cs="Times New Roman"/>
        </w:rPr>
        <w:t>:</w:t>
      </w:r>
    </w:p>
    <w:p w14:paraId="20A8C0A0"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Long-running or batched inference requests (e.g., document-scale summarization, multi-step reasoning chains)</w:t>
      </w:r>
    </w:p>
    <w:p w14:paraId="04F285CE"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Multi-turn conversational sessions with persistent </w:t>
      </w:r>
      <w:proofErr w:type="gramStart"/>
      <w:r w:rsidRPr="00B50432">
        <w:rPr>
          <w:rFonts w:ascii="Times New Roman" w:hAnsi="Times New Roman" w:cs="Times New Roman"/>
        </w:rPr>
        <w:t>state</w:t>
      </w:r>
      <w:proofErr w:type="gramEnd"/>
      <w:r w:rsidRPr="00B50432">
        <w:rPr>
          <w:rFonts w:ascii="Times New Roman" w:hAnsi="Times New Roman" w:cs="Times New Roman"/>
        </w:rPr>
        <w:t xml:space="preserve"> that cannot be cleanly interrupted</w:t>
      </w:r>
    </w:p>
    <w:p w14:paraId="6703F4D8"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Potential future workload types with longer completion times</w:t>
      </w:r>
    </w:p>
    <w:p w14:paraId="1DD4E779" w14:textId="77777777" w:rsidR="00B50432" w:rsidRPr="00B50432" w:rsidRDefault="00B50432" w:rsidP="00B50432">
      <w:pPr>
        <w:rPr>
          <w:rFonts w:ascii="Times New Roman" w:hAnsi="Times New Roman" w:cs="Times New Roman"/>
        </w:rPr>
      </w:pPr>
    </w:p>
    <w:p w14:paraId="0BC0E11B"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Four Operational Factors Reducing S3 from 1.0</w:t>
      </w:r>
    </w:p>
    <w:p w14:paraId="01887B9D" w14:textId="77777777" w:rsidR="00B50432" w:rsidRPr="00B50432" w:rsidRDefault="00B50432" w:rsidP="00B50432">
      <w:pPr>
        <w:rPr>
          <w:rFonts w:ascii="Times New Roman" w:hAnsi="Times New Roman" w:cs="Times New Roman"/>
        </w:rPr>
      </w:pPr>
    </w:p>
    <w:p w14:paraId="6BFAEF5A"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1. </w:t>
      </w:r>
      <w:r w:rsidRPr="00B50432">
        <w:rPr>
          <w:rFonts w:ascii="Times New Roman" w:hAnsi="Times New Roman" w:cs="Times New Roman"/>
          <w:b/>
          <w:bCs/>
        </w:rPr>
        <w:t xml:space="preserve">**Mid-stream requests </w:t>
      </w:r>
      <w:proofErr w:type="gramStart"/>
      <w:r w:rsidRPr="00B50432">
        <w:rPr>
          <w:rFonts w:ascii="Times New Roman" w:hAnsi="Times New Roman" w:cs="Times New Roman"/>
          <w:b/>
          <w:bCs/>
        </w:rPr>
        <w:t>at the moment</w:t>
      </w:r>
      <w:proofErr w:type="gramEnd"/>
      <w:r w:rsidRPr="00B50432">
        <w:rPr>
          <w:rFonts w:ascii="Times New Roman" w:hAnsi="Times New Roman" w:cs="Times New Roman"/>
          <w:b/>
          <w:bCs/>
        </w:rPr>
        <w:t xml:space="preserve"> of </w:t>
      </w:r>
      <w:proofErr w:type="gramStart"/>
      <w:r w:rsidRPr="00B50432">
        <w:rPr>
          <w:rFonts w:ascii="Times New Roman" w:hAnsi="Times New Roman" w:cs="Times New Roman"/>
          <w:b/>
          <w:bCs/>
        </w:rPr>
        <w:t>dispatch.*</w:t>
      </w:r>
      <w:proofErr w:type="gramEnd"/>
      <w:r w:rsidRPr="00B50432">
        <w:rPr>
          <w:rFonts w:ascii="Times New Roman" w:hAnsi="Times New Roman" w:cs="Times New Roman"/>
          <w:b/>
          <w:bCs/>
        </w:rPr>
        <w:t>*</w:t>
      </w:r>
      <w:r w:rsidRPr="00B50432">
        <w:rPr>
          <w:rFonts w:ascii="Times New Roman" w:hAnsi="Times New Roman" w:cs="Times New Roman"/>
        </w:rPr>
        <w:t xml:space="preserve"> Requests in the decode phase when the signal arrives must complete before the endpoint can be drained. The Azure traces confirm this completes in seconds, so the impact is a brief delay, not a failure.</w:t>
      </w:r>
    </w:p>
    <w:p w14:paraId="14BD4E2E" w14:textId="77777777" w:rsidR="00B50432" w:rsidRPr="00B50432" w:rsidRDefault="00B50432" w:rsidP="00B50432">
      <w:pPr>
        <w:rPr>
          <w:rFonts w:ascii="Times New Roman" w:hAnsi="Times New Roman" w:cs="Times New Roman"/>
        </w:rPr>
      </w:pPr>
    </w:p>
    <w:p w14:paraId="3D6CEABE"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2. </w:t>
      </w:r>
      <w:r w:rsidRPr="00B50432">
        <w:rPr>
          <w:rFonts w:ascii="Times New Roman" w:hAnsi="Times New Roman" w:cs="Times New Roman"/>
          <w:b/>
          <w:bCs/>
        </w:rPr>
        <w:t xml:space="preserve">**Health check and DNS propagation </w:t>
      </w:r>
      <w:proofErr w:type="gramStart"/>
      <w:r w:rsidRPr="00B50432">
        <w:rPr>
          <w:rFonts w:ascii="Times New Roman" w:hAnsi="Times New Roman" w:cs="Times New Roman"/>
          <w:b/>
          <w:bCs/>
        </w:rPr>
        <w:t>lag.*</w:t>
      </w:r>
      <w:proofErr w:type="gramEnd"/>
      <w:r w:rsidRPr="00B50432">
        <w:rPr>
          <w:rFonts w:ascii="Times New Roman" w:hAnsi="Times New Roman" w:cs="Times New Roman"/>
          <w:b/>
          <w:bCs/>
        </w:rPr>
        <w:t>*</w:t>
      </w:r>
      <w:r w:rsidRPr="00B50432">
        <w:rPr>
          <w:rFonts w:ascii="Times New Roman" w:hAnsi="Times New Roman" w:cs="Times New Roman"/>
        </w:rPr>
        <w:t xml:space="preserve"> Load balancer health checks operate on polling intervals (typically 5–30 seconds). After the orchestrator marks a source endpoint as draining, downstream routers must detect the change and redirect traffic. Standard cloud load balancer configurations propagate health status within one to two polling cycles.</w:t>
      </w:r>
    </w:p>
    <w:p w14:paraId="16763F10" w14:textId="77777777" w:rsidR="00B50432" w:rsidRPr="00B50432" w:rsidRDefault="00B50432" w:rsidP="00B50432">
      <w:pPr>
        <w:rPr>
          <w:rFonts w:ascii="Times New Roman" w:hAnsi="Times New Roman" w:cs="Times New Roman"/>
        </w:rPr>
      </w:pPr>
    </w:p>
    <w:p w14:paraId="515DF997"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3. </w:t>
      </w:r>
      <w:r w:rsidRPr="00B50432">
        <w:rPr>
          <w:rFonts w:ascii="Times New Roman" w:hAnsi="Times New Roman" w:cs="Times New Roman"/>
          <w:b/>
          <w:bCs/>
        </w:rPr>
        <w:t xml:space="preserve">**Burst </w:t>
      </w:r>
      <w:proofErr w:type="gramStart"/>
      <w:r w:rsidRPr="00B50432">
        <w:rPr>
          <w:rFonts w:ascii="Times New Roman" w:hAnsi="Times New Roman" w:cs="Times New Roman"/>
          <w:b/>
          <w:bCs/>
        </w:rPr>
        <w:t>timing.*</w:t>
      </w:r>
      <w:proofErr w:type="gramEnd"/>
      <w:r w:rsidRPr="00B50432">
        <w:rPr>
          <w:rFonts w:ascii="Times New Roman" w:hAnsi="Times New Roman" w:cs="Times New Roman"/>
          <w:b/>
          <w:bCs/>
        </w:rPr>
        <w:t>*</w:t>
      </w:r>
      <w:r w:rsidRPr="00B50432">
        <w:rPr>
          <w:rFonts w:ascii="Times New Roman" w:hAnsi="Times New Roman" w:cs="Times New Roman"/>
        </w:rPr>
        <w:t xml:space="preserve"> If the dispatch signal arrives during a request burst (peak-to-trough ratios of 2.0:1 to 10.0:1 in the Azure traces), drain time extends because more requests are in flight. At P99 burst load, the drain window is still under 30 seconds — well within the 10-minute minimum notice period.</w:t>
      </w:r>
    </w:p>
    <w:p w14:paraId="1D3CF936" w14:textId="77777777" w:rsidR="00B50432" w:rsidRPr="00B50432" w:rsidRDefault="00B50432" w:rsidP="00B50432">
      <w:pPr>
        <w:rPr>
          <w:rFonts w:ascii="Times New Roman" w:hAnsi="Times New Roman" w:cs="Times New Roman"/>
        </w:rPr>
      </w:pPr>
    </w:p>
    <w:p w14:paraId="473160E9"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4. </w:t>
      </w:r>
      <w:r w:rsidRPr="00B50432">
        <w:rPr>
          <w:rFonts w:ascii="Times New Roman" w:hAnsi="Times New Roman" w:cs="Times New Roman"/>
          <w:b/>
          <w:bCs/>
        </w:rPr>
        <w:t xml:space="preserve">**Configuration and orchestration </w:t>
      </w:r>
      <w:proofErr w:type="gramStart"/>
      <w:r w:rsidRPr="00B50432">
        <w:rPr>
          <w:rFonts w:ascii="Times New Roman" w:hAnsi="Times New Roman" w:cs="Times New Roman"/>
          <w:b/>
          <w:bCs/>
        </w:rPr>
        <w:t>errors.*</w:t>
      </w:r>
      <w:proofErr w:type="gramEnd"/>
      <w:r w:rsidRPr="00B50432">
        <w:rPr>
          <w:rFonts w:ascii="Times New Roman" w:hAnsi="Times New Roman" w:cs="Times New Roman"/>
          <w:b/>
          <w:bCs/>
        </w:rPr>
        <w:t>*</w:t>
      </w:r>
      <w:r w:rsidRPr="00B50432">
        <w:rPr>
          <w:rFonts w:ascii="Times New Roman" w:hAnsi="Times New Roman" w:cs="Times New Roman"/>
        </w:rPr>
        <w:t xml:space="preserve"> The orchestration layer must correctly translate a PJM dispatch signal into endpoint-level routing changes across potentially dozens of serving clusters. The 10% reserve accounts for residual implementation risk: a misconfigured health check, a stale DNS cache, or an edge case in the orchestrator's decision logic.</w:t>
      </w:r>
    </w:p>
    <w:p w14:paraId="4C5FB1BF" w14:textId="77777777" w:rsidR="00B50432" w:rsidRPr="00B50432" w:rsidRDefault="00B50432" w:rsidP="00B50432">
      <w:pPr>
        <w:rPr>
          <w:rFonts w:ascii="Times New Roman" w:hAnsi="Times New Roman" w:cs="Times New Roman"/>
        </w:rPr>
      </w:pPr>
    </w:p>
    <w:p w14:paraId="0E32C3D5"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The [0.85, 0.95] range is deliberately tight because the timescale gap is so large. S3 contributes less than 1% of cascade variance.</w:t>
      </w:r>
    </w:p>
    <w:p w14:paraId="4C8F74E1" w14:textId="77777777" w:rsidR="00B50432" w:rsidRPr="00B50432" w:rsidRDefault="00B50432" w:rsidP="00B50432">
      <w:pPr>
        <w:rPr>
          <w:rFonts w:ascii="Times New Roman" w:hAnsi="Times New Roman" w:cs="Times New Roman"/>
        </w:rPr>
      </w:pPr>
    </w:p>
    <w:p w14:paraId="3683C5EA"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w:t>
      </w:r>
    </w:p>
    <w:p w14:paraId="784C643E" w14:textId="77777777" w:rsidR="00B50432" w:rsidRPr="00B50432" w:rsidRDefault="00B50432" w:rsidP="00B50432">
      <w:pPr>
        <w:rPr>
          <w:rFonts w:ascii="Times New Roman" w:hAnsi="Times New Roman" w:cs="Times New Roman"/>
        </w:rPr>
      </w:pPr>
    </w:p>
    <w:p w14:paraId="25AE8E3E"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3. Destination-Side Parameters</w:t>
      </w:r>
    </w:p>
    <w:p w14:paraId="3493B3C5" w14:textId="77777777" w:rsidR="00B50432" w:rsidRPr="00B50432" w:rsidRDefault="00B50432" w:rsidP="00B50432">
      <w:pPr>
        <w:rPr>
          <w:rFonts w:ascii="Times New Roman" w:hAnsi="Times New Roman" w:cs="Times New Roman"/>
        </w:rPr>
      </w:pPr>
    </w:p>
    <w:p w14:paraId="21645ED7"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D1: Cross-Region Availability</w:t>
      </w:r>
    </w:p>
    <w:p w14:paraId="22972284" w14:textId="77777777" w:rsidR="00B50432" w:rsidRPr="00B50432" w:rsidRDefault="00B50432" w:rsidP="00B50432">
      <w:pPr>
        <w:rPr>
          <w:rFonts w:ascii="Times New Roman" w:hAnsi="Times New Roman" w:cs="Times New Roman"/>
        </w:rPr>
      </w:pPr>
    </w:p>
    <w:p w14:paraId="1B13F593"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Attribute | Value |</w:t>
      </w:r>
    </w:p>
    <w:p w14:paraId="67C0D726" w14:textId="77777777" w:rsidR="00B50432" w:rsidRPr="00B50432" w:rsidRDefault="00B50432" w:rsidP="00B50432">
      <w:pPr>
        <w:rPr>
          <w:rFonts w:ascii="Times New Roman" w:hAnsi="Times New Roman" w:cs="Times New Roman"/>
        </w:rPr>
      </w:pPr>
      <w:proofErr w:type="gramStart"/>
      <w:r w:rsidRPr="00B50432">
        <w:rPr>
          <w:rFonts w:ascii="Times New Roman" w:hAnsi="Times New Roman" w:cs="Times New Roman"/>
        </w:rPr>
        <w:t>|---|---|</w:t>
      </w:r>
      <w:proofErr w:type="gramEnd"/>
    </w:p>
    <w:p w14:paraId="6C0AC955"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Central value | 0.99 (empirical) |</w:t>
      </w:r>
    </w:p>
    <w:p w14:paraId="74DABDBC"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Range | </w:t>
      </w:r>
      <w:proofErr w:type="gramStart"/>
      <w:r w:rsidRPr="00B50432">
        <w:rPr>
          <w:rFonts w:ascii="Times New Roman" w:hAnsi="Times New Roman" w:cs="Times New Roman"/>
        </w:rPr>
        <w:t>Uniform[</w:t>
      </w:r>
      <w:proofErr w:type="gramEnd"/>
      <w:r w:rsidRPr="00B50432">
        <w:rPr>
          <w:rFonts w:ascii="Times New Roman" w:hAnsi="Times New Roman" w:cs="Times New Roman"/>
        </w:rPr>
        <w:t>0.945, 0.995] |</w:t>
      </w:r>
    </w:p>
    <w:p w14:paraId="06ADB8E1"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Grounding quality | DATA |</w:t>
      </w:r>
    </w:p>
    <w:p w14:paraId="519A52A6"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Variance contribution | 0.1</w:t>
      </w:r>
      <w:proofErr w:type="gramStart"/>
      <w:r w:rsidRPr="00B50432">
        <w:rPr>
          <w:rFonts w:ascii="Times New Roman" w:hAnsi="Times New Roman" w:cs="Times New Roman"/>
        </w:rPr>
        <w:t>% |</w:t>
      </w:r>
      <w:proofErr w:type="gramEnd"/>
    </w:p>
    <w:p w14:paraId="28618C03" w14:textId="77777777" w:rsidR="00B50432" w:rsidRPr="00B50432" w:rsidRDefault="00B50432" w:rsidP="00B50432">
      <w:pPr>
        <w:rPr>
          <w:rFonts w:ascii="Times New Roman" w:hAnsi="Times New Roman" w:cs="Times New Roman"/>
        </w:rPr>
      </w:pPr>
    </w:p>
    <w:p w14:paraId="41452389"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What D1 Measures</w:t>
      </w:r>
    </w:p>
    <w:p w14:paraId="14710D72" w14:textId="77777777" w:rsidR="00B50432" w:rsidRPr="00B50432" w:rsidRDefault="00B50432" w:rsidP="00B50432">
      <w:pPr>
        <w:rPr>
          <w:rFonts w:ascii="Times New Roman" w:hAnsi="Times New Roman" w:cs="Times New Roman"/>
        </w:rPr>
      </w:pPr>
    </w:p>
    <w:p w14:paraId="501D9D9D"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D1 answers: *during a source-zone stress event, is at least one cross-region destination zone unstressed and available to receive migrated </w:t>
      </w:r>
      <w:proofErr w:type="gramStart"/>
      <w:r w:rsidRPr="00B50432">
        <w:rPr>
          <w:rFonts w:ascii="Times New Roman" w:hAnsi="Times New Roman" w:cs="Times New Roman"/>
        </w:rPr>
        <w:t>workload?*</w:t>
      </w:r>
      <w:proofErr w:type="gramEnd"/>
    </w:p>
    <w:p w14:paraId="1B3469A7" w14:textId="77777777" w:rsidR="00B50432" w:rsidRPr="00B50432" w:rsidRDefault="00B50432" w:rsidP="00B50432">
      <w:pPr>
        <w:rPr>
          <w:rFonts w:ascii="Times New Roman" w:hAnsi="Times New Roman" w:cs="Times New Roman"/>
        </w:rPr>
      </w:pPr>
    </w:p>
    <w:p w14:paraId="44C5E86F"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Treatment in the Two Monte Carlo Frameworks</w:t>
      </w:r>
    </w:p>
    <w:p w14:paraId="7772D013" w14:textId="77777777" w:rsidR="00B50432" w:rsidRPr="00B50432" w:rsidRDefault="00B50432" w:rsidP="00B50432">
      <w:pPr>
        <w:rPr>
          <w:rFonts w:ascii="Times New Roman" w:hAnsi="Times New Roman" w:cs="Times New Roman"/>
        </w:rPr>
      </w:pPr>
    </w:p>
    <w:p w14:paraId="0AA55C5F"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lastRenderedPageBreak/>
        <w:t xml:space="preserve">- </w:t>
      </w:r>
      <w:r w:rsidRPr="00B50432">
        <w:rPr>
          <w:rFonts w:ascii="Times New Roman" w:hAnsi="Times New Roman" w:cs="Times New Roman"/>
          <w:b/>
          <w:bCs/>
        </w:rPr>
        <w:t xml:space="preserve">**Unconditional cascade </w:t>
      </w:r>
      <w:proofErr w:type="gramStart"/>
      <w:r w:rsidRPr="00B50432">
        <w:rPr>
          <w:rFonts w:ascii="Times New Roman" w:hAnsi="Times New Roman" w:cs="Times New Roman"/>
          <w:b/>
          <w:bCs/>
        </w:rPr>
        <w:t>MC:*</w:t>
      </w:r>
      <w:proofErr w:type="gramEnd"/>
      <w:r w:rsidRPr="00B50432">
        <w:rPr>
          <w:rFonts w:ascii="Times New Roman" w:hAnsi="Times New Roman" w:cs="Times New Roman"/>
          <w:b/>
          <w:bCs/>
        </w:rPr>
        <w:t>*</w:t>
      </w:r>
      <w:r w:rsidRPr="00B50432">
        <w:rPr>
          <w:rFonts w:ascii="Times New Roman" w:hAnsi="Times New Roman" w:cs="Times New Roman"/>
        </w:rPr>
        <w:t xml:space="preserve"> D1 is drawn from </w:t>
      </w:r>
      <w:proofErr w:type="gramStart"/>
      <w:r w:rsidRPr="00B50432">
        <w:rPr>
          <w:rFonts w:ascii="Times New Roman" w:hAnsi="Times New Roman" w:cs="Times New Roman"/>
        </w:rPr>
        <w:t>Uniform[</w:t>
      </w:r>
      <w:proofErr w:type="gramEnd"/>
      <w:r w:rsidRPr="00B50432">
        <w:rPr>
          <w:rFonts w:ascii="Times New Roman" w:hAnsi="Times New Roman" w:cs="Times New Roman"/>
        </w:rPr>
        <w:t>0.945, 0.995] as a parametric representation of availability uncertainty.</w:t>
      </w:r>
    </w:p>
    <w:p w14:paraId="04D5588B"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r w:rsidRPr="00B50432">
        <w:rPr>
          <w:rFonts w:ascii="Times New Roman" w:hAnsi="Times New Roman" w:cs="Times New Roman"/>
          <w:b/>
          <w:bCs/>
        </w:rPr>
        <w:t>**Conditional MC (NE paper §5</w:t>
      </w:r>
      <w:proofErr w:type="gramStart"/>
      <w:r w:rsidRPr="00B50432">
        <w:rPr>
          <w:rFonts w:ascii="Times New Roman" w:hAnsi="Times New Roman" w:cs="Times New Roman"/>
          <w:b/>
          <w:bCs/>
        </w:rPr>
        <w:t>):*</w:t>
      </w:r>
      <w:proofErr w:type="gramEnd"/>
      <w:r w:rsidRPr="00B50432">
        <w:rPr>
          <w:rFonts w:ascii="Times New Roman" w:hAnsi="Times New Roman" w:cs="Times New Roman"/>
          <w:b/>
          <w:bCs/>
        </w:rPr>
        <w:t>*</w:t>
      </w:r>
      <w:r w:rsidRPr="00B50432">
        <w:rPr>
          <w:rFonts w:ascii="Times New Roman" w:hAnsi="Times New Roman" w:cs="Times New Roman"/>
        </w:rPr>
        <w:t xml:space="preserve"> D1 is replaced by observed per-hour, per-destination binary realizations from the DA LMP data. This is the "conditional" in conditional Monte Carlo — the simulation conditions on actual grid states rather than drawing D1 parametrically.</w:t>
      </w:r>
    </w:p>
    <w:p w14:paraId="07B29089" w14:textId="77777777" w:rsidR="00B50432" w:rsidRPr="00B50432" w:rsidRDefault="00B50432" w:rsidP="00B50432">
      <w:pPr>
        <w:rPr>
          <w:rFonts w:ascii="Times New Roman" w:hAnsi="Times New Roman" w:cs="Times New Roman"/>
        </w:rPr>
      </w:pPr>
    </w:p>
    <w:p w14:paraId="685F888C"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Empirical Result (NE Paper §3)</w:t>
      </w:r>
    </w:p>
    <w:p w14:paraId="34064637" w14:textId="77777777" w:rsidR="00B50432" w:rsidRPr="00B50432" w:rsidRDefault="00B50432" w:rsidP="00B50432">
      <w:pPr>
        <w:rPr>
          <w:rFonts w:ascii="Times New Roman" w:hAnsi="Times New Roman" w:cs="Times New Roman"/>
        </w:rPr>
      </w:pPr>
    </w:p>
    <w:p w14:paraId="6FC08046"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Using 35,060 hours of day-ahead LMP data from January 2022 through December 2025 across 17 destination pricing zones mapped to verified data center locations (</w:t>
      </w:r>
      <w:proofErr w:type="spellStart"/>
      <w:r w:rsidRPr="00B50432">
        <w:rPr>
          <w:rFonts w:ascii="Times New Roman" w:hAnsi="Times New Roman" w:cs="Times New Roman"/>
        </w:rPr>
        <w:t>Baxtel</w:t>
      </w:r>
      <w:proofErr w:type="spellEnd"/>
      <w:r w:rsidRPr="00B50432">
        <w:rPr>
          <w:rFonts w:ascii="Times New Roman" w:hAnsi="Times New Roman" w:cs="Times New Roman"/>
        </w:rPr>
        <w:t xml:space="preserve"> commercial database; DOE/NREL Speed to Power county-level inventory):</w:t>
      </w:r>
    </w:p>
    <w:p w14:paraId="4705E488" w14:textId="77777777" w:rsidR="00B50432" w:rsidRPr="00B50432" w:rsidRDefault="00B50432" w:rsidP="00B50432">
      <w:pPr>
        <w:rPr>
          <w:rFonts w:ascii="Times New Roman" w:hAnsi="Times New Roman" w:cs="Times New Roman"/>
        </w:rPr>
      </w:pPr>
    </w:p>
    <w:p w14:paraId="481D0CD9"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Source Zone | DC Capacity | Stress Hours | Available | Dynamic Availability |</w:t>
      </w:r>
    </w:p>
    <w:p w14:paraId="1D82B9B3"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w:t>
      </w:r>
    </w:p>
    <w:p w14:paraId="3B1ACBD7"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PJM ComEd (Northern Illinois) | 1,647 MW | 200 | 198 | 99.0% |</w:t>
      </w:r>
    </w:p>
    <w:p w14:paraId="0E0AB958"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PJM Dominion (Northern Virginia) | 9,431 MW | 200 | 199 | 99.5% |</w:t>
      </w:r>
    </w:p>
    <w:p w14:paraId="4C752E53"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ERCOT LZ North (Dallas-Fort Worth) | 4,275 MW | 200 | 200 | 100.0% |</w:t>
      </w:r>
    </w:p>
    <w:p w14:paraId="467EF953"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CAISO NP15 (Silicon Valley) | 1,311 MW | 200 | 200 | 100.0% |</w:t>
      </w:r>
    </w:p>
    <w:p w14:paraId="102FB075" w14:textId="77777777" w:rsidR="00B50432" w:rsidRPr="00B50432" w:rsidRDefault="00B50432" w:rsidP="00B50432">
      <w:pPr>
        <w:rPr>
          <w:rFonts w:ascii="Times New Roman" w:hAnsi="Times New Roman" w:cs="Times New Roman"/>
        </w:rPr>
      </w:pPr>
    </w:p>
    <w:p w14:paraId="1091410A"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The two ComEd failure hours cluster in the January 2024 Arctic Blast, a continental-scale cold event that simultaneously stressed every major grid.</w:t>
      </w:r>
    </w:p>
    <w:p w14:paraId="2F78C984" w14:textId="77777777" w:rsidR="00B50432" w:rsidRPr="00B50432" w:rsidRDefault="00B50432" w:rsidP="00B50432">
      <w:pPr>
        <w:rPr>
          <w:rFonts w:ascii="Times New Roman" w:hAnsi="Times New Roman" w:cs="Times New Roman"/>
        </w:rPr>
      </w:pPr>
    </w:p>
    <w:p w14:paraId="47D79F39"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The Interconnection Boundary Effect</w:t>
      </w:r>
    </w:p>
    <w:p w14:paraId="3604387B" w14:textId="77777777" w:rsidR="00B50432" w:rsidRPr="00B50432" w:rsidRDefault="00B50432" w:rsidP="00B50432">
      <w:pPr>
        <w:rPr>
          <w:rFonts w:ascii="Times New Roman" w:hAnsi="Times New Roman" w:cs="Times New Roman"/>
        </w:rPr>
      </w:pPr>
    </w:p>
    <w:p w14:paraId="5AF79A4D"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The decorrelation structure reflects the electrical topology of the North American transmission system:</w:t>
      </w:r>
    </w:p>
    <w:p w14:paraId="67E77115" w14:textId="77777777" w:rsidR="00B50432" w:rsidRPr="00B50432" w:rsidRDefault="00B50432" w:rsidP="00B50432">
      <w:pPr>
        <w:rPr>
          <w:rFonts w:ascii="Times New Roman" w:hAnsi="Times New Roman" w:cs="Times New Roman"/>
        </w:rPr>
      </w:pPr>
    </w:p>
    <w:p w14:paraId="34EA2F29"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r w:rsidRPr="00B50432">
        <w:rPr>
          <w:rFonts w:ascii="Times New Roman" w:hAnsi="Times New Roman" w:cs="Times New Roman"/>
          <w:b/>
          <w:bCs/>
        </w:rPr>
        <w:t>**Cross-interconnection destinations (ERCOT, CAISO</w:t>
      </w:r>
      <w:proofErr w:type="gramStart"/>
      <w:r w:rsidRPr="00B50432">
        <w:rPr>
          <w:rFonts w:ascii="Times New Roman" w:hAnsi="Times New Roman" w:cs="Times New Roman"/>
          <w:b/>
          <w:bCs/>
        </w:rPr>
        <w:t>):*</w:t>
      </w:r>
      <w:proofErr w:type="gramEnd"/>
      <w:r w:rsidRPr="00B50432">
        <w:rPr>
          <w:rFonts w:ascii="Times New Roman" w:hAnsi="Times New Roman" w:cs="Times New Roman"/>
          <w:b/>
          <w:bCs/>
        </w:rPr>
        <w:t>*</w:t>
      </w:r>
      <w:r w:rsidRPr="00B50432">
        <w:rPr>
          <w:rFonts w:ascii="Times New Roman" w:hAnsi="Times New Roman" w:cs="Times New Roman"/>
        </w:rPr>
        <w:t xml:space="preserve"> ERCOT operates as an electrically isolated interconnection with no synchronous ties to the Eastern grid. CAISO has temporal offset and weather patterns largely independent from the Midwest. Capacity-weighted </w:t>
      </w:r>
      <w:r w:rsidRPr="00B50432">
        <w:rPr>
          <w:rFonts w:ascii="Times New Roman" w:hAnsi="Times New Roman" w:cs="Times New Roman"/>
        </w:rPr>
        <w:lastRenderedPageBreak/>
        <w:t xml:space="preserve">overlap ranges from 3.7% (ERCOT, summer) to 14.0% (CAISO, </w:t>
      </w:r>
      <w:proofErr w:type="gramStart"/>
      <w:r w:rsidRPr="00B50432">
        <w:rPr>
          <w:rFonts w:ascii="Times New Roman" w:hAnsi="Times New Roman" w:cs="Times New Roman"/>
        </w:rPr>
        <w:t>annual</w:t>
      </w:r>
      <w:proofErr w:type="gramEnd"/>
      <w:r w:rsidRPr="00B50432">
        <w:rPr>
          <w:rFonts w:ascii="Times New Roman" w:hAnsi="Times New Roman" w:cs="Times New Roman"/>
        </w:rPr>
        <w:t xml:space="preserve">). CAISO exhibits zero summer </w:t>
      </w:r>
      <w:proofErr w:type="gramStart"/>
      <w:r w:rsidRPr="00B50432">
        <w:rPr>
          <w:rFonts w:ascii="Times New Roman" w:hAnsi="Times New Roman" w:cs="Times New Roman"/>
        </w:rPr>
        <w:t>overlap</w:t>
      </w:r>
      <w:proofErr w:type="gramEnd"/>
      <w:r w:rsidRPr="00B50432">
        <w:rPr>
          <w:rFonts w:ascii="Times New Roman" w:hAnsi="Times New Roman" w:cs="Times New Roman"/>
        </w:rPr>
        <w:t xml:space="preserve"> across the four-year study period.</w:t>
      </w:r>
    </w:p>
    <w:p w14:paraId="17200D64" w14:textId="77777777" w:rsidR="00B50432" w:rsidRPr="00B50432" w:rsidRDefault="00B50432" w:rsidP="00B50432">
      <w:pPr>
        <w:rPr>
          <w:rFonts w:ascii="Times New Roman" w:hAnsi="Times New Roman" w:cs="Times New Roman"/>
        </w:rPr>
      </w:pPr>
    </w:p>
    <w:p w14:paraId="43AE7278"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r w:rsidRPr="00B50432">
        <w:rPr>
          <w:rFonts w:ascii="Times New Roman" w:hAnsi="Times New Roman" w:cs="Times New Roman"/>
          <w:b/>
          <w:bCs/>
        </w:rPr>
        <w:t>**Same-interconnection destinations (MISO, NYISO</w:t>
      </w:r>
      <w:proofErr w:type="gramStart"/>
      <w:r w:rsidRPr="00B50432">
        <w:rPr>
          <w:rFonts w:ascii="Times New Roman" w:hAnsi="Times New Roman" w:cs="Times New Roman"/>
          <w:b/>
          <w:bCs/>
        </w:rPr>
        <w:t>):*</w:t>
      </w:r>
      <w:proofErr w:type="gramEnd"/>
      <w:r w:rsidRPr="00B50432">
        <w:rPr>
          <w:rFonts w:ascii="Times New Roman" w:hAnsi="Times New Roman" w:cs="Times New Roman"/>
          <w:b/>
          <w:bCs/>
        </w:rPr>
        <w:t>*</w:t>
      </w:r>
      <w:r w:rsidRPr="00B50432">
        <w:rPr>
          <w:rFonts w:ascii="Times New Roman" w:hAnsi="Times New Roman" w:cs="Times New Roman"/>
        </w:rPr>
        <w:t xml:space="preserve"> Substantially higher overlap consistent with shared exposure to regional weather systems and partial electrical coupling. MISO zones range from 43% to 66%, NYISO from 29% to 41%.</w:t>
      </w:r>
    </w:p>
    <w:p w14:paraId="166A47D4" w14:textId="77777777" w:rsidR="00B50432" w:rsidRPr="00B50432" w:rsidRDefault="00B50432" w:rsidP="00B50432">
      <w:pPr>
        <w:rPr>
          <w:rFonts w:ascii="Times New Roman" w:hAnsi="Times New Roman" w:cs="Times New Roman"/>
        </w:rPr>
      </w:pPr>
    </w:p>
    <w:p w14:paraId="06524884"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The interconnection boundary, not the balancing authority boundary, creates the strongest decorrelation.</w:t>
      </w:r>
    </w:p>
    <w:p w14:paraId="1DB4A1C8" w14:textId="77777777" w:rsidR="00B50432" w:rsidRPr="00B50432" w:rsidRDefault="00B50432" w:rsidP="00B50432">
      <w:pPr>
        <w:rPr>
          <w:rFonts w:ascii="Times New Roman" w:hAnsi="Times New Roman" w:cs="Times New Roman"/>
        </w:rPr>
      </w:pPr>
    </w:p>
    <w:p w14:paraId="35AF477B"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Seasonal Decomposition</w:t>
      </w:r>
    </w:p>
    <w:p w14:paraId="2055FAA6" w14:textId="77777777" w:rsidR="00B50432" w:rsidRPr="00B50432" w:rsidRDefault="00B50432" w:rsidP="00B50432">
      <w:pPr>
        <w:rPr>
          <w:rFonts w:ascii="Times New Roman" w:hAnsi="Times New Roman" w:cs="Times New Roman"/>
        </w:rPr>
      </w:pPr>
    </w:p>
    <w:p w14:paraId="1D7D784A"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r w:rsidRPr="00B50432">
        <w:rPr>
          <w:rFonts w:ascii="Times New Roman" w:hAnsi="Times New Roman" w:cs="Times New Roman"/>
          <w:b/>
          <w:bCs/>
        </w:rPr>
        <w:t>**</w:t>
      </w:r>
      <w:proofErr w:type="gramStart"/>
      <w:r w:rsidRPr="00B50432">
        <w:rPr>
          <w:rFonts w:ascii="Times New Roman" w:hAnsi="Times New Roman" w:cs="Times New Roman"/>
          <w:b/>
          <w:bCs/>
        </w:rPr>
        <w:t>Summer:*</w:t>
      </w:r>
      <w:proofErr w:type="gramEnd"/>
      <w:r w:rsidRPr="00B50432">
        <w:rPr>
          <w:rFonts w:ascii="Times New Roman" w:hAnsi="Times New Roman" w:cs="Times New Roman"/>
          <w:b/>
          <w:bCs/>
        </w:rPr>
        <w:t>*</w:t>
      </w:r>
      <w:r w:rsidRPr="00B50432">
        <w:rPr>
          <w:rFonts w:ascii="Times New Roman" w:hAnsi="Times New Roman" w:cs="Times New Roman"/>
        </w:rPr>
        <w:t xml:space="preserve"> ERCOT overlap with ComEd as low as 4–6%; CAISO is 0% — zero coincident summer stress hours across the entire 2022–2025 dataset.</w:t>
      </w:r>
    </w:p>
    <w:p w14:paraId="717C7B62"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r w:rsidRPr="00B50432">
        <w:rPr>
          <w:rFonts w:ascii="Times New Roman" w:hAnsi="Times New Roman" w:cs="Times New Roman"/>
          <w:b/>
          <w:bCs/>
        </w:rPr>
        <w:t>**</w:t>
      </w:r>
      <w:proofErr w:type="gramStart"/>
      <w:r w:rsidRPr="00B50432">
        <w:rPr>
          <w:rFonts w:ascii="Times New Roman" w:hAnsi="Times New Roman" w:cs="Times New Roman"/>
          <w:b/>
          <w:bCs/>
        </w:rPr>
        <w:t>Winter:*</w:t>
      </w:r>
      <w:proofErr w:type="gramEnd"/>
      <w:r w:rsidRPr="00B50432">
        <w:rPr>
          <w:rFonts w:ascii="Times New Roman" w:hAnsi="Times New Roman" w:cs="Times New Roman"/>
          <w:b/>
          <w:bCs/>
        </w:rPr>
        <w:t>*</w:t>
      </w:r>
      <w:r w:rsidRPr="00B50432">
        <w:rPr>
          <w:rFonts w:ascii="Times New Roman" w:hAnsi="Times New Roman" w:cs="Times New Roman"/>
        </w:rPr>
        <w:t xml:space="preserve"> ERCOT overlap rises to ~28% in 2024 (Arctic Blast year); CAISO to ~38%. Even in winter, 72% and 62% of ComEd stress hours find ERCOT and CAISO respectively unstressed. The seasonal pattern confirms that summer is the cleanest case for spatial migration, with winter events broader but still manageable through multi-destination portfolio selection.</w:t>
      </w:r>
    </w:p>
    <w:p w14:paraId="4F9649E6" w14:textId="77777777" w:rsidR="00B50432" w:rsidRPr="00B50432" w:rsidRDefault="00B50432" w:rsidP="00B50432">
      <w:pPr>
        <w:rPr>
          <w:rFonts w:ascii="Times New Roman" w:hAnsi="Times New Roman" w:cs="Times New Roman"/>
        </w:rPr>
      </w:pPr>
    </w:p>
    <w:p w14:paraId="539DDA97"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Range Justification</w:t>
      </w:r>
    </w:p>
    <w:p w14:paraId="69D7AB1E" w14:textId="77777777" w:rsidR="00B50432" w:rsidRPr="00B50432" w:rsidRDefault="00B50432" w:rsidP="00B50432">
      <w:pPr>
        <w:rPr>
          <w:rFonts w:ascii="Times New Roman" w:hAnsi="Times New Roman" w:cs="Times New Roman"/>
        </w:rPr>
      </w:pPr>
    </w:p>
    <w:p w14:paraId="11CC9D0E"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r w:rsidRPr="00B50432">
        <w:rPr>
          <w:rFonts w:ascii="Times New Roman" w:hAnsi="Times New Roman" w:cs="Times New Roman"/>
          <w:b/>
          <w:bCs/>
        </w:rPr>
        <w:t>**Conservative (0.945</w:t>
      </w:r>
      <w:proofErr w:type="gramStart"/>
      <w:r w:rsidRPr="00B50432">
        <w:rPr>
          <w:rFonts w:ascii="Times New Roman" w:hAnsi="Times New Roman" w:cs="Times New Roman"/>
          <w:b/>
          <w:bCs/>
        </w:rPr>
        <w:t>):*</w:t>
      </w:r>
      <w:proofErr w:type="gramEnd"/>
      <w:r w:rsidRPr="00B50432">
        <w:rPr>
          <w:rFonts w:ascii="Times New Roman" w:hAnsi="Times New Roman" w:cs="Times New Roman"/>
          <w:b/>
          <w:bCs/>
        </w:rPr>
        <w:t>*</w:t>
      </w:r>
      <w:r w:rsidRPr="00B50432">
        <w:rPr>
          <w:rFonts w:ascii="Times New Roman" w:hAnsi="Times New Roman" w:cs="Times New Roman"/>
        </w:rPr>
        <w:t xml:space="preserve"> Accounts for the possibility that continental-scale cold events become more frequent due to climate change, and for the reflexivity concern — widespread spatial migration adoption could stress destinations during source events (a Goodhart's Law dynamic).</w:t>
      </w:r>
    </w:p>
    <w:p w14:paraId="71B1DEED"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r w:rsidRPr="00B50432">
        <w:rPr>
          <w:rFonts w:ascii="Times New Roman" w:hAnsi="Times New Roman" w:cs="Times New Roman"/>
          <w:b/>
          <w:bCs/>
        </w:rPr>
        <w:t>**Central (0.99</w:t>
      </w:r>
      <w:proofErr w:type="gramStart"/>
      <w:r w:rsidRPr="00B50432">
        <w:rPr>
          <w:rFonts w:ascii="Times New Roman" w:hAnsi="Times New Roman" w:cs="Times New Roman"/>
          <w:b/>
          <w:bCs/>
        </w:rPr>
        <w:t>):*</w:t>
      </w:r>
      <w:proofErr w:type="gramEnd"/>
      <w:r w:rsidRPr="00B50432">
        <w:rPr>
          <w:rFonts w:ascii="Times New Roman" w:hAnsi="Times New Roman" w:cs="Times New Roman"/>
          <w:b/>
          <w:bCs/>
        </w:rPr>
        <w:t>*</w:t>
      </w:r>
      <w:r w:rsidRPr="00B50432">
        <w:rPr>
          <w:rFonts w:ascii="Times New Roman" w:hAnsi="Times New Roman" w:cs="Times New Roman"/>
        </w:rPr>
        <w:t xml:space="preserve"> Empirical, directly observed from 35,060 hours of pricing data.</w:t>
      </w:r>
    </w:p>
    <w:p w14:paraId="4FC216D1"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r w:rsidRPr="00B50432">
        <w:rPr>
          <w:rFonts w:ascii="Times New Roman" w:hAnsi="Times New Roman" w:cs="Times New Roman"/>
          <w:b/>
          <w:bCs/>
        </w:rPr>
        <w:t>**Optimistic (0.995</w:t>
      </w:r>
      <w:proofErr w:type="gramStart"/>
      <w:r w:rsidRPr="00B50432">
        <w:rPr>
          <w:rFonts w:ascii="Times New Roman" w:hAnsi="Times New Roman" w:cs="Times New Roman"/>
          <w:b/>
          <w:bCs/>
        </w:rPr>
        <w:t>):*</w:t>
      </w:r>
      <w:proofErr w:type="gramEnd"/>
      <w:r w:rsidRPr="00B50432">
        <w:rPr>
          <w:rFonts w:ascii="Times New Roman" w:hAnsi="Times New Roman" w:cs="Times New Roman"/>
          <w:b/>
          <w:bCs/>
        </w:rPr>
        <w:t>*</w:t>
      </w:r>
      <w:r w:rsidRPr="00B50432">
        <w:rPr>
          <w:rFonts w:ascii="Times New Roman" w:hAnsi="Times New Roman" w:cs="Times New Roman"/>
        </w:rPr>
        <w:t xml:space="preserve"> Reflects potential addition of SPP and ISO-NE destinations not yet in the dataset.</w:t>
      </w:r>
    </w:p>
    <w:p w14:paraId="63F23F58" w14:textId="77777777" w:rsidR="00B50432" w:rsidRPr="00B50432" w:rsidRDefault="00B50432" w:rsidP="00B50432">
      <w:pPr>
        <w:rPr>
          <w:rFonts w:ascii="Times New Roman" w:hAnsi="Times New Roman" w:cs="Times New Roman"/>
        </w:rPr>
      </w:pPr>
    </w:p>
    <w:p w14:paraId="5F74F0A1"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D1 contributes less than 1% of cascade variance because its empirical range is narrow and its central value is near 1.0.</w:t>
      </w:r>
    </w:p>
    <w:p w14:paraId="24402C47" w14:textId="77777777" w:rsidR="00B50432" w:rsidRPr="00B50432" w:rsidRDefault="00B50432" w:rsidP="00B50432">
      <w:pPr>
        <w:rPr>
          <w:rFonts w:ascii="Times New Roman" w:hAnsi="Times New Roman" w:cs="Times New Roman"/>
        </w:rPr>
      </w:pPr>
    </w:p>
    <w:p w14:paraId="4CEF66D3"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w:t>
      </w:r>
    </w:p>
    <w:p w14:paraId="17488DFD" w14:textId="77777777" w:rsidR="00B50432" w:rsidRPr="00B50432" w:rsidRDefault="00B50432" w:rsidP="00B50432">
      <w:pPr>
        <w:rPr>
          <w:rFonts w:ascii="Times New Roman" w:hAnsi="Times New Roman" w:cs="Times New Roman"/>
        </w:rPr>
      </w:pPr>
    </w:p>
    <w:p w14:paraId="557BD483"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D2: Utilization Headroom</w:t>
      </w:r>
    </w:p>
    <w:p w14:paraId="0A9488E0" w14:textId="77777777" w:rsidR="00B50432" w:rsidRPr="00B50432" w:rsidRDefault="00B50432" w:rsidP="00B50432">
      <w:pPr>
        <w:rPr>
          <w:rFonts w:ascii="Times New Roman" w:hAnsi="Times New Roman" w:cs="Times New Roman"/>
        </w:rPr>
      </w:pPr>
    </w:p>
    <w:p w14:paraId="7F53A056"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Attribute | Value |</w:t>
      </w:r>
    </w:p>
    <w:p w14:paraId="463AEE77" w14:textId="77777777" w:rsidR="00B50432" w:rsidRPr="00B50432" w:rsidRDefault="00B50432" w:rsidP="00B50432">
      <w:pPr>
        <w:rPr>
          <w:rFonts w:ascii="Times New Roman" w:hAnsi="Times New Roman" w:cs="Times New Roman"/>
        </w:rPr>
      </w:pPr>
      <w:proofErr w:type="gramStart"/>
      <w:r w:rsidRPr="00B50432">
        <w:rPr>
          <w:rFonts w:ascii="Times New Roman" w:hAnsi="Times New Roman" w:cs="Times New Roman"/>
        </w:rPr>
        <w:t>|---|---|</w:t>
      </w:r>
      <w:proofErr w:type="gramEnd"/>
    </w:p>
    <w:p w14:paraId="5DDB225F"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Central value | 0.33 |</w:t>
      </w:r>
    </w:p>
    <w:p w14:paraId="3AC279DE"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Range | </w:t>
      </w:r>
      <w:proofErr w:type="gramStart"/>
      <w:r w:rsidRPr="00B50432">
        <w:rPr>
          <w:rFonts w:ascii="Times New Roman" w:hAnsi="Times New Roman" w:cs="Times New Roman"/>
        </w:rPr>
        <w:t>Uniform[</w:t>
      </w:r>
      <w:proofErr w:type="gramEnd"/>
      <w:r w:rsidRPr="00B50432">
        <w:rPr>
          <w:rFonts w:ascii="Times New Roman" w:hAnsi="Times New Roman" w:cs="Times New Roman"/>
        </w:rPr>
        <w:t>0.20, 0.50] |</w:t>
      </w:r>
    </w:p>
    <w:p w14:paraId="51CA0DF1"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Grounding quality | ESTIMATED-WEAK |</w:t>
      </w:r>
    </w:p>
    <w:p w14:paraId="4F85BDA7"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Variance contribution | 43.9% (highest) |</w:t>
      </w:r>
    </w:p>
    <w:p w14:paraId="58C9871C" w14:textId="77777777" w:rsidR="00B50432" w:rsidRPr="00B50432" w:rsidRDefault="00B50432" w:rsidP="00B50432">
      <w:pPr>
        <w:rPr>
          <w:rFonts w:ascii="Times New Roman" w:hAnsi="Times New Roman" w:cs="Times New Roman"/>
        </w:rPr>
      </w:pPr>
    </w:p>
    <w:p w14:paraId="46511609"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What D2 Measures</w:t>
      </w:r>
    </w:p>
    <w:p w14:paraId="2FC74172" w14:textId="77777777" w:rsidR="00B50432" w:rsidRPr="00B50432" w:rsidRDefault="00B50432" w:rsidP="00B50432">
      <w:pPr>
        <w:rPr>
          <w:rFonts w:ascii="Times New Roman" w:hAnsi="Times New Roman" w:cs="Times New Roman"/>
        </w:rPr>
      </w:pPr>
    </w:p>
    <w:p w14:paraId="0A2674A7"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D2 answers: *at destination facilities, what fraction of GPU compute capacity is idle and available to absorb migrated inference </w:t>
      </w:r>
      <w:proofErr w:type="gramStart"/>
      <w:r w:rsidRPr="00B50432">
        <w:rPr>
          <w:rFonts w:ascii="Times New Roman" w:hAnsi="Times New Roman" w:cs="Times New Roman"/>
        </w:rPr>
        <w:t>workloads?*</w:t>
      </w:r>
      <w:proofErr w:type="gramEnd"/>
    </w:p>
    <w:p w14:paraId="0055F407" w14:textId="77777777" w:rsidR="00B50432" w:rsidRPr="00B50432" w:rsidRDefault="00B50432" w:rsidP="00B50432">
      <w:pPr>
        <w:rPr>
          <w:rFonts w:ascii="Times New Roman" w:hAnsi="Times New Roman" w:cs="Times New Roman"/>
        </w:rPr>
      </w:pPr>
    </w:p>
    <w:p w14:paraId="7C7F5D59"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D2 represents </w:t>
      </w:r>
      <w:r w:rsidRPr="00B50432">
        <w:rPr>
          <w:rFonts w:ascii="Times New Roman" w:hAnsi="Times New Roman" w:cs="Times New Roman"/>
          <w:b/>
          <w:bCs/>
        </w:rPr>
        <w:t>**GPU compute absorption capacity**</w:t>
      </w:r>
      <w:r w:rsidRPr="00B50432">
        <w:rPr>
          <w:rFonts w:ascii="Times New Roman" w:hAnsi="Times New Roman" w:cs="Times New Roman"/>
        </w:rPr>
        <w:t xml:space="preserve">, not facility-level load factor. The distinction is critical: facility-level load factor includes cooling (30–40% of facility power per EPRI 2024), power conditioning, networking, and storage overhead. None of these can absorb migrated inference workloads. D2 measures headroom in the GPU </w:t>
      </w:r>
      <w:proofErr w:type="gramStart"/>
      <w:r w:rsidRPr="00B50432">
        <w:rPr>
          <w:rFonts w:ascii="Times New Roman" w:hAnsi="Times New Roman" w:cs="Times New Roman"/>
        </w:rPr>
        <w:t>compute layer</w:t>
      </w:r>
      <w:proofErr w:type="gramEnd"/>
      <w:r w:rsidRPr="00B50432">
        <w:rPr>
          <w:rFonts w:ascii="Times New Roman" w:hAnsi="Times New Roman" w:cs="Times New Roman"/>
        </w:rPr>
        <w:t xml:space="preserve"> specifically.</w:t>
      </w:r>
    </w:p>
    <w:p w14:paraId="3D2D1100" w14:textId="77777777" w:rsidR="00B50432" w:rsidRPr="00B50432" w:rsidRDefault="00B50432" w:rsidP="00B50432">
      <w:pPr>
        <w:rPr>
          <w:rFonts w:ascii="Times New Roman" w:hAnsi="Times New Roman" w:cs="Times New Roman"/>
        </w:rPr>
      </w:pPr>
    </w:p>
    <w:p w14:paraId="04F203FF"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Derivation from Utilization Estimates</w:t>
      </w:r>
    </w:p>
    <w:p w14:paraId="538FFCB1" w14:textId="77777777" w:rsidR="00B50432" w:rsidRPr="00B50432" w:rsidRDefault="00B50432" w:rsidP="00B50432">
      <w:pPr>
        <w:rPr>
          <w:rFonts w:ascii="Times New Roman" w:hAnsi="Times New Roman" w:cs="Times New Roman"/>
        </w:rPr>
      </w:pPr>
    </w:p>
    <w:p w14:paraId="55DDEED6"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The D2 range maps directly from estimated GPU utilization rates (headroom = 1 − utilization):</w:t>
      </w:r>
    </w:p>
    <w:p w14:paraId="3E206E18" w14:textId="77777777" w:rsidR="00B50432" w:rsidRPr="00B50432" w:rsidRDefault="00B50432" w:rsidP="00B50432">
      <w:pPr>
        <w:rPr>
          <w:rFonts w:ascii="Times New Roman" w:hAnsi="Times New Roman" w:cs="Times New Roman"/>
        </w:rPr>
      </w:pPr>
    </w:p>
    <w:p w14:paraId="7D2C6D33"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Source | Metric | Utilization Estimate | Implied D2 | Citation |</w:t>
      </w:r>
    </w:p>
    <w:p w14:paraId="2C663F9B"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w:t>
      </w:r>
    </w:p>
    <w:p w14:paraId="69A2DD5F"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lastRenderedPageBreak/>
        <w:t>| LBNL 2024 DC Energy Report | Facility utilization baseline | ~50% | 0.50 | Shehabi et al. (2024) |</w:t>
      </w:r>
    </w:p>
    <w:p w14:paraId="28136AF7"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Azure enterprise environments | Server-level CPU utilization | 12–18% | 0.82–0.88 | Cortez et al., SOSP (2017) |</w:t>
      </w:r>
    </w:p>
    <w:p w14:paraId="0BFB5D53"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Cloud/AI environments | GPU utilization (industry est.) | 50–70% | 0.30–0.50 | Multiple sources |</w:t>
      </w:r>
    </w:p>
    <w:p w14:paraId="4537F997"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proofErr w:type="spellStart"/>
      <w:r w:rsidRPr="00B50432">
        <w:rPr>
          <w:rFonts w:ascii="Times New Roman" w:hAnsi="Times New Roman" w:cs="Times New Roman"/>
        </w:rPr>
        <w:t>DynamoLLM</w:t>
      </w:r>
      <w:proofErr w:type="spellEnd"/>
      <w:r w:rsidRPr="00B50432">
        <w:rPr>
          <w:rFonts w:ascii="Times New Roman" w:hAnsi="Times New Roman" w:cs="Times New Roman"/>
        </w:rPr>
        <w:t xml:space="preserve"> inference clusters | Inference cluster load variation | Significant low-util periods | Supports lower bound | Stojkovic et al. (2025) |</w:t>
      </w:r>
    </w:p>
    <w:p w14:paraId="0F6EF7CA"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Norris (Duke, Aug 2025) | Industry utilization analysis | 40–70% actual vs 90%+ perceived | Supports central range | Power &amp; Policy Substack |</w:t>
      </w:r>
    </w:p>
    <w:p w14:paraId="2F24C35F" w14:textId="77777777" w:rsidR="00B50432" w:rsidRPr="00B50432" w:rsidRDefault="00B50432" w:rsidP="00B50432">
      <w:pPr>
        <w:rPr>
          <w:rFonts w:ascii="Times New Roman" w:hAnsi="Times New Roman" w:cs="Times New Roman"/>
        </w:rPr>
      </w:pPr>
    </w:p>
    <w:p w14:paraId="3067D5D3"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The central value of 0.33 implies 67% average GPU utilization at destination inference facilities — plausible given that facilities maintain spare capacity for redundancy, burst handling, and business continuity. This spare capacity exists for commercial reasons independent of grid stress and represents no new </w:t>
      </w:r>
      <w:proofErr w:type="spellStart"/>
      <w:r w:rsidRPr="00B50432">
        <w:rPr>
          <w:rFonts w:ascii="Times New Roman" w:hAnsi="Times New Roman" w:cs="Times New Roman"/>
        </w:rPr>
        <w:t>CapEx</w:t>
      </w:r>
      <w:proofErr w:type="spellEnd"/>
      <w:r w:rsidRPr="00B50432">
        <w:rPr>
          <w:rFonts w:ascii="Times New Roman" w:hAnsi="Times New Roman" w:cs="Times New Roman"/>
        </w:rPr>
        <w:t xml:space="preserve"> required for the spatial migration mechanism. The marginal cost of making existing business continuity infrastructure available during the ~50–100 stress hours per year is substantially lower than building dedicated migration capacity.</w:t>
      </w:r>
    </w:p>
    <w:p w14:paraId="1A82CFFA" w14:textId="77777777" w:rsidR="00B50432" w:rsidRPr="00B50432" w:rsidRDefault="00B50432" w:rsidP="00B50432">
      <w:pPr>
        <w:rPr>
          <w:rFonts w:ascii="Times New Roman" w:hAnsi="Times New Roman" w:cs="Times New Roman"/>
        </w:rPr>
      </w:pPr>
    </w:p>
    <w:p w14:paraId="277178DF"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Pricing Evidence (Indirect Support)</w:t>
      </w:r>
    </w:p>
    <w:p w14:paraId="4736CEB0" w14:textId="77777777" w:rsidR="00B50432" w:rsidRPr="00B50432" w:rsidRDefault="00B50432" w:rsidP="00B50432">
      <w:pPr>
        <w:rPr>
          <w:rFonts w:ascii="Times New Roman" w:hAnsi="Times New Roman" w:cs="Times New Roman"/>
        </w:rPr>
      </w:pPr>
    </w:p>
    <w:p w14:paraId="1CA42150"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The Cross-BA pricing analysis provides indirect support for the D2 range. Grid stress at the source (ComEd) is positively correlated with low prices at cross-interconnection destinations. The capacity-weighted median destination LMP during ComEd stress hours is $92.49/MWh, substantially below ComEd's stress-hour pricing. Low destination prices signal underutilized generation and, by extension, underutilized load — consistent with GPU headroom being available precisely when migration demand arrives.</w:t>
      </w:r>
    </w:p>
    <w:p w14:paraId="5F9EB8B3" w14:textId="77777777" w:rsidR="00B50432" w:rsidRPr="00B50432" w:rsidRDefault="00B50432" w:rsidP="00B50432">
      <w:pPr>
        <w:rPr>
          <w:rFonts w:ascii="Times New Roman" w:hAnsi="Times New Roman" w:cs="Times New Roman"/>
        </w:rPr>
      </w:pPr>
    </w:p>
    <w:p w14:paraId="6720A588"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Why D2 Is the Largest Variance Driver</w:t>
      </w:r>
    </w:p>
    <w:p w14:paraId="6A7B51EF" w14:textId="77777777" w:rsidR="00B50432" w:rsidRPr="00B50432" w:rsidRDefault="00B50432" w:rsidP="00B50432">
      <w:pPr>
        <w:rPr>
          <w:rFonts w:ascii="Times New Roman" w:hAnsi="Times New Roman" w:cs="Times New Roman"/>
        </w:rPr>
      </w:pPr>
    </w:p>
    <w:p w14:paraId="18031D83"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D2 is the single largest contributor to cascade variance (44%) because:</w:t>
      </w:r>
    </w:p>
    <w:p w14:paraId="4A8FDC58" w14:textId="77777777" w:rsidR="00B50432" w:rsidRPr="00B50432" w:rsidRDefault="00B50432" w:rsidP="00B50432">
      <w:pPr>
        <w:rPr>
          <w:rFonts w:ascii="Times New Roman" w:hAnsi="Times New Roman" w:cs="Times New Roman"/>
        </w:rPr>
      </w:pPr>
    </w:p>
    <w:p w14:paraId="0C04E6D3"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lastRenderedPageBreak/>
        <w:t>1. The [0.20, 0.50] range is wide (0.30 span), and at low absolute values the multiplicative impact is large</w:t>
      </w:r>
    </w:p>
    <w:p w14:paraId="3317F1BD"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2. No published study directly measures GPU-level utilization distributions at production inference facilities</w:t>
      </w:r>
    </w:p>
    <w:p w14:paraId="38A1A545"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3. Utilization varies dramatically by facility type, time of day, and workload mix</w:t>
      </w:r>
    </w:p>
    <w:p w14:paraId="2C4E1817" w14:textId="77777777" w:rsidR="00B50432" w:rsidRPr="00B50432" w:rsidRDefault="00B50432" w:rsidP="00B50432">
      <w:pPr>
        <w:rPr>
          <w:rFonts w:ascii="Times New Roman" w:hAnsi="Times New Roman" w:cs="Times New Roman"/>
        </w:rPr>
      </w:pPr>
    </w:p>
    <w:p w14:paraId="4AFF03E5"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xml:space="preserve">**What would resolve </w:t>
      </w:r>
      <w:proofErr w:type="gramStart"/>
      <w:r w:rsidRPr="00B50432">
        <w:rPr>
          <w:rFonts w:ascii="Times New Roman" w:hAnsi="Times New Roman" w:cs="Times New Roman"/>
          <w:b/>
          <w:bCs/>
        </w:rPr>
        <w:t>this:*</w:t>
      </w:r>
      <w:proofErr w:type="gramEnd"/>
      <w:r w:rsidRPr="00B50432">
        <w:rPr>
          <w:rFonts w:ascii="Times New Roman" w:hAnsi="Times New Roman" w:cs="Times New Roman"/>
          <w:b/>
          <w:bCs/>
        </w:rPr>
        <w:t>*</w:t>
      </w:r>
      <w:r w:rsidRPr="00B50432">
        <w:rPr>
          <w:rFonts w:ascii="Times New Roman" w:hAnsi="Times New Roman" w:cs="Times New Roman"/>
        </w:rPr>
        <w:t xml:space="preserve"> GPU-level power draw or utilization telemetry from production inference facilities, ideally time-series data showing utilization distributions across hours. This is the single most valuable empirical contribution that hyperscale operators could make to tighten the cascade estimate.</w:t>
      </w:r>
    </w:p>
    <w:p w14:paraId="3445445B" w14:textId="77777777" w:rsidR="00B50432" w:rsidRPr="00B50432" w:rsidRDefault="00B50432" w:rsidP="00B50432">
      <w:pPr>
        <w:rPr>
          <w:rFonts w:ascii="Times New Roman" w:hAnsi="Times New Roman" w:cs="Times New Roman"/>
        </w:rPr>
      </w:pPr>
    </w:p>
    <w:p w14:paraId="605C1A91"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w:t>
      </w:r>
    </w:p>
    <w:p w14:paraId="48741FC4" w14:textId="77777777" w:rsidR="00B50432" w:rsidRPr="00B50432" w:rsidRDefault="00B50432" w:rsidP="00B50432">
      <w:pPr>
        <w:rPr>
          <w:rFonts w:ascii="Times New Roman" w:hAnsi="Times New Roman" w:cs="Times New Roman"/>
        </w:rPr>
      </w:pPr>
    </w:p>
    <w:p w14:paraId="29F37C0B"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D3: Hardware Compatibility</w:t>
      </w:r>
    </w:p>
    <w:p w14:paraId="7CEA83AA" w14:textId="77777777" w:rsidR="00B50432" w:rsidRPr="00B50432" w:rsidRDefault="00B50432" w:rsidP="00B50432">
      <w:pPr>
        <w:rPr>
          <w:rFonts w:ascii="Times New Roman" w:hAnsi="Times New Roman" w:cs="Times New Roman"/>
        </w:rPr>
      </w:pPr>
    </w:p>
    <w:p w14:paraId="4BCA1083"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Attribute | Value |</w:t>
      </w:r>
    </w:p>
    <w:p w14:paraId="21E83FE4" w14:textId="77777777" w:rsidR="00B50432" w:rsidRPr="00B50432" w:rsidRDefault="00B50432" w:rsidP="00B50432">
      <w:pPr>
        <w:rPr>
          <w:rFonts w:ascii="Times New Roman" w:hAnsi="Times New Roman" w:cs="Times New Roman"/>
        </w:rPr>
      </w:pPr>
      <w:proofErr w:type="gramStart"/>
      <w:r w:rsidRPr="00B50432">
        <w:rPr>
          <w:rFonts w:ascii="Times New Roman" w:hAnsi="Times New Roman" w:cs="Times New Roman"/>
        </w:rPr>
        <w:t>|---|---|</w:t>
      </w:r>
      <w:proofErr w:type="gramEnd"/>
    </w:p>
    <w:p w14:paraId="65E7E08C"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Central value | 0.88 (fixed) |</w:t>
      </w:r>
    </w:p>
    <w:p w14:paraId="0B9E4915"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Range | Not drawn in conditional MC |</w:t>
      </w:r>
    </w:p>
    <w:p w14:paraId="52666586"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Grounding quality | ESTIMATED-MODERATE |</w:t>
      </w:r>
    </w:p>
    <w:p w14:paraId="3D5196AD"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Variance contribution | 1.0% |</w:t>
      </w:r>
    </w:p>
    <w:p w14:paraId="7E0E523F" w14:textId="77777777" w:rsidR="00B50432" w:rsidRPr="00B50432" w:rsidRDefault="00B50432" w:rsidP="00B50432">
      <w:pPr>
        <w:rPr>
          <w:rFonts w:ascii="Times New Roman" w:hAnsi="Times New Roman" w:cs="Times New Roman"/>
        </w:rPr>
      </w:pPr>
    </w:p>
    <w:p w14:paraId="06762E35"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What D3 Measures</w:t>
      </w:r>
    </w:p>
    <w:p w14:paraId="7ED74958" w14:textId="77777777" w:rsidR="00B50432" w:rsidRPr="00B50432" w:rsidRDefault="00B50432" w:rsidP="00B50432">
      <w:pPr>
        <w:rPr>
          <w:rFonts w:ascii="Times New Roman" w:hAnsi="Times New Roman" w:cs="Times New Roman"/>
        </w:rPr>
      </w:pPr>
    </w:p>
    <w:p w14:paraId="2425A79C"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D3 answers: *can the destination facility </w:t>
      </w:r>
      <w:proofErr w:type="gramStart"/>
      <w:r w:rsidRPr="00B50432">
        <w:rPr>
          <w:rFonts w:ascii="Times New Roman" w:hAnsi="Times New Roman" w:cs="Times New Roman"/>
        </w:rPr>
        <w:t>actually run</w:t>
      </w:r>
      <w:proofErr w:type="gramEnd"/>
      <w:r w:rsidRPr="00B50432">
        <w:rPr>
          <w:rFonts w:ascii="Times New Roman" w:hAnsi="Times New Roman" w:cs="Times New Roman"/>
        </w:rPr>
        <w:t xml:space="preserve"> the migrating inference workload on its available GPU </w:t>
      </w:r>
      <w:proofErr w:type="gramStart"/>
      <w:r w:rsidRPr="00B50432">
        <w:rPr>
          <w:rFonts w:ascii="Times New Roman" w:hAnsi="Times New Roman" w:cs="Times New Roman"/>
        </w:rPr>
        <w:t>hardware?*</w:t>
      </w:r>
      <w:proofErr w:type="gramEnd"/>
    </w:p>
    <w:p w14:paraId="539BE237" w14:textId="77777777" w:rsidR="00B50432" w:rsidRPr="00B50432" w:rsidRDefault="00B50432" w:rsidP="00B50432">
      <w:pPr>
        <w:rPr>
          <w:rFonts w:ascii="Times New Roman" w:hAnsi="Times New Roman" w:cs="Times New Roman"/>
        </w:rPr>
      </w:pPr>
    </w:p>
    <w:p w14:paraId="1E4229F4"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GPU Architecture Compatibility</w:t>
      </w:r>
    </w:p>
    <w:p w14:paraId="6B50448A" w14:textId="77777777" w:rsidR="00B50432" w:rsidRPr="00B50432" w:rsidRDefault="00B50432" w:rsidP="00B50432">
      <w:pPr>
        <w:rPr>
          <w:rFonts w:ascii="Times New Roman" w:hAnsi="Times New Roman" w:cs="Times New Roman"/>
        </w:rPr>
      </w:pPr>
    </w:p>
    <w:p w14:paraId="0162463E"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lastRenderedPageBreak/>
        <w:t xml:space="preserve">NVIDIA's CUDA driver provides </w:t>
      </w:r>
      <w:r w:rsidRPr="00B50432">
        <w:rPr>
          <w:rFonts w:ascii="Times New Roman" w:hAnsi="Times New Roman" w:cs="Times New Roman"/>
          <w:b/>
          <w:bCs/>
        </w:rPr>
        <w:t xml:space="preserve">**backward </w:t>
      </w:r>
      <w:proofErr w:type="gramStart"/>
      <w:r w:rsidRPr="00B50432">
        <w:rPr>
          <w:rFonts w:ascii="Times New Roman" w:hAnsi="Times New Roman" w:cs="Times New Roman"/>
          <w:b/>
          <w:bCs/>
        </w:rPr>
        <w:t>compatibility:*</w:t>
      </w:r>
      <w:proofErr w:type="gramEnd"/>
      <w:r w:rsidRPr="00B50432">
        <w:rPr>
          <w:rFonts w:ascii="Times New Roman" w:hAnsi="Times New Roman" w:cs="Times New Roman"/>
          <w:b/>
          <w:bCs/>
        </w:rPr>
        <w:t>*</w:t>
      </w:r>
      <w:r w:rsidRPr="00B50432">
        <w:rPr>
          <w:rFonts w:ascii="Times New Roman" w:hAnsi="Times New Roman" w:cs="Times New Roman"/>
        </w:rPr>
        <w:t xml:space="preserve"> a newer driver can run applications compiled for older CUDA toolkit versions. This means an inference model compiled for A100 (compute capability 8.0) runs on H100 (compute capability 9.0) without recompilation.</w:t>
      </w:r>
    </w:p>
    <w:p w14:paraId="322D5F6A" w14:textId="77777777" w:rsidR="00B50432" w:rsidRPr="00B50432" w:rsidRDefault="00B50432" w:rsidP="00B50432">
      <w:pPr>
        <w:rPr>
          <w:rFonts w:ascii="Times New Roman" w:hAnsi="Times New Roman" w:cs="Times New Roman"/>
        </w:rPr>
      </w:pPr>
    </w:p>
    <w:p w14:paraId="11B22367"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Source: NVIDIA CUDA Compatibility Documentation (https://docs.nvidia.com/deploy/cuda-compatibility/)</w:t>
      </w:r>
    </w:p>
    <w:p w14:paraId="7A04E6BE" w14:textId="77777777" w:rsidR="00B50432" w:rsidRPr="00B50432" w:rsidRDefault="00B50432" w:rsidP="00B50432">
      <w:pPr>
        <w:rPr>
          <w:rFonts w:ascii="Times New Roman" w:hAnsi="Times New Roman" w:cs="Times New Roman"/>
        </w:rPr>
      </w:pPr>
    </w:p>
    <w:p w14:paraId="2914F1B0"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**Forward compatibility**</w:t>
      </w:r>
      <w:r w:rsidRPr="00B50432">
        <w:rPr>
          <w:rFonts w:ascii="Times New Roman" w:hAnsi="Times New Roman" w:cs="Times New Roman"/>
        </w:rPr>
        <w:t xml:space="preserve"> (newer application on older driver) is not guaranteed and requires explicit installation of the CUDA Forward Compatibility package, available only for data center GPUs.</w:t>
      </w:r>
    </w:p>
    <w:p w14:paraId="2388A2F6" w14:textId="77777777" w:rsidR="00B50432" w:rsidRPr="00B50432" w:rsidRDefault="00B50432" w:rsidP="00B50432">
      <w:pPr>
        <w:rPr>
          <w:rFonts w:ascii="Times New Roman" w:hAnsi="Times New Roman" w:cs="Times New Roman"/>
        </w:rPr>
      </w:pPr>
    </w:p>
    <w:p w14:paraId="4BE08FC8"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Source: NVIDIA CUDA Forward Compatibility Documentation (https://docs.nvidia.com/deploy/cuda-compatibility/forward-compatibility.html)</w:t>
      </w:r>
    </w:p>
    <w:p w14:paraId="00F8D263" w14:textId="77777777" w:rsidR="00B50432" w:rsidRPr="00B50432" w:rsidRDefault="00B50432" w:rsidP="00B50432">
      <w:pPr>
        <w:rPr>
          <w:rFonts w:ascii="Times New Roman" w:hAnsi="Times New Roman" w:cs="Times New Roman"/>
        </w:rPr>
      </w:pPr>
    </w:p>
    <w:p w14:paraId="64ABD490"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xml:space="preserve">#### The </w:t>
      </w:r>
      <w:proofErr w:type="spellStart"/>
      <w:r w:rsidRPr="00B50432">
        <w:rPr>
          <w:rFonts w:ascii="Times New Roman" w:hAnsi="Times New Roman" w:cs="Times New Roman"/>
          <w:b/>
          <w:bCs/>
        </w:rPr>
        <w:t>TensorRT</w:t>
      </w:r>
      <w:proofErr w:type="spellEnd"/>
      <w:r w:rsidRPr="00B50432">
        <w:rPr>
          <w:rFonts w:ascii="Times New Roman" w:hAnsi="Times New Roman" w:cs="Times New Roman"/>
          <w:b/>
          <w:bCs/>
        </w:rPr>
        <w:t>-LLM Constraint</w:t>
      </w:r>
    </w:p>
    <w:p w14:paraId="2F0685C9" w14:textId="77777777" w:rsidR="00B50432" w:rsidRPr="00B50432" w:rsidRDefault="00B50432" w:rsidP="00B50432">
      <w:pPr>
        <w:rPr>
          <w:rFonts w:ascii="Times New Roman" w:hAnsi="Times New Roman" w:cs="Times New Roman"/>
        </w:rPr>
      </w:pPr>
    </w:p>
    <w:p w14:paraId="28473D6C" w14:textId="77777777" w:rsidR="00B50432" w:rsidRPr="00B50432" w:rsidRDefault="00B50432" w:rsidP="00B50432">
      <w:pPr>
        <w:rPr>
          <w:rFonts w:ascii="Times New Roman" w:hAnsi="Times New Roman" w:cs="Times New Roman"/>
        </w:rPr>
      </w:pPr>
      <w:proofErr w:type="spellStart"/>
      <w:r w:rsidRPr="00B50432">
        <w:rPr>
          <w:rFonts w:ascii="Times New Roman" w:hAnsi="Times New Roman" w:cs="Times New Roman"/>
        </w:rPr>
        <w:t>TensorRT</w:t>
      </w:r>
      <w:proofErr w:type="spellEnd"/>
      <w:r w:rsidRPr="00B50432">
        <w:rPr>
          <w:rFonts w:ascii="Times New Roman" w:hAnsi="Times New Roman" w:cs="Times New Roman"/>
        </w:rPr>
        <w:t xml:space="preserve">-LLM compiles models to GPU-architecture-specific engines identified by CUDA compute capability (e.g., 80 for A100, 90 for Hopper). An A100 engine cannot execute on an H100 without recompilation, which adds 5–30 minutes per model depending on model size. A multi-site operator using </w:t>
      </w:r>
      <w:proofErr w:type="spellStart"/>
      <w:r w:rsidRPr="00B50432">
        <w:rPr>
          <w:rFonts w:ascii="Times New Roman" w:hAnsi="Times New Roman" w:cs="Times New Roman"/>
        </w:rPr>
        <w:t>TensorRT</w:t>
      </w:r>
      <w:proofErr w:type="spellEnd"/>
      <w:r w:rsidRPr="00B50432">
        <w:rPr>
          <w:rFonts w:ascii="Times New Roman" w:hAnsi="Times New Roman" w:cs="Times New Roman"/>
        </w:rPr>
        <w:t>-LLM would need to pre-stage compiled engines for all destination GPU architectures, or use framework-agnostic serving (</w:t>
      </w:r>
      <w:proofErr w:type="spellStart"/>
      <w:r w:rsidRPr="00B50432">
        <w:rPr>
          <w:rFonts w:ascii="Times New Roman" w:hAnsi="Times New Roman" w:cs="Times New Roman"/>
        </w:rPr>
        <w:t>vLLM</w:t>
      </w:r>
      <w:proofErr w:type="spellEnd"/>
      <w:r w:rsidRPr="00B50432">
        <w:rPr>
          <w:rFonts w:ascii="Times New Roman" w:hAnsi="Times New Roman" w:cs="Times New Roman"/>
        </w:rPr>
        <w:t>, TGI).</w:t>
      </w:r>
    </w:p>
    <w:p w14:paraId="500C2410" w14:textId="77777777" w:rsidR="00B50432" w:rsidRPr="00B50432" w:rsidRDefault="00B50432" w:rsidP="00B50432">
      <w:pPr>
        <w:rPr>
          <w:rFonts w:ascii="Times New Roman" w:hAnsi="Times New Roman" w:cs="Times New Roman"/>
        </w:rPr>
      </w:pPr>
    </w:p>
    <w:p w14:paraId="7CD04CC1"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Source: NVIDIA </w:t>
      </w:r>
      <w:proofErr w:type="spellStart"/>
      <w:r w:rsidRPr="00B50432">
        <w:rPr>
          <w:rFonts w:ascii="Times New Roman" w:hAnsi="Times New Roman" w:cs="Times New Roman"/>
        </w:rPr>
        <w:t>TensorRT</w:t>
      </w:r>
      <w:proofErr w:type="spellEnd"/>
      <w:r w:rsidRPr="00B50432">
        <w:rPr>
          <w:rFonts w:ascii="Times New Roman" w:hAnsi="Times New Roman" w:cs="Times New Roman"/>
        </w:rPr>
        <w:t>-LLM Support Matrix (https://nvidia.github.io/TensorRT-LLM/reference/support-matrix.html)</w:t>
      </w:r>
    </w:p>
    <w:p w14:paraId="5E1D8B3C" w14:textId="77777777" w:rsidR="00B50432" w:rsidRPr="00B50432" w:rsidRDefault="00B50432" w:rsidP="00B50432">
      <w:pPr>
        <w:rPr>
          <w:rFonts w:ascii="Times New Roman" w:hAnsi="Times New Roman" w:cs="Times New Roman"/>
        </w:rPr>
      </w:pPr>
    </w:p>
    <w:p w14:paraId="2E737835"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Framework Portability</w:t>
      </w:r>
    </w:p>
    <w:p w14:paraId="1ED742F3" w14:textId="77777777" w:rsidR="00B50432" w:rsidRPr="00B50432" w:rsidRDefault="00B50432" w:rsidP="00B50432">
      <w:pPr>
        <w:rPr>
          <w:rFonts w:ascii="Times New Roman" w:hAnsi="Times New Roman" w:cs="Times New Roman"/>
        </w:rPr>
      </w:pPr>
    </w:p>
    <w:p w14:paraId="433038DF"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The dominant inference serving frameworks reinforce hardware portability:</w:t>
      </w:r>
    </w:p>
    <w:p w14:paraId="2C029FA0"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r w:rsidRPr="00B50432">
        <w:rPr>
          <w:rFonts w:ascii="Times New Roman" w:hAnsi="Times New Roman" w:cs="Times New Roman"/>
          <w:b/>
          <w:bCs/>
        </w:rPr>
        <w:t>**</w:t>
      </w:r>
      <w:proofErr w:type="spellStart"/>
      <w:r w:rsidRPr="00B50432">
        <w:rPr>
          <w:rFonts w:ascii="Times New Roman" w:hAnsi="Times New Roman" w:cs="Times New Roman"/>
          <w:b/>
          <w:bCs/>
        </w:rPr>
        <w:t>vLLM</w:t>
      </w:r>
      <w:proofErr w:type="spellEnd"/>
      <w:r w:rsidRPr="00B50432">
        <w:rPr>
          <w:rFonts w:ascii="Times New Roman" w:hAnsi="Times New Roman" w:cs="Times New Roman"/>
          <w:b/>
          <w:bCs/>
        </w:rPr>
        <w:t>**</w:t>
      </w:r>
      <w:r w:rsidRPr="00B50432">
        <w:rPr>
          <w:rFonts w:ascii="Times New Roman" w:hAnsi="Times New Roman" w:cs="Times New Roman"/>
        </w:rPr>
        <w:t xml:space="preserve"> supports NVIDIA GPUs, AMD GPUs, Intel GPUs, and TPUs; designed for hardware independence (Red Hat, October 2025)</w:t>
      </w:r>
    </w:p>
    <w:p w14:paraId="7BB28414"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lastRenderedPageBreak/>
        <w:t>- Standard deployments use containerized serving (Docker/Kubernetes), abstracting hardware specifics behind a consistent API</w:t>
      </w:r>
    </w:p>
    <w:p w14:paraId="0A81F3FF" w14:textId="77777777" w:rsidR="00B50432" w:rsidRPr="00B50432" w:rsidRDefault="00B50432" w:rsidP="00B50432">
      <w:pPr>
        <w:rPr>
          <w:rFonts w:ascii="Times New Roman" w:hAnsi="Times New Roman" w:cs="Times New Roman"/>
        </w:rPr>
      </w:pPr>
    </w:p>
    <w:p w14:paraId="367A3383"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D3 = 0.88</w:t>
      </w:r>
    </w:p>
    <w:p w14:paraId="0916F312" w14:textId="77777777" w:rsidR="00B50432" w:rsidRPr="00B50432" w:rsidRDefault="00B50432" w:rsidP="00B50432">
      <w:pPr>
        <w:rPr>
          <w:rFonts w:ascii="Times New Roman" w:hAnsi="Times New Roman" w:cs="Times New Roman"/>
        </w:rPr>
      </w:pPr>
    </w:p>
    <w:p w14:paraId="5077C225"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The 0.88 value reflects:</w:t>
      </w:r>
    </w:p>
    <w:p w14:paraId="1D5FDFA8"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The fraction of the destination GPU fleet running compatible CUDA compute capabilities, accounting for the heterogeneous mix of GPU generations (V100, A100, H100, B100)</w:t>
      </w:r>
    </w:p>
    <w:p w14:paraId="0213FE30"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Residual risk from quantization format mismatches (FP8 on H100 vs FP16 on A100) and generation-specific GPU features</w:t>
      </w:r>
    </w:p>
    <w:p w14:paraId="540B15DC"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The assumption that participating operators pre-stage architecture-specific binaries but cannot guarantee coverage across every destination GPU variant</w:t>
      </w:r>
    </w:p>
    <w:p w14:paraId="48526906" w14:textId="77777777" w:rsidR="00B50432" w:rsidRPr="00B50432" w:rsidRDefault="00B50432" w:rsidP="00B50432">
      <w:pPr>
        <w:rPr>
          <w:rFonts w:ascii="Times New Roman" w:hAnsi="Times New Roman" w:cs="Times New Roman"/>
        </w:rPr>
      </w:pPr>
    </w:p>
    <w:p w14:paraId="1C93DC54"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D3 is held fixed in the conditional Monte Carlo because it is fundamentally a </w:t>
      </w:r>
      <w:r w:rsidRPr="00B50432">
        <w:rPr>
          <w:rFonts w:ascii="Times New Roman" w:hAnsi="Times New Roman" w:cs="Times New Roman"/>
          <w:b/>
          <w:bCs/>
        </w:rPr>
        <w:t>**design parameter**</w:t>
      </w:r>
      <w:r w:rsidRPr="00B50432">
        <w:rPr>
          <w:rFonts w:ascii="Times New Roman" w:hAnsi="Times New Roman" w:cs="Times New Roman"/>
        </w:rPr>
        <w:t>: participating operators solve hardware compatibility by construction through pre-staging. The 0.88 value accounts for the realistic fraction of the destination fleet that is compatible at any given time.</w:t>
      </w:r>
    </w:p>
    <w:p w14:paraId="6F78517D" w14:textId="77777777" w:rsidR="00B50432" w:rsidRPr="00B50432" w:rsidRDefault="00B50432" w:rsidP="00B50432">
      <w:pPr>
        <w:rPr>
          <w:rFonts w:ascii="Times New Roman" w:hAnsi="Times New Roman" w:cs="Times New Roman"/>
        </w:rPr>
      </w:pPr>
    </w:p>
    <w:p w14:paraId="75DB137B"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w:t>
      </w:r>
    </w:p>
    <w:p w14:paraId="70874540" w14:textId="77777777" w:rsidR="00B50432" w:rsidRPr="00B50432" w:rsidRDefault="00B50432" w:rsidP="00B50432">
      <w:pPr>
        <w:rPr>
          <w:rFonts w:ascii="Times New Roman" w:hAnsi="Times New Roman" w:cs="Times New Roman"/>
        </w:rPr>
      </w:pPr>
    </w:p>
    <w:p w14:paraId="107893ED"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D4: Inference Workload Share at Destination</w:t>
      </w:r>
    </w:p>
    <w:p w14:paraId="7CCF9F52" w14:textId="77777777" w:rsidR="00B50432" w:rsidRPr="00B50432" w:rsidRDefault="00B50432" w:rsidP="00B50432">
      <w:pPr>
        <w:rPr>
          <w:rFonts w:ascii="Times New Roman" w:hAnsi="Times New Roman" w:cs="Times New Roman"/>
        </w:rPr>
      </w:pPr>
    </w:p>
    <w:p w14:paraId="441FFDC8"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Attribute | Value |</w:t>
      </w:r>
    </w:p>
    <w:p w14:paraId="1A57B833" w14:textId="77777777" w:rsidR="00B50432" w:rsidRPr="00B50432" w:rsidRDefault="00B50432" w:rsidP="00B50432">
      <w:pPr>
        <w:rPr>
          <w:rFonts w:ascii="Times New Roman" w:hAnsi="Times New Roman" w:cs="Times New Roman"/>
        </w:rPr>
      </w:pPr>
      <w:proofErr w:type="gramStart"/>
      <w:r w:rsidRPr="00B50432">
        <w:rPr>
          <w:rFonts w:ascii="Times New Roman" w:hAnsi="Times New Roman" w:cs="Times New Roman"/>
        </w:rPr>
        <w:t>|---|---|</w:t>
      </w:r>
      <w:proofErr w:type="gramEnd"/>
    </w:p>
    <w:p w14:paraId="32424E80"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Central value | 0.50 |</w:t>
      </w:r>
    </w:p>
    <w:p w14:paraId="34CA5367"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Range | </w:t>
      </w:r>
      <w:proofErr w:type="gramStart"/>
      <w:r w:rsidRPr="00B50432">
        <w:rPr>
          <w:rFonts w:ascii="Times New Roman" w:hAnsi="Times New Roman" w:cs="Times New Roman"/>
        </w:rPr>
        <w:t>Uniform[</w:t>
      </w:r>
      <w:proofErr w:type="gramEnd"/>
      <w:r w:rsidRPr="00B50432">
        <w:rPr>
          <w:rFonts w:ascii="Times New Roman" w:hAnsi="Times New Roman" w:cs="Times New Roman"/>
        </w:rPr>
        <w:t>0.33, 0.67] |</w:t>
      </w:r>
    </w:p>
    <w:p w14:paraId="50EE5428"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Grounding quality | ESTIMATED-MODERATE |</w:t>
      </w:r>
    </w:p>
    <w:p w14:paraId="621F7625"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Variance contribution | 27.9% (2nd highest) |</w:t>
      </w:r>
    </w:p>
    <w:p w14:paraId="6C044DB1" w14:textId="77777777" w:rsidR="00B50432" w:rsidRPr="00B50432" w:rsidRDefault="00B50432" w:rsidP="00B50432">
      <w:pPr>
        <w:rPr>
          <w:rFonts w:ascii="Times New Roman" w:hAnsi="Times New Roman" w:cs="Times New Roman"/>
        </w:rPr>
      </w:pPr>
    </w:p>
    <w:p w14:paraId="7C2580D9"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lastRenderedPageBreak/>
        <w:t>#### What D4 Measures</w:t>
      </w:r>
    </w:p>
    <w:p w14:paraId="45CD0748" w14:textId="77777777" w:rsidR="00B50432" w:rsidRPr="00B50432" w:rsidRDefault="00B50432" w:rsidP="00B50432">
      <w:pPr>
        <w:rPr>
          <w:rFonts w:ascii="Times New Roman" w:hAnsi="Times New Roman" w:cs="Times New Roman"/>
        </w:rPr>
      </w:pPr>
    </w:p>
    <w:p w14:paraId="659D3822"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D4 answers: *at the destination facility, what fraction of GPU compute is running inference workloads (as opposed to training) that can yield capacity to incoming migrated </w:t>
      </w:r>
      <w:proofErr w:type="gramStart"/>
      <w:r w:rsidRPr="00B50432">
        <w:rPr>
          <w:rFonts w:ascii="Times New Roman" w:hAnsi="Times New Roman" w:cs="Times New Roman"/>
        </w:rPr>
        <w:t>requests?*</w:t>
      </w:r>
      <w:proofErr w:type="gramEnd"/>
    </w:p>
    <w:p w14:paraId="5B7F6E88" w14:textId="77777777" w:rsidR="00B50432" w:rsidRPr="00B50432" w:rsidRDefault="00B50432" w:rsidP="00B50432">
      <w:pPr>
        <w:rPr>
          <w:rFonts w:ascii="Times New Roman" w:hAnsi="Times New Roman" w:cs="Times New Roman"/>
        </w:rPr>
      </w:pPr>
    </w:p>
    <w:p w14:paraId="42C02CC0"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D4 is a </w:t>
      </w:r>
      <w:r w:rsidRPr="00B50432">
        <w:rPr>
          <w:rFonts w:ascii="Times New Roman" w:hAnsi="Times New Roman" w:cs="Times New Roman"/>
          <w:b/>
          <w:bCs/>
        </w:rPr>
        <w:t>**destination-side**</w:t>
      </w:r>
      <w:r w:rsidRPr="00B50432">
        <w:rPr>
          <w:rFonts w:ascii="Times New Roman" w:hAnsi="Times New Roman" w:cs="Times New Roman"/>
        </w:rPr>
        <w:t xml:space="preserve"> parameter, distinct from S1 (source-side). S1 measures the source facility's workload composition; D4 measures the </w:t>
      </w:r>
      <w:proofErr w:type="gramStart"/>
      <w:r w:rsidRPr="00B50432">
        <w:rPr>
          <w:rFonts w:ascii="Times New Roman" w:hAnsi="Times New Roman" w:cs="Times New Roman"/>
        </w:rPr>
        <w:t>destination's</w:t>
      </w:r>
      <w:proofErr w:type="gramEnd"/>
      <w:r w:rsidRPr="00B50432">
        <w:rPr>
          <w:rFonts w:ascii="Times New Roman" w:hAnsi="Times New Roman" w:cs="Times New Roman"/>
        </w:rPr>
        <w:t>. The migrating workload can only be absorbed by GPU capacity currently running compatible inference — training clusters with tightly synchronized GPU operations cannot absorb ad-hoc inference requests without disrupting training jobs.</w:t>
      </w:r>
    </w:p>
    <w:p w14:paraId="61819751" w14:textId="77777777" w:rsidR="00B50432" w:rsidRPr="00B50432" w:rsidRDefault="00B50432" w:rsidP="00B50432">
      <w:pPr>
        <w:rPr>
          <w:rFonts w:ascii="Times New Roman" w:hAnsi="Times New Roman" w:cs="Times New Roman"/>
        </w:rPr>
      </w:pPr>
    </w:p>
    <w:p w14:paraId="4396E8E6"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Range Justification</w:t>
      </w:r>
    </w:p>
    <w:p w14:paraId="0F719DAB" w14:textId="77777777" w:rsidR="00B50432" w:rsidRPr="00B50432" w:rsidRDefault="00B50432" w:rsidP="00B50432">
      <w:pPr>
        <w:rPr>
          <w:rFonts w:ascii="Times New Roman" w:hAnsi="Times New Roman" w:cs="Times New Roman"/>
        </w:rPr>
      </w:pPr>
    </w:p>
    <w:p w14:paraId="14BA61FF"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The range mirrors the industry-wide inference share trajectory:</w:t>
      </w:r>
    </w:p>
    <w:p w14:paraId="4D4E21F1" w14:textId="77777777" w:rsidR="00B50432" w:rsidRPr="00B50432" w:rsidRDefault="00B50432" w:rsidP="00B50432">
      <w:pPr>
        <w:rPr>
          <w:rFonts w:ascii="Times New Roman" w:hAnsi="Times New Roman" w:cs="Times New Roman"/>
        </w:rPr>
      </w:pPr>
    </w:p>
    <w:p w14:paraId="4978FE21"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r w:rsidRPr="00B50432">
        <w:rPr>
          <w:rFonts w:ascii="Times New Roman" w:hAnsi="Times New Roman" w:cs="Times New Roman"/>
          <w:b/>
          <w:bCs/>
        </w:rPr>
        <w:t>**Floor (0.33</w:t>
      </w:r>
      <w:proofErr w:type="gramStart"/>
      <w:r w:rsidRPr="00B50432">
        <w:rPr>
          <w:rFonts w:ascii="Times New Roman" w:hAnsi="Times New Roman" w:cs="Times New Roman"/>
          <w:b/>
          <w:bCs/>
        </w:rPr>
        <w:t>):*</w:t>
      </w:r>
      <w:proofErr w:type="gramEnd"/>
      <w:r w:rsidRPr="00B50432">
        <w:rPr>
          <w:rFonts w:ascii="Times New Roman" w:hAnsi="Times New Roman" w:cs="Times New Roman"/>
          <w:b/>
          <w:bCs/>
        </w:rPr>
        <w:t>*</w:t>
      </w:r>
      <w:r w:rsidRPr="00B50432">
        <w:rPr>
          <w:rFonts w:ascii="Times New Roman" w:hAnsi="Times New Roman" w:cs="Times New Roman"/>
        </w:rPr>
        <w:t xml:space="preserve"> Conservative estimate for destination facilities with significant training commitment. Reflects 2023-era composition when inference was approximately one-third of compute (Deloitte, November 2025).</w:t>
      </w:r>
    </w:p>
    <w:p w14:paraId="41BA2130"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r w:rsidRPr="00B50432">
        <w:rPr>
          <w:rFonts w:ascii="Times New Roman" w:hAnsi="Times New Roman" w:cs="Times New Roman"/>
          <w:b/>
          <w:bCs/>
        </w:rPr>
        <w:t>**Central (0.50</w:t>
      </w:r>
      <w:proofErr w:type="gramStart"/>
      <w:r w:rsidRPr="00B50432">
        <w:rPr>
          <w:rFonts w:ascii="Times New Roman" w:hAnsi="Times New Roman" w:cs="Times New Roman"/>
          <w:b/>
          <w:bCs/>
        </w:rPr>
        <w:t>):*</w:t>
      </w:r>
      <w:proofErr w:type="gramEnd"/>
      <w:r w:rsidRPr="00B50432">
        <w:rPr>
          <w:rFonts w:ascii="Times New Roman" w:hAnsi="Times New Roman" w:cs="Times New Roman"/>
          <w:b/>
          <w:bCs/>
        </w:rPr>
        <w:t>*</w:t>
      </w:r>
      <w:r w:rsidRPr="00B50432">
        <w:rPr>
          <w:rFonts w:ascii="Times New Roman" w:hAnsi="Times New Roman" w:cs="Times New Roman"/>
        </w:rPr>
        <w:t xml:space="preserve"> Current industry mix. Inference approximately half of </w:t>
      </w:r>
      <w:proofErr w:type="gramStart"/>
      <w:r w:rsidRPr="00B50432">
        <w:rPr>
          <w:rFonts w:ascii="Times New Roman" w:hAnsi="Times New Roman" w:cs="Times New Roman"/>
        </w:rPr>
        <w:t>compute</w:t>
      </w:r>
      <w:proofErr w:type="gramEnd"/>
      <w:r w:rsidRPr="00B50432">
        <w:rPr>
          <w:rFonts w:ascii="Times New Roman" w:hAnsi="Times New Roman" w:cs="Times New Roman"/>
        </w:rPr>
        <w:t xml:space="preserve"> in 2025 (Deloitte).</w:t>
      </w:r>
    </w:p>
    <w:p w14:paraId="1C98092E"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r w:rsidRPr="00B50432">
        <w:rPr>
          <w:rFonts w:ascii="Times New Roman" w:hAnsi="Times New Roman" w:cs="Times New Roman"/>
          <w:b/>
          <w:bCs/>
        </w:rPr>
        <w:t>**Ceiling (0.67</w:t>
      </w:r>
      <w:proofErr w:type="gramStart"/>
      <w:r w:rsidRPr="00B50432">
        <w:rPr>
          <w:rFonts w:ascii="Times New Roman" w:hAnsi="Times New Roman" w:cs="Times New Roman"/>
          <w:b/>
          <w:bCs/>
        </w:rPr>
        <w:t>):*</w:t>
      </w:r>
      <w:proofErr w:type="gramEnd"/>
      <w:r w:rsidRPr="00B50432">
        <w:rPr>
          <w:rFonts w:ascii="Times New Roman" w:hAnsi="Times New Roman" w:cs="Times New Roman"/>
          <w:b/>
          <w:bCs/>
        </w:rPr>
        <w:t>*</w:t>
      </w:r>
      <w:r w:rsidRPr="00B50432">
        <w:rPr>
          <w:rFonts w:ascii="Times New Roman" w:hAnsi="Times New Roman" w:cs="Times New Roman"/>
        </w:rPr>
        <w:t xml:space="preserve"> Near-term trajectory. Deloitte projects inference at two-thirds by 2026. McKinsey's demand model shows inference reaching 43% of total sector </w:t>
      </w:r>
      <w:proofErr w:type="gramStart"/>
      <w:r w:rsidRPr="00B50432">
        <w:rPr>
          <w:rFonts w:ascii="Times New Roman" w:hAnsi="Times New Roman" w:cs="Times New Roman"/>
        </w:rPr>
        <w:t>compute</w:t>
      </w:r>
      <w:proofErr w:type="gramEnd"/>
      <w:r w:rsidRPr="00B50432">
        <w:rPr>
          <w:rFonts w:ascii="Times New Roman" w:hAnsi="Times New Roman" w:cs="Times New Roman"/>
        </w:rPr>
        <w:t xml:space="preserve"> by 2030, but inference-specialized facilities skew much higher.</w:t>
      </w:r>
    </w:p>
    <w:p w14:paraId="0FA4DBEB" w14:textId="77777777" w:rsidR="00B50432" w:rsidRPr="00B50432" w:rsidRDefault="00B50432" w:rsidP="00B50432">
      <w:pPr>
        <w:rPr>
          <w:rFonts w:ascii="Times New Roman" w:hAnsi="Times New Roman" w:cs="Times New Roman"/>
        </w:rPr>
      </w:pPr>
    </w:p>
    <w:p w14:paraId="42956E4F"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Why D4 Matters</w:t>
      </w:r>
    </w:p>
    <w:p w14:paraId="79B59F6B" w14:textId="77777777" w:rsidR="00B50432" w:rsidRPr="00B50432" w:rsidRDefault="00B50432" w:rsidP="00B50432">
      <w:pPr>
        <w:rPr>
          <w:rFonts w:ascii="Times New Roman" w:hAnsi="Times New Roman" w:cs="Times New Roman"/>
        </w:rPr>
      </w:pPr>
    </w:p>
    <w:p w14:paraId="47B1BA17"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D4 is the second-largest variance contributor (28%) and captures a structural trend: as the industry shifts from training-dominant to inference-dominant, D4 increases over time. This means the cascade product improves naturally without any policy intervention — the destination pool's ability to absorb migrated inference grows as more facilities specialize in inference.</w:t>
      </w:r>
    </w:p>
    <w:p w14:paraId="083CE5B1" w14:textId="77777777" w:rsidR="00B50432" w:rsidRPr="00B50432" w:rsidRDefault="00B50432" w:rsidP="00B50432">
      <w:pPr>
        <w:rPr>
          <w:rFonts w:ascii="Times New Roman" w:hAnsi="Times New Roman" w:cs="Times New Roman"/>
        </w:rPr>
      </w:pPr>
    </w:p>
    <w:p w14:paraId="234468E8"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lastRenderedPageBreak/>
        <w:t>D4 is not directly observable in public data. The inference-to-training ratio at specific destination facilities is an operational detail that operators do not disclose.</w:t>
      </w:r>
    </w:p>
    <w:p w14:paraId="12794933" w14:textId="77777777" w:rsidR="00B50432" w:rsidRPr="00B50432" w:rsidRDefault="00B50432" w:rsidP="00B50432">
      <w:pPr>
        <w:rPr>
          <w:rFonts w:ascii="Times New Roman" w:hAnsi="Times New Roman" w:cs="Times New Roman"/>
        </w:rPr>
      </w:pPr>
    </w:p>
    <w:p w14:paraId="51F9F6DA"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w:t>
      </w:r>
    </w:p>
    <w:p w14:paraId="7D7FF46A" w14:textId="77777777" w:rsidR="00B50432" w:rsidRPr="00B50432" w:rsidRDefault="00B50432" w:rsidP="00B50432">
      <w:pPr>
        <w:rPr>
          <w:rFonts w:ascii="Times New Roman" w:hAnsi="Times New Roman" w:cs="Times New Roman"/>
        </w:rPr>
      </w:pPr>
    </w:p>
    <w:p w14:paraId="30D083F0"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D5: Pre-Staging Readiness</w:t>
      </w:r>
    </w:p>
    <w:p w14:paraId="4A626AB9" w14:textId="77777777" w:rsidR="00B50432" w:rsidRPr="00B50432" w:rsidRDefault="00B50432" w:rsidP="00B50432">
      <w:pPr>
        <w:rPr>
          <w:rFonts w:ascii="Times New Roman" w:hAnsi="Times New Roman" w:cs="Times New Roman"/>
        </w:rPr>
      </w:pPr>
    </w:p>
    <w:p w14:paraId="3CA5218F"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Attribute | Value |</w:t>
      </w:r>
    </w:p>
    <w:p w14:paraId="26054970" w14:textId="77777777" w:rsidR="00B50432" w:rsidRPr="00B50432" w:rsidRDefault="00B50432" w:rsidP="00B50432">
      <w:pPr>
        <w:rPr>
          <w:rFonts w:ascii="Times New Roman" w:hAnsi="Times New Roman" w:cs="Times New Roman"/>
        </w:rPr>
      </w:pPr>
      <w:proofErr w:type="gramStart"/>
      <w:r w:rsidRPr="00B50432">
        <w:rPr>
          <w:rFonts w:ascii="Times New Roman" w:hAnsi="Times New Roman" w:cs="Times New Roman"/>
        </w:rPr>
        <w:t>|---|---|</w:t>
      </w:r>
      <w:proofErr w:type="gramEnd"/>
    </w:p>
    <w:p w14:paraId="33DF030A" w14:textId="77777777" w:rsidR="00B50432" w:rsidRPr="00B50432" w:rsidRDefault="00B50432" w:rsidP="00B50432">
      <w:pPr>
        <w:rPr>
          <w:rFonts w:ascii="Times New Roman" w:hAnsi="Times New Roman" w:cs="Times New Roman"/>
        </w:rPr>
      </w:pPr>
      <w:proofErr w:type="gramStart"/>
      <w:r w:rsidRPr="00B50432">
        <w:rPr>
          <w:rFonts w:ascii="Times New Roman" w:hAnsi="Times New Roman" w:cs="Times New Roman"/>
        </w:rPr>
        <w:t>| Central value | 0.65 |</w:t>
      </w:r>
      <w:proofErr w:type="gramEnd"/>
    </w:p>
    <w:p w14:paraId="0D8456B3"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Range | </w:t>
      </w:r>
      <w:proofErr w:type="gramStart"/>
      <w:r w:rsidRPr="00B50432">
        <w:rPr>
          <w:rFonts w:ascii="Times New Roman" w:hAnsi="Times New Roman" w:cs="Times New Roman"/>
        </w:rPr>
        <w:t>Uniform[</w:t>
      </w:r>
      <w:proofErr w:type="gramEnd"/>
      <w:r w:rsidRPr="00B50432">
        <w:rPr>
          <w:rFonts w:ascii="Times New Roman" w:hAnsi="Times New Roman" w:cs="Times New Roman"/>
        </w:rPr>
        <w:t>0.50, 0.80] |</w:t>
      </w:r>
    </w:p>
    <w:p w14:paraId="28FED01E"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Grounding quality | ESTIMATED-WEAK |</w:t>
      </w:r>
    </w:p>
    <w:p w14:paraId="5282E67D"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Variance contribution | 12.9% (3rd highest) |</w:t>
      </w:r>
    </w:p>
    <w:p w14:paraId="02D13037" w14:textId="77777777" w:rsidR="00B50432" w:rsidRPr="00B50432" w:rsidRDefault="00B50432" w:rsidP="00B50432">
      <w:pPr>
        <w:rPr>
          <w:rFonts w:ascii="Times New Roman" w:hAnsi="Times New Roman" w:cs="Times New Roman"/>
        </w:rPr>
      </w:pPr>
    </w:p>
    <w:p w14:paraId="2E33698D"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What D5 Measures</w:t>
      </w:r>
    </w:p>
    <w:p w14:paraId="05650937" w14:textId="77777777" w:rsidR="00B50432" w:rsidRPr="00B50432" w:rsidRDefault="00B50432" w:rsidP="00B50432">
      <w:pPr>
        <w:rPr>
          <w:rFonts w:ascii="Times New Roman" w:hAnsi="Times New Roman" w:cs="Times New Roman"/>
        </w:rPr>
      </w:pPr>
    </w:p>
    <w:p w14:paraId="101F35EF"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D5 answers: *at destination facilities with available inference capacity and compatible hardware, what fraction has the necessary model weights pre-staged and serving infrastructure warm to accept </w:t>
      </w:r>
      <w:proofErr w:type="gramStart"/>
      <w:r w:rsidRPr="00B50432">
        <w:rPr>
          <w:rFonts w:ascii="Times New Roman" w:hAnsi="Times New Roman" w:cs="Times New Roman"/>
        </w:rPr>
        <w:t>migrated</w:t>
      </w:r>
      <w:proofErr w:type="gramEnd"/>
      <w:r w:rsidRPr="00B50432">
        <w:rPr>
          <w:rFonts w:ascii="Times New Roman" w:hAnsi="Times New Roman" w:cs="Times New Roman"/>
        </w:rPr>
        <w:t xml:space="preserve"> requests </w:t>
      </w:r>
      <w:proofErr w:type="gramStart"/>
      <w:r w:rsidRPr="00B50432">
        <w:rPr>
          <w:rFonts w:ascii="Times New Roman" w:hAnsi="Times New Roman" w:cs="Times New Roman"/>
        </w:rPr>
        <w:t>immediately?*</w:t>
      </w:r>
      <w:proofErr w:type="gramEnd"/>
    </w:p>
    <w:p w14:paraId="1864D915" w14:textId="77777777" w:rsidR="00B50432" w:rsidRPr="00B50432" w:rsidRDefault="00B50432" w:rsidP="00B50432">
      <w:pPr>
        <w:rPr>
          <w:rFonts w:ascii="Times New Roman" w:hAnsi="Times New Roman" w:cs="Times New Roman"/>
        </w:rPr>
      </w:pPr>
    </w:p>
    <w:p w14:paraId="6FE8CA80"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Why Pre-Staging Matters</w:t>
      </w:r>
    </w:p>
    <w:p w14:paraId="50AD8277" w14:textId="77777777" w:rsidR="00B50432" w:rsidRPr="00B50432" w:rsidRDefault="00B50432" w:rsidP="00B50432">
      <w:pPr>
        <w:rPr>
          <w:rFonts w:ascii="Times New Roman" w:hAnsi="Times New Roman" w:cs="Times New Roman"/>
        </w:rPr>
      </w:pPr>
    </w:p>
    <w:p w14:paraId="2B72F3B6"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For inference spatial migration, model weights must already be loaded at the destination. Without pre-staging:</w:t>
      </w:r>
    </w:p>
    <w:p w14:paraId="73FC56D8" w14:textId="77777777" w:rsidR="00B50432" w:rsidRPr="00B50432" w:rsidRDefault="00B50432" w:rsidP="00B50432">
      <w:pPr>
        <w:rPr>
          <w:rFonts w:ascii="Times New Roman" w:hAnsi="Times New Roman" w:cs="Times New Roman"/>
        </w:rPr>
      </w:pPr>
    </w:p>
    <w:p w14:paraId="329C927B"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Frontier model weights (70B–405B parameters) are 140–810 GB in FP16</w:t>
      </w:r>
    </w:p>
    <w:p w14:paraId="3BAC55D2"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Transferring 810 GB (Llama 3 405B) over a 100 Gbps link takes ~65 seconds — manageable but adds latency and consumes WAN capacity</w:t>
      </w:r>
    </w:p>
    <w:p w14:paraId="5D652AA9"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Cold-start latency (loading weights from storage into GPU memory) adds additional minutes</w:t>
      </w:r>
    </w:p>
    <w:p w14:paraId="0D227947"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lastRenderedPageBreak/>
        <w:t xml:space="preserve">- NVIDIA </w:t>
      </w:r>
      <w:proofErr w:type="spellStart"/>
      <w:r w:rsidRPr="00B50432">
        <w:rPr>
          <w:rFonts w:ascii="Times New Roman" w:hAnsi="Times New Roman" w:cs="Times New Roman"/>
        </w:rPr>
        <w:t>Run:ai</w:t>
      </w:r>
      <w:proofErr w:type="spellEnd"/>
      <w:r w:rsidRPr="00B50432">
        <w:rPr>
          <w:rFonts w:ascii="Times New Roman" w:hAnsi="Times New Roman" w:cs="Times New Roman"/>
        </w:rPr>
        <w:t xml:space="preserve"> Model Streamer (2025) reduces cold-start latency for LLM inference but does not eliminate it</w:t>
      </w:r>
    </w:p>
    <w:p w14:paraId="7E935123" w14:textId="77777777" w:rsidR="00B50432" w:rsidRPr="00B50432" w:rsidRDefault="00B50432" w:rsidP="00B50432">
      <w:pPr>
        <w:rPr>
          <w:rFonts w:ascii="Times New Roman" w:hAnsi="Times New Roman" w:cs="Times New Roman"/>
        </w:rPr>
      </w:pPr>
    </w:p>
    <w:p w14:paraId="749C9C54"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With pre-staging:</w:t>
      </w:r>
    </w:p>
    <w:p w14:paraId="37264305"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Model weights are already loaded at destination GPUs</w:t>
      </w:r>
    </w:p>
    <w:p w14:paraId="51E5DE13"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Migration is purely a request routing operation (microseconds at the load balancer level)</w:t>
      </w:r>
    </w:p>
    <w:p w14:paraId="7A854EC6"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No WAN bandwidth consumed for weight transfer</w:t>
      </w:r>
    </w:p>
    <w:p w14:paraId="672BF3E5" w14:textId="77777777" w:rsidR="00B50432" w:rsidRPr="00B50432" w:rsidRDefault="00B50432" w:rsidP="00B50432">
      <w:pPr>
        <w:rPr>
          <w:rFonts w:ascii="Times New Roman" w:hAnsi="Times New Roman" w:cs="Times New Roman"/>
        </w:rPr>
      </w:pPr>
    </w:p>
    <w:p w14:paraId="1C387CAC"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Range Justification</w:t>
      </w:r>
    </w:p>
    <w:p w14:paraId="3E139C37" w14:textId="77777777" w:rsidR="00B50432" w:rsidRPr="00B50432" w:rsidRDefault="00B50432" w:rsidP="00B50432">
      <w:pPr>
        <w:rPr>
          <w:rFonts w:ascii="Times New Roman" w:hAnsi="Times New Roman" w:cs="Times New Roman"/>
        </w:rPr>
      </w:pPr>
    </w:p>
    <w:p w14:paraId="115CB9A2"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r w:rsidRPr="00B50432">
        <w:rPr>
          <w:rFonts w:ascii="Times New Roman" w:hAnsi="Times New Roman" w:cs="Times New Roman"/>
          <w:b/>
          <w:bCs/>
        </w:rPr>
        <w:t>**Floor (0.50</w:t>
      </w:r>
      <w:proofErr w:type="gramStart"/>
      <w:r w:rsidRPr="00B50432">
        <w:rPr>
          <w:rFonts w:ascii="Times New Roman" w:hAnsi="Times New Roman" w:cs="Times New Roman"/>
          <w:b/>
          <w:bCs/>
        </w:rPr>
        <w:t>):*</w:t>
      </w:r>
      <w:proofErr w:type="gramEnd"/>
      <w:r w:rsidRPr="00B50432">
        <w:rPr>
          <w:rFonts w:ascii="Times New Roman" w:hAnsi="Times New Roman" w:cs="Times New Roman"/>
          <w:b/>
          <w:bCs/>
        </w:rPr>
        <w:t>*</w:t>
      </w:r>
      <w:r w:rsidRPr="00B50432">
        <w:rPr>
          <w:rFonts w:ascii="Times New Roman" w:hAnsi="Times New Roman" w:cs="Times New Roman"/>
        </w:rPr>
        <w:t xml:space="preserve"> Reflects that many facilities may not invest in systematic pre-staging for grid flexibility purposes. Multi-region model deployment is standard at hyperscale for latency optimization, but not every destination facility in the pool runs every model.</w:t>
      </w:r>
    </w:p>
    <w:p w14:paraId="2D4A328D" w14:textId="77777777" w:rsidR="00B50432" w:rsidRPr="00B50432" w:rsidRDefault="00B50432" w:rsidP="00B50432">
      <w:pPr>
        <w:rPr>
          <w:rFonts w:ascii="Times New Roman" w:hAnsi="Times New Roman" w:cs="Times New Roman"/>
        </w:rPr>
      </w:pPr>
    </w:p>
    <w:p w14:paraId="128215A1"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r w:rsidRPr="00B50432">
        <w:rPr>
          <w:rFonts w:ascii="Times New Roman" w:hAnsi="Times New Roman" w:cs="Times New Roman"/>
          <w:b/>
          <w:bCs/>
        </w:rPr>
        <w:t>**Central (0.65</w:t>
      </w:r>
      <w:proofErr w:type="gramStart"/>
      <w:r w:rsidRPr="00B50432">
        <w:rPr>
          <w:rFonts w:ascii="Times New Roman" w:hAnsi="Times New Roman" w:cs="Times New Roman"/>
          <w:b/>
          <w:bCs/>
        </w:rPr>
        <w:t>):*</w:t>
      </w:r>
      <w:proofErr w:type="gramEnd"/>
      <w:r w:rsidRPr="00B50432">
        <w:rPr>
          <w:rFonts w:ascii="Times New Roman" w:hAnsi="Times New Roman" w:cs="Times New Roman"/>
          <w:b/>
          <w:bCs/>
        </w:rPr>
        <w:t>*</w:t>
      </w:r>
      <w:r w:rsidRPr="00B50432">
        <w:rPr>
          <w:rFonts w:ascii="Times New Roman" w:hAnsi="Times New Roman" w:cs="Times New Roman"/>
        </w:rPr>
        <w:t xml:space="preserve"> Author's estimate of the fraction of compatible destination capacity with warm serving infrastructure, based on the observation that </w:t>
      </w:r>
      <w:proofErr w:type="spellStart"/>
      <w:r w:rsidRPr="00B50432">
        <w:rPr>
          <w:rFonts w:ascii="Times New Roman" w:hAnsi="Times New Roman" w:cs="Times New Roman"/>
        </w:rPr>
        <w:t>hyperscalers</w:t>
      </w:r>
      <w:proofErr w:type="spellEnd"/>
      <w:r w:rsidRPr="00B50432">
        <w:rPr>
          <w:rFonts w:ascii="Times New Roman" w:hAnsi="Times New Roman" w:cs="Times New Roman"/>
        </w:rPr>
        <w:t xml:space="preserve"> already deploy popular models across multiple regions for commercial reasons (latency optimization, redundancy, capacity scaling). Not every model at every facility, but the high-traffic models that constitute the majority of inference </w:t>
      </w:r>
      <w:proofErr w:type="gramStart"/>
      <w:r w:rsidRPr="00B50432">
        <w:rPr>
          <w:rFonts w:ascii="Times New Roman" w:hAnsi="Times New Roman" w:cs="Times New Roman"/>
        </w:rPr>
        <w:t>compute</w:t>
      </w:r>
      <w:proofErr w:type="gramEnd"/>
      <w:r w:rsidRPr="00B50432">
        <w:rPr>
          <w:rFonts w:ascii="Times New Roman" w:hAnsi="Times New Roman" w:cs="Times New Roman"/>
        </w:rPr>
        <w:t>.</w:t>
      </w:r>
    </w:p>
    <w:p w14:paraId="23848321" w14:textId="77777777" w:rsidR="00B50432" w:rsidRPr="00B50432" w:rsidRDefault="00B50432" w:rsidP="00B50432">
      <w:pPr>
        <w:rPr>
          <w:rFonts w:ascii="Times New Roman" w:hAnsi="Times New Roman" w:cs="Times New Roman"/>
        </w:rPr>
      </w:pPr>
    </w:p>
    <w:p w14:paraId="2DA740F6"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r w:rsidRPr="00B50432">
        <w:rPr>
          <w:rFonts w:ascii="Times New Roman" w:hAnsi="Times New Roman" w:cs="Times New Roman"/>
          <w:b/>
          <w:bCs/>
        </w:rPr>
        <w:t>**Ceiling (0.80</w:t>
      </w:r>
      <w:proofErr w:type="gramStart"/>
      <w:r w:rsidRPr="00B50432">
        <w:rPr>
          <w:rFonts w:ascii="Times New Roman" w:hAnsi="Times New Roman" w:cs="Times New Roman"/>
          <w:b/>
          <w:bCs/>
        </w:rPr>
        <w:t>):*</w:t>
      </w:r>
      <w:proofErr w:type="gramEnd"/>
      <w:r w:rsidRPr="00B50432">
        <w:rPr>
          <w:rFonts w:ascii="Times New Roman" w:hAnsi="Times New Roman" w:cs="Times New Roman"/>
          <w:b/>
          <w:bCs/>
        </w:rPr>
        <w:t>*</w:t>
      </w:r>
      <w:r w:rsidRPr="00B50432">
        <w:rPr>
          <w:rFonts w:ascii="Times New Roman" w:hAnsi="Times New Roman" w:cs="Times New Roman"/>
        </w:rPr>
        <w:t xml:space="preserve"> Reflects a scenario where operators invest deliberately in pre-staging as part of a spatial migration DR commitment — expanding multi-region deployment beyond the commercially optimal set to include grid-flexibility-motivated pre-positioning.</w:t>
      </w:r>
    </w:p>
    <w:p w14:paraId="0473EB26" w14:textId="77777777" w:rsidR="00B50432" w:rsidRPr="00B50432" w:rsidRDefault="00B50432" w:rsidP="00B50432">
      <w:pPr>
        <w:rPr>
          <w:rFonts w:ascii="Times New Roman" w:hAnsi="Times New Roman" w:cs="Times New Roman"/>
        </w:rPr>
      </w:pPr>
    </w:p>
    <w:p w14:paraId="6E10B2BF"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D5 Is the Most Actionable Parameter</w:t>
      </w:r>
    </w:p>
    <w:p w14:paraId="11A62E18" w14:textId="77777777" w:rsidR="00B50432" w:rsidRPr="00B50432" w:rsidRDefault="00B50432" w:rsidP="00B50432">
      <w:pPr>
        <w:rPr>
          <w:rFonts w:ascii="Times New Roman" w:hAnsi="Times New Roman" w:cs="Times New Roman"/>
        </w:rPr>
      </w:pPr>
    </w:p>
    <w:p w14:paraId="2F4306FE"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D5 is the primary operational lever for increasing spatial migration commitment depth:</w:t>
      </w:r>
    </w:p>
    <w:p w14:paraId="3970018F" w14:textId="77777777" w:rsidR="00B50432" w:rsidRPr="00B50432" w:rsidRDefault="00B50432" w:rsidP="00B50432">
      <w:pPr>
        <w:rPr>
          <w:rFonts w:ascii="Times New Roman" w:hAnsi="Times New Roman" w:cs="Times New Roman"/>
        </w:rPr>
      </w:pPr>
    </w:p>
    <w:p w14:paraId="18F8A923"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r w:rsidRPr="00B50432">
        <w:rPr>
          <w:rFonts w:ascii="Times New Roman" w:hAnsi="Times New Roman" w:cs="Times New Roman"/>
          <w:b/>
          <w:bCs/>
        </w:rPr>
        <w:t xml:space="preserve">**No hardware change </w:t>
      </w:r>
      <w:proofErr w:type="gramStart"/>
      <w:r w:rsidRPr="00B50432">
        <w:rPr>
          <w:rFonts w:ascii="Times New Roman" w:hAnsi="Times New Roman" w:cs="Times New Roman"/>
          <w:b/>
          <w:bCs/>
        </w:rPr>
        <w:t>required:*</w:t>
      </w:r>
      <w:proofErr w:type="gramEnd"/>
      <w:r w:rsidRPr="00B50432">
        <w:rPr>
          <w:rFonts w:ascii="Times New Roman" w:hAnsi="Times New Roman" w:cs="Times New Roman"/>
          <w:b/>
          <w:bCs/>
        </w:rPr>
        <w:t>*</w:t>
      </w:r>
      <w:r w:rsidRPr="00B50432">
        <w:rPr>
          <w:rFonts w:ascii="Times New Roman" w:hAnsi="Times New Roman" w:cs="Times New Roman"/>
        </w:rPr>
        <w:t xml:space="preserve"> Pre-staging uses existing GPU memory and storage at destination facilities</w:t>
      </w:r>
    </w:p>
    <w:p w14:paraId="167D638E"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lastRenderedPageBreak/>
        <w:t xml:space="preserve">- </w:t>
      </w:r>
      <w:r w:rsidRPr="00B50432">
        <w:rPr>
          <w:rFonts w:ascii="Times New Roman" w:hAnsi="Times New Roman" w:cs="Times New Roman"/>
          <w:b/>
          <w:bCs/>
        </w:rPr>
        <w:t xml:space="preserve">**No workload composition </w:t>
      </w:r>
      <w:proofErr w:type="gramStart"/>
      <w:r w:rsidRPr="00B50432">
        <w:rPr>
          <w:rFonts w:ascii="Times New Roman" w:hAnsi="Times New Roman" w:cs="Times New Roman"/>
          <w:b/>
          <w:bCs/>
        </w:rPr>
        <w:t>change:*</w:t>
      </w:r>
      <w:proofErr w:type="gramEnd"/>
      <w:r w:rsidRPr="00B50432">
        <w:rPr>
          <w:rFonts w:ascii="Times New Roman" w:hAnsi="Times New Roman" w:cs="Times New Roman"/>
          <w:b/>
          <w:bCs/>
        </w:rPr>
        <w:t>*</w:t>
      </w:r>
      <w:r w:rsidRPr="00B50432">
        <w:rPr>
          <w:rFonts w:ascii="Times New Roman" w:hAnsi="Times New Roman" w:cs="Times New Roman"/>
        </w:rPr>
        <w:t xml:space="preserve"> Unlike D4, which depends on the industry-wide inference trend, D5 is a pure operational investment decision</w:t>
      </w:r>
    </w:p>
    <w:p w14:paraId="63610F22"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r w:rsidRPr="00B50432">
        <w:rPr>
          <w:rFonts w:ascii="Times New Roman" w:hAnsi="Times New Roman" w:cs="Times New Roman"/>
          <w:b/>
          <w:bCs/>
        </w:rPr>
        <w:t xml:space="preserve">**Incremental cost is </w:t>
      </w:r>
      <w:proofErr w:type="gramStart"/>
      <w:r w:rsidRPr="00B50432">
        <w:rPr>
          <w:rFonts w:ascii="Times New Roman" w:hAnsi="Times New Roman" w:cs="Times New Roman"/>
          <w:b/>
          <w:bCs/>
        </w:rPr>
        <w:t>low:*</w:t>
      </w:r>
      <w:proofErr w:type="gramEnd"/>
      <w:r w:rsidRPr="00B50432">
        <w:rPr>
          <w:rFonts w:ascii="Times New Roman" w:hAnsi="Times New Roman" w:cs="Times New Roman"/>
          <w:b/>
          <w:bCs/>
        </w:rPr>
        <w:t>*</w:t>
      </w:r>
      <w:r w:rsidRPr="00B50432">
        <w:rPr>
          <w:rFonts w:ascii="Times New Roman" w:hAnsi="Times New Roman" w:cs="Times New Roman"/>
        </w:rPr>
        <w:t xml:space="preserve"> The marginal cost is storage and periodic weight synchronization, amortized across the ~50–100 stress hours per year when migration would be triggered</w:t>
      </w:r>
    </w:p>
    <w:p w14:paraId="1D8E6F4F" w14:textId="77777777" w:rsidR="00B50432" w:rsidRPr="00B50432" w:rsidRDefault="00B50432" w:rsidP="00B50432">
      <w:pPr>
        <w:rPr>
          <w:rFonts w:ascii="Times New Roman" w:hAnsi="Times New Roman" w:cs="Times New Roman"/>
        </w:rPr>
      </w:pPr>
    </w:p>
    <w:p w14:paraId="7C50E903"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The policy implication is direct: a regulatory framework that conditions interconnection acceleration on demonstrated pre-staging readiness would target the most actionable parameter in the cascade.</w:t>
      </w:r>
    </w:p>
    <w:p w14:paraId="47080496" w14:textId="77777777" w:rsidR="00B50432" w:rsidRPr="00B50432" w:rsidRDefault="00B50432" w:rsidP="00B50432">
      <w:pPr>
        <w:rPr>
          <w:rFonts w:ascii="Times New Roman" w:hAnsi="Times New Roman" w:cs="Times New Roman"/>
        </w:rPr>
      </w:pPr>
    </w:p>
    <w:p w14:paraId="19A4C8EF"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w:t>
      </w:r>
    </w:p>
    <w:p w14:paraId="61BD3584" w14:textId="77777777" w:rsidR="00B50432" w:rsidRPr="00B50432" w:rsidRDefault="00B50432" w:rsidP="00B50432">
      <w:pPr>
        <w:rPr>
          <w:rFonts w:ascii="Times New Roman" w:hAnsi="Times New Roman" w:cs="Times New Roman"/>
        </w:rPr>
      </w:pPr>
    </w:p>
    <w:p w14:paraId="32BAE7BD"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4. Execution Parameters</w:t>
      </w:r>
    </w:p>
    <w:p w14:paraId="47590EE2" w14:textId="77777777" w:rsidR="00B50432" w:rsidRPr="00B50432" w:rsidRDefault="00B50432" w:rsidP="00B50432">
      <w:pPr>
        <w:rPr>
          <w:rFonts w:ascii="Times New Roman" w:hAnsi="Times New Roman" w:cs="Times New Roman"/>
        </w:rPr>
      </w:pPr>
    </w:p>
    <w:p w14:paraId="3E9CCA0B"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E1: Routing Completion</w:t>
      </w:r>
    </w:p>
    <w:p w14:paraId="1FFFEEF3" w14:textId="77777777" w:rsidR="00B50432" w:rsidRPr="00B50432" w:rsidRDefault="00B50432" w:rsidP="00B50432">
      <w:pPr>
        <w:rPr>
          <w:rFonts w:ascii="Times New Roman" w:hAnsi="Times New Roman" w:cs="Times New Roman"/>
        </w:rPr>
      </w:pPr>
    </w:p>
    <w:p w14:paraId="387EA9C8"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Attribute | Value |</w:t>
      </w:r>
    </w:p>
    <w:p w14:paraId="6E443EC3" w14:textId="77777777" w:rsidR="00B50432" w:rsidRPr="00B50432" w:rsidRDefault="00B50432" w:rsidP="00B50432">
      <w:pPr>
        <w:rPr>
          <w:rFonts w:ascii="Times New Roman" w:hAnsi="Times New Roman" w:cs="Times New Roman"/>
        </w:rPr>
      </w:pPr>
      <w:proofErr w:type="gramStart"/>
      <w:r w:rsidRPr="00B50432">
        <w:rPr>
          <w:rFonts w:ascii="Times New Roman" w:hAnsi="Times New Roman" w:cs="Times New Roman"/>
        </w:rPr>
        <w:t>|---|---|</w:t>
      </w:r>
      <w:proofErr w:type="gramEnd"/>
    </w:p>
    <w:p w14:paraId="4B28A843"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Central value | 0.95 |</w:t>
      </w:r>
    </w:p>
    <w:p w14:paraId="71CC020E"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Range | [0.90, 0.99] |</w:t>
      </w:r>
    </w:p>
    <w:p w14:paraId="3A77CC9F"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Grounding quality | ESTIMATED |</w:t>
      </w:r>
    </w:p>
    <w:p w14:paraId="20F1BB37"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Variance contribution | 0.5% |</w:t>
      </w:r>
    </w:p>
    <w:p w14:paraId="74A80372" w14:textId="77777777" w:rsidR="00B50432" w:rsidRPr="00B50432" w:rsidRDefault="00B50432" w:rsidP="00B50432">
      <w:pPr>
        <w:rPr>
          <w:rFonts w:ascii="Times New Roman" w:hAnsi="Times New Roman" w:cs="Times New Roman"/>
        </w:rPr>
      </w:pPr>
    </w:p>
    <w:p w14:paraId="6C991DC7"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What E1 Measures</w:t>
      </w:r>
    </w:p>
    <w:p w14:paraId="491854C0" w14:textId="77777777" w:rsidR="00B50432" w:rsidRPr="00B50432" w:rsidRDefault="00B50432" w:rsidP="00B50432">
      <w:pPr>
        <w:rPr>
          <w:rFonts w:ascii="Times New Roman" w:hAnsi="Times New Roman" w:cs="Times New Roman"/>
        </w:rPr>
      </w:pPr>
    </w:p>
    <w:p w14:paraId="45783486"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E1 answers: *given that all source and destination conditions are met, does the routing operation succeed at the infrastructure </w:t>
      </w:r>
      <w:proofErr w:type="gramStart"/>
      <w:r w:rsidRPr="00B50432">
        <w:rPr>
          <w:rFonts w:ascii="Times New Roman" w:hAnsi="Times New Roman" w:cs="Times New Roman"/>
        </w:rPr>
        <w:t>level?*</w:t>
      </w:r>
      <w:proofErr w:type="gramEnd"/>
    </w:p>
    <w:p w14:paraId="2F83CC4D" w14:textId="77777777" w:rsidR="00B50432" w:rsidRPr="00B50432" w:rsidRDefault="00B50432" w:rsidP="00B50432">
      <w:pPr>
        <w:rPr>
          <w:rFonts w:ascii="Times New Roman" w:hAnsi="Times New Roman" w:cs="Times New Roman"/>
        </w:rPr>
      </w:pPr>
    </w:p>
    <w:p w14:paraId="6E4174B8"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Sub-Failure Mode Analysis</w:t>
      </w:r>
    </w:p>
    <w:p w14:paraId="6027B35F" w14:textId="77777777" w:rsidR="00B50432" w:rsidRPr="00B50432" w:rsidRDefault="00B50432" w:rsidP="00B50432">
      <w:pPr>
        <w:rPr>
          <w:rFonts w:ascii="Times New Roman" w:hAnsi="Times New Roman" w:cs="Times New Roman"/>
        </w:rPr>
      </w:pPr>
    </w:p>
    <w:p w14:paraId="6E193F84"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For inference, "routing" means the load balancer sends the next request to a different endpoint. Four candidate failure modes were analyzed:</w:t>
      </w:r>
    </w:p>
    <w:p w14:paraId="59A69C65" w14:textId="77777777" w:rsidR="00B50432" w:rsidRPr="00B50432" w:rsidRDefault="00B50432" w:rsidP="00B50432">
      <w:pPr>
        <w:rPr>
          <w:rFonts w:ascii="Times New Roman" w:hAnsi="Times New Roman" w:cs="Times New Roman"/>
        </w:rPr>
      </w:pPr>
    </w:p>
    <w:p w14:paraId="67CAA8D4"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xml:space="preserve">**F1: Network failure during </w:t>
      </w:r>
      <w:proofErr w:type="gramStart"/>
      <w:r w:rsidRPr="00B50432">
        <w:rPr>
          <w:rFonts w:ascii="Times New Roman" w:hAnsi="Times New Roman" w:cs="Times New Roman"/>
          <w:b/>
          <w:bCs/>
        </w:rPr>
        <w:t>migration.*</w:t>
      </w:r>
      <w:proofErr w:type="gramEnd"/>
      <w:r w:rsidRPr="00B50432">
        <w:rPr>
          <w:rFonts w:ascii="Times New Roman" w:hAnsi="Times New Roman" w:cs="Times New Roman"/>
          <w:b/>
          <w:bCs/>
        </w:rPr>
        <w:t>*</w:t>
      </w:r>
    </w:p>
    <w:p w14:paraId="64BBBA8F" w14:textId="77777777" w:rsidR="00B50432" w:rsidRPr="00B50432" w:rsidRDefault="00B50432" w:rsidP="00B50432">
      <w:pPr>
        <w:rPr>
          <w:rFonts w:ascii="Times New Roman" w:hAnsi="Times New Roman" w:cs="Times New Roman"/>
        </w:rPr>
      </w:pPr>
    </w:p>
    <w:p w14:paraId="10F0EF39"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Platform | Availability SLA | Source |</w:t>
      </w:r>
    </w:p>
    <w:p w14:paraId="06160712" w14:textId="77777777" w:rsidR="00B50432" w:rsidRPr="00B50432" w:rsidRDefault="00B50432" w:rsidP="00B50432">
      <w:pPr>
        <w:rPr>
          <w:rFonts w:ascii="Times New Roman" w:hAnsi="Times New Roman" w:cs="Times New Roman"/>
        </w:rPr>
      </w:pPr>
      <w:proofErr w:type="gramStart"/>
      <w:r w:rsidRPr="00B50432">
        <w:rPr>
          <w:rFonts w:ascii="Times New Roman" w:hAnsi="Times New Roman" w:cs="Times New Roman"/>
        </w:rPr>
        <w:t>|---|---|---|</w:t>
      </w:r>
      <w:proofErr w:type="gramEnd"/>
    </w:p>
    <w:p w14:paraId="1619FB35"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AWS Elastic Load Balancing (multi-AZ) | ≥99.99% monthly | AWS ELB SLA (https://aws.amazon.com/elasticloadbalancing/sla/) |</w:t>
      </w:r>
    </w:p>
    <w:p w14:paraId="7DC6E688"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Azure Standard Load Balancer | ≥99.99% monthly | Azure SLA documentation (https://azure.microsoft.com/en-us/support/legal/sla/load-balancer/) |</w:t>
      </w:r>
    </w:p>
    <w:p w14:paraId="5286FE25"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Azure Cross-Region Load Balancer | ≥99.99% monthly | Microsoft GA announcement (July 2023) |</w:t>
      </w:r>
    </w:p>
    <w:p w14:paraId="1FD0AC55"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Google internal network | ~50 high-impact events/year | Govindan et al., ACM SIGCOMM 2016 |</w:t>
      </w:r>
    </w:p>
    <w:p w14:paraId="236FF905" w14:textId="77777777" w:rsidR="00B50432" w:rsidRPr="00B50432" w:rsidRDefault="00B50432" w:rsidP="00B50432">
      <w:pPr>
        <w:rPr>
          <w:rFonts w:ascii="Times New Roman" w:hAnsi="Times New Roman" w:cs="Times New Roman"/>
        </w:rPr>
      </w:pPr>
    </w:p>
    <w:p w14:paraId="19B0FAE1"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xml:space="preserve">**F2: Scheduling/resource race </w:t>
      </w:r>
      <w:proofErr w:type="gramStart"/>
      <w:r w:rsidRPr="00B50432">
        <w:rPr>
          <w:rFonts w:ascii="Times New Roman" w:hAnsi="Times New Roman" w:cs="Times New Roman"/>
          <w:b/>
          <w:bCs/>
        </w:rPr>
        <w:t>condition.*</w:t>
      </w:r>
      <w:proofErr w:type="gramEnd"/>
      <w:r w:rsidRPr="00B50432">
        <w:rPr>
          <w:rFonts w:ascii="Times New Roman" w:hAnsi="Times New Roman" w:cs="Times New Roman"/>
          <w:b/>
          <w:bCs/>
        </w:rPr>
        <w:t>*</w:t>
      </w:r>
    </w:p>
    <w:p w14:paraId="359536D9"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Addressed by design specification. The orchestration layer is the single authority for both DR dispatch and workload scheduling. No race condition window exists under this architecture. Structural assumption ≈ 1.0.</w:t>
      </w:r>
    </w:p>
    <w:p w14:paraId="3865E3A5" w14:textId="77777777" w:rsidR="00B50432" w:rsidRPr="00B50432" w:rsidRDefault="00B50432" w:rsidP="00B50432">
      <w:pPr>
        <w:rPr>
          <w:rFonts w:ascii="Times New Roman" w:hAnsi="Times New Roman" w:cs="Times New Roman"/>
        </w:rPr>
      </w:pPr>
    </w:p>
    <w:p w14:paraId="37DB0F5A"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xml:space="preserve">**F3: Timeout / SLO </w:t>
      </w:r>
      <w:proofErr w:type="gramStart"/>
      <w:r w:rsidRPr="00B50432">
        <w:rPr>
          <w:rFonts w:ascii="Times New Roman" w:hAnsi="Times New Roman" w:cs="Times New Roman"/>
          <w:b/>
          <w:bCs/>
        </w:rPr>
        <w:t>violation.*</w:t>
      </w:r>
      <w:proofErr w:type="gramEnd"/>
      <w:r w:rsidRPr="00B50432">
        <w:rPr>
          <w:rFonts w:ascii="Times New Roman" w:hAnsi="Times New Roman" w:cs="Times New Roman"/>
          <w:b/>
          <w:bCs/>
        </w:rPr>
        <w:t>*</w:t>
      </w:r>
    </w:p>
    <w:p w14:paraId="69E8C470"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For stateless inference, network-level timeout risk is negligible. Drain times are 4.5–12.1 seconds at P99; dispatch window is 10–30 minutes. The operation completes approximately 100× faster than the available window. Structural assumption ≈ 1.0.</w:t>
      </w:r>
    </w:p>
    <w:p w14:paraId="21C4E73D" w14:textId="77777777" w:rsidR="00B50432" w:rsidRPr="00B50432" w:rsidRDefault="00B50432" w:rsidP="00B50432">
      <w:pPr>
        <w:rPr>
          <w:rFonts w:ascii="Times New Roman" w:hAnsi="Times New Roman" w:cs="Times New Roman"/>
        </w:rPr>
      </w:pPr>
    </w:p>
    <w:p w14:paraId="19E7CDE1"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xml:space="preserve">**F4: Checkpoint corruption / partial </w:t>
      </w:r>
      <w:proofErr w:type="gramStart"/>
      <w:r w:rsidRPr="00B50432">
        <w:rPr>
          <w:rFonts w:ascii="Times New Roman" w:hAnsi="Times New Roman" w:cs="Times New Roman"/>
          <w:b/>
          <w:bCs/>
        </w:rPr>
        <w:t>transfer.*</w:t>
      </w:r>
      <w:proofErr w:type="gramEnd"/>
      <w:r w:rsidRPr="00B50432">
        <w:rPr>
          <w:rFonts w:ascii="Times New Roman" w:hAnsi="Times New Roman" w:cs="Times New Roman"/>
          <w:b/>
          <w:bCs/>
        </w:rPr>
        <w:t>*</w:t>
      </w:r>
    </w:p>
    <w:p w14:paraId="6CD1E57C"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Does not apply to inference — no checkpoint exists. New requests are </w:t>
      </w:r>
      <w:proofErr w:type="gramStart"/>
      <w:r w:rsidRPr="00B50432">
        <w:rPr>
          <w:rFonts w:ascii="Times New Roman" w:hAnsi="Times New Roman" w:cs="Times New Roman"/>
        </w:rPr>
        <w:t>routed;</w:t>
      </w:r>
      <w:proofErr w:type="gramEnd"/>
      <w:r w:rsidRPr="00B50432">
        <w:rPr>
          <w:rFonts w:ascii="Times New Roman" w:hAnsi="Times New Roman" w:cs="Times New Roman"/>
        </w:rPr>
        <w:t xml:space="preserve"> in-flight requests complete normally. Structural assumption = 1.0.</w:t>
      </w:r>
    </w:p>
    <w:p w14:paraId="4B5DC174" w14:textId="77777777" w:rsidR="00B50432" w:rsidRPr="00B50432" w:rsidRDefault="00B50432" w:rsidP="00B50432">
      <w:pPr>
        <w:rPr>
          <w:rFonts w:ascii="Times New Roman" w:hAnsi="Times New Roman" w:cs="Times New Roman"/>
        </w:rPr>
      </w:pPr>
    </w:p>
    <w:p w14:paraId="66D35F46"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E1 = 0.95</w:t>
      </w:r>
    </w:p>
    <w:p w14:paraId="55FADBFE" w14:textId="77777777" w:rsidR="00B50432" w:rsidRPr="00B50432" w:rsidRDefault="00B50432" w:rsidP="00B50432">
      <w:pPr>
        <w:rPr>
          <w:rFonts w:ascii="Times New Roman" w:hAnsi="Times New Roman" w:cs="Times New Roman"/>
        </w:rPr>
      </w:pPr>
    </w:p>
    <w:p w14:paraId="13D677C4"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E1 reduces to approximately (1 − P(F1) − </w:t>
      </w:r>
      <w:proofErr w:type="spellStart"/>
      <w:r w:rsidRPr="00B50432">
        <w:rPr>
          <w:rFonts w:ascii="Times New Roman" w:hAnsi="Times New Roman" w:cs="Times New Roman"/>
        </w:rPr>
        <w:t>residual_orchestration_risk</w:t>
      </w:r>
      <w:proofErr w:type="spellEnd"/>
      <w:r w:rsidRPr="00B50432">
        <w:rPr>
          <w:rFonts w:ascii="Times New Roman" w:hAnsi="Times New Roman" w:cs="Times New Roman"/>
        </w:rPr>
        <w:t>). The 0.95 central value is deliberately conservative relative to the SLA-implied floor (~0.9999) because:</w:t>
      </w:r>
    </w:p>
    <w:p w14:paraId="25BD6189" w14:textId="77777777" w:rsidR="00B50432" w:rsidRPr="00B50432" w:rsidRDefault="00B50432" w:rsidP="00B50432">
      <w:pPr>
        <w:rPr>
          <w:rFonts w:ascii="Times New Roman" w:hAnsi="Times New Roman" w:cs="Times New Roman"/>
        </w:rPr>
      </w:pPr>
    </w:p>
    <w:p w14:paraId="6D539B9C"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1. SLAs cover the load balancer component specifically, not the full end-to-end routing path including DNS propagation, health check lag, and configuration errors</w:t>
      </w:r>
    </w:p>
    <w:p w14:paraId="3B859D84"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2. The orchestration layer translating grid dispatch signals to compute routing </w:t>
      </w:r>
      <w:r w:rsidRPr="00B50432">
        <w:rPr>
          <w:rFonts w:ascii="Times New Roman" w:hAnsi="Times New Roman" w:cs="Times New Roman"/>
          <w:b/>
          <w:bCs/>
        </w:rPr>
        <w:t>**does not yet exist as a production system</w:t>
      </w:r>
      <w:proofErr w:type="gramStart"/>
      <w:r w:rsidRPr="00B50432">
        <w:rPr>
          <w:rFonts w:ascii="Times New Roman" w:hAnsi="Times New Roman" w:cs="Times New Roman"/>
          <w:b/>
          <w:bCs/>
        </w:rPr>
        <w:t>**</w:t>
      </w:r>
      <w:r w:rsidRPr="00B50432">
        <w:rPr>
          <w:rFonts w:ascii="Times New Roman" w:hAnsi="Times New Roman" w:cs="Times New Roman"/>
        </w:rPr>
        <w:t xml:space="preserve"> —</w:t>
      </w:r>
      <w:proofErr w:type="gramEnd"/>
      <w:r w:rsidRPr="00B50432">
        <w:rPr>
          <w:rFonts w:ascii="Times New Roman" w:hAnsi="Times New Roman" w:cs="Times New Roman"/>
        </w:rPr>
        <w:t xml:space="preserve"> E1 must account for software that has not been built or tested</w:t>
      </w:r>
    </w:p>
    <w:p w14:paraId="0FF8B5E3"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3. Edge cases in multi-cluster routing (stale DNS cache, misconfigured health check, orchestrator logic errors) are not captured by component-level SLAs</w:t>
      </w:r>
    </w:p>
    <w:p w14:paraId="53666C47" w14:textId="77777777" w:rsidR="00B50432" w:rsidRPr="00B50432" w:rsidRDefault="00B50432" w:rsidP="00B50432">
      <w:pPr>
        <w:rPr>
          <w:rFonts w:ascii="Times New Roman" w:hAnsi="Times New Roman" w:cs="Times New Roman"/>
        </w:rPr>
      </w:pPr>
    </w:p>
    <w:p w14:paraId="1B54BD15"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The [0.90, 0.99] range reflects uncertainty about the end-to-end system reliability of an orchestration stack that does not yet exist. As production systems are built and tested, E1 would be expected to converge toward the SLA-implied values (&gt;0.999).</w:t>
      </w:r>
    </w:p>
    <w:p w14:paraId="1CE68794" w14:textId="77777777" w:rsidR="00B50432" w:rsidRPr="00B50432" w:rsidRDefault="00B50432" w:rsidP="00B50432">
      <w:pPr>
        <w:rPr>
          <w:rFonts w:ascii="Times New Roman" w:hAnsi="Times New Roman" w:cs="Times New Roman"/>
        </w:rPr>
      </w:pPr>
    </w:p>
    <w:p w14:paraId="52EBEE0A"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w:t>
      </w:r>
    </w:p>
    <w:p w14:paraId="4017D517" w14:textId="77777777" w:rsidR="00B50432" w:rsidRPr="00B50432" w:rsidRDefault="00B50432" w:rsidP="00B50432">
      <w:pPr>
        <w:rPr>
          <w:rFonts w:ascii="Times New Roman" w:hAnsi="Times New Roman" w:cs="Times New Roman"/>
        </w:rPr>
      </w:pPr>
    </w:p>
    <w:p w14:paraId="6D56BCED"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E2: Bandwidth Adequacy</w:t>
      </w:r>
    </w:p>
    <w:p w14:paraId="339ACDAE" w14:textId="77777777" w:rsidR="00B50432" w:rsidRPr="00B50432" w:rsidRDefault="00B50432" w:rsidP="00B50432">
      <w:pPr>
        <w:rPr>
          <w:rFonts w:ascii="Times New Roman" w:hAnsi="Times New Roman" w:cs="Times New Roman"/>
        </w:rPr>
      </w:pPr>
    </w:p>
    <w:p w14:paraId="54D1502C"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Attribute | Value |</w:t>
      </w:r>
    </w:p>
    <w:p w14:paraId="7CFD7827" w14:textId="77777777" w:rsidR="00B50432" w:rsidRPr="00B50432" w:rsidRDefault="00B50432" w:rsidP="00B50432">
      <w:pPr>
        <w:rPr>
          <w:rFonts w:ascii="Times New Roman" w:hAnsi="Times New Roman" w:cs="Times New Roman"/>
        </w:rPr>
      </w:pPr>
      <w:proofErr w:type="gramStart"/>
      <w:r w:rsidRPr="00B50432">
        <w:rPr>
          <w:rFonts w:ascii="Times New Roman" w:hAnsi="Times New Roman" w:cs="Times New Roman"/>
        </w:rPr>
        <w:t>|---|---|</w:t>
      </w:r>
      <w:proofErr w:type="gramEnd"/>
    </w:p>
    <w:p w14:paraId="22F77E02"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Central value | 0.98 |</w:t>
      </w:r>
    </w:p>
    <w:p w14:paraId="0BA9E6BA"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Range | [0.95, 1.00] |</w:t>
      </w:r>
    </w:p>
    <w:p w14:paraId="10051270"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Grounding quality | DATA |</w:t>
      </w:r>
    </w:p>
    <w:p w14:paraId="2DA11440"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Variance contribution | 0.2% |</w:t>
      </w:r>
    </w:p>
    <w:p w14:paraId="1792B29F" w14:textId="77777777" w:rsidR="00B50432" w:rsidRPr="00B50432" w:rsidRDefault="00B50432" w:rsidP="00B50432">
      <w:pPr>
        <w:rPr>
          <w:rFonts w:ascii="Times New Roman" w:hAnsi="Times New Roman" w:cs="Times New Roman"/>
        </w:rPr>
      </w:pPr>
    </w:p>
    <w:p w14:paraId="71DB294B"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What E2 Measures</w:t>
      </w:r>
    </w:p>
    <w:p w14:paraId="7FCC1089" w14:textId="77777777" w:rsidR="00B50432" w:rsidRPr="00B50432" w:rsidRDefault="00B50432" w:rsidP="00B50432">
      <w:pPr>
        <w:rPr>
          <w:rFonts w:ascii="Times New Roman" w:hAnsi="Times New Roman" w:cs="Times New Roman"/>
        </w:rPr>
      </w:pPr>
    </w:p>
    <w:p w14:paraId="52A3665B"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E2 answers: *is there sufficient network bandwidth to execute the migration </w:t>
      </w:r>
      <w:proofErr w:type="gramStart"/>
      <w:r w:rsidRPr="00B50432">
        <w:rPr>
          <w:rFonts w:ascii="Times New Roman" w:hAnsi="Times New Roman" w:cs="Times New Roman"/>
        </w:rPr>
        <w:t>operation?*</w:t>
      </w:r>
      <w:proofErr w:type="gramEnd"/>
    </w:p>
    <w:p w14:paraId="619AA45F" w14:textId="77777777" w:rsidR="00B50432" w:rsidRPr="00B50432" w:rsidRDefault="00B50432" w:rsidP="00B50432">
      <w:pPr>
        <w:rPr>
          <w:rFonts w:ascii="Times New Roman" w:hAnsi="Times New Roman" w:cs="Times New Roman"/>
        </w:rPr>
      </w:pPr>
    </w:p>
    <w:p w14:paraId="04A0BF42"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The Bandwidth Math</w:t>
      </w:r>
    </w:p>
    <w:p w14:paraId="25D60C4A" w14:textId="77777777" w:rsidR="00B50432" w:rsidRPr="00B50432" w:rsidRDefault="00B50432" w:rsidP="00B50432">
      <w:pPr>
        <w:rPr>
          <w:rFonts w:ascii="Times New Roman" w:hAnsi="Times New Roman" w:cs="Times New Roman"/>
        </w:rPr>
      </w:pPr>
    </w:p>
    <w:p w14:paraId="1FA22709"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For </w:t>
      </w:r>
      <w:proofErr w:type="gramStart"/>
      <w:r w:rsidRPr="00B50432">
        <w:rPr>
          <w:rFonts w:ascii="Times New Roman" w:hAnsi="Times New Roman" w:cs="Times New Roman"/>
        </w:rPr>
        <w:t>inference</w:t>
      </w:r>
      <w:proofErr w:type="gramEnd"/>
      <w:r w:rsidRPr="00B50432">
        <w:rPr>
          <w:rFonts w:ascii="Times New Roman" w:hAnsi="Times New Roman" w:cs="Times New Roman"/>
        </w:rPr>
        <w:t>, the data transferred per request is trivially small:</w:t>
      </w:r>
    </w:p>
    <w:p w14:paraId="2AC047EE" w14:textId="77777777" w:rsidR="00B50432" w:rsidRPr="00B50432" w:rsidRDefault="00B50432" w:rsidP="00B50432">
      <w:pPr>
        <w:rPr>
          <w:rFonts w:ascii="Times New Roman" w:hAnsi="Times New Roman" w:cs="Times New Roman"/>
        </w:rPr>
      </w:pPr>
    </w:p>
    <w:p w14:paraId="2D945020"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Typical inference request: 500–2,000 input tokens, 500–2,000 output tokens</w:t>
      </w:r>
    </w:p>
    <w:p w14:paraId="2DD2AD39"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At approximately 4 bytes per token: single request-response pair ≈ 16 KB</w:t>
      </w:r>
    </w:p>
    <w:p w14:paraId="064C3622"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Large request (128K context window): approximately 512 KB</w:t>
      </w:r>
    </w:p>
    <w:p w14:paraId="34C56256"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A single 100 Gbps link can carry approximately 780,000 inference requests per second</w:t>
      </w:r>
    </w:p>
    <w:p w14:paraId="135A48A0" w14:textId="77777777" w:rsidR="00B50432" w:rsidRPr="00B50432" w:rsidRDefault="00B50432" w:rsidP="00B50432">
      <w:pPr>
        <w:rPr>
          <w:rFonts w:ascii="Times New Roman" w:hAnsi="Times New Roman" w:cs="Times New Roman"/>
        </w:rPr>
      </w:pPr>
    </w:p>
    <w:p w14:paraId="09A0CB44"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Modern hyperscale WAN capacity is enormous:</w:t>
      </w:r>
    </w:p>
    <w:p w14:paraId="78A29876" w14:textId="77777777" w:rsidR="00B50432" w:rsidRPr="00B50432" w:rsidRDefault="00B50432" w:rsidP="00B50432">
      <w:pPr>
        <w:rPr>
          <w:rFonts w:ascii="Times New Roman" w:hAnsi="Times New Roman" w:cs="Times New Roman"/>
        </w:rPr>
      </w:pPr>
    </w:p>
    <w:p w14:paraId="10BFDFE1"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Links operate at 100–800 Gbps per link</w:t>
      </w:r>
    </w:p>
    <w:p w14:paraId="2BFC7BB4"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Total </w:t>
      </w:r>
      <w:proofErr w:type="spellStart"/>
      <w:r w:rsidRPr="00B50432">
        <w:rPr>
          <w:rFonts w:ascii="Times New Roman" w:hAnsi="Times New Roman" w:cs="Times New Roman"/>
        </w:rPr>
        <w:t>hyperscaler</w:t>
      </w:r>
      <w:proofErr w:type="spellEnd"/>
      <w:r w:rsidRPr="00B50432">
        <w:rPr>
          <w:rFonts w:ascii="Times New Roman" w:hAnsi="Times New Roman" w:cs="Times New Roman"/>
        </w:rPr>
        <w:t xml:space="preserve"> bandwidth purchases reached 42.4 terabits in 2024 (Data Center Knowledge, November 2025)</w:t>
      </w:r>
    </w:p>
    <w:p w14:paraId="10226E60"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Metro dark fiber purchases rose 268% year-over-year in 2024</w:t>
      </w:r>
    </w:p>
    <w:p w14:paraId="13F12561"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Google's B4 WAN (Jain et al., ACM SIGCOMM 2013) demonstrated a </w:t>
      </w:r>
      <w:proofErr w:type="gramStart"/>
      <w:r w:rsidRPr="00B50432">
        <w:rPr>
          <w:rFonts w:ascii="Times New Roman" w:hAnsi="Times New Roman" w:cs="Times New Roman"/>
        </w:rPr>
        <w:t>globally-deployed</w:t>
      </w:r>
      <w:proofErr w:type="gramEnd"/>
      <w:r w:rsidRPr="00B50432">
        <w:rPr>
          <w:rFonts w:ascii="Times New Roman" w:hAnsi="Times New Roman" w:cs="Times New Roman"/>
        </w:rPr>
        <w:t xml:space="preserve"> software-defined WAN operating at near-100% utilization through centralized traffic engineering over a decade ago</w:t>
      </w:r>
    </w:p>
    <w:p w14:paraId="2533BF2D" w14:textId="77777777" w:rsidR="00B50432" w:rsidRPr="00B50432" w:rsidRDefault="00B50432" w:rsidP="00B50432">
      <w:pPr>
        <w:rPr>
          <w:rFonts w:ascii="Times New Roman" w:hAnsi="Times New Roman" w:cs="Times New Roman"/>
        </w:rPr>
      </w:pPr>
    </w:p>
    <w:p w14:paraId="4D39D905"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Pre-Staged Weights Eliminate the Bottleneck</w:t>
      </w:r>
    </w:p>
    <w:p w14:paraId="3F476D15" w14:textId="77777777" w:rsidR="00B50432" w:rsidRPr="00B50432" w:rsidRDefault="00B50432" w:rsidP="00B50432">
      <w:pPr>
        <w:rPr>
          <w:rFonts w:ascii="Times New Roman" w:hAnsi="Times New Roman" w:cs="Times New Roman"/>
        </w:rPr>
      </w:pPr>
    </w:p>
    <w:p w14:paraId="3230976C"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The bandwidth-intensive operation in a naive migration would be transferring model weights. For frontier models (405B parameters, ~810 GB in FP16), on-demand transfer over a 100 Gbps link takes ~65 seconds. But as established in D5, weights are pre-staged at destinations. Inference spatial migration transfers only request/response payloads, which are negligible relative to available WAN capacity.</w:t>
      </w:r>
    </w:p>
    <w:p w14:paraId="0D2DC714" w14:textId="77777777" w:rsidR="00B50432" w:rsidRPr="00B50432" w:rsidRDefault="00B50432" w:rsidP="00B50432">
      <w:pPr>
        <w:rPr>
          <w:rFonts w:ascii="Times New Roman" w:hAnsi="Times New Roman" w:cs="Times New Roman"/>
        </w:rPr>
      </w:pPr>
    </w:p>
    <w:p w14:paraId="303B10A0"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E2 = 0.98</w:t>
      </w:r>
    </w:p>
    <w:p w14:paraId="64F9931A" w14:textId="77777777" w:rsidR="00B50432" w:rsidRPr="00B50432" w:rsidRDefault="00B50432" w:rsidP="00B50432">
      <w:pPr>
        <w:rPr>
          <w:rFonts w:ascii="Times New Roman" w:hAnsi="Times New Roman" w:cs="Times New Roman"/>
        </w:rPr>
      </w:pPr>
    </w:p>
    <w:p w14:paraId="558D4980"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The reduction from 1.0 accounts for:</w:t>
      </w:r>
    </w:p>
    <w:p w14:paraId="28499369"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Transient WAN congestion during extreme events (when multiple operators may simultaneously attempt migration)</w:t>
      </w:r>
    </w:p>
    <w:p w14:paraId="29A8E9CE"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Smaller facilities with less redundant WAN connectivity than hyperscale campuses</w:t>
      </w:r>
    </w:p>
    <w:p w14:paraId="501E4253"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The possibility of correlated network stress during grid emergencies (ice storms that damage both power lines and fiber)</w:t>
      </w:r>
    </w:p>
    <w:p w14:paraId="33E356B9" w14:textId="77777777" w:rsidR="00B50432" w:rsidRPr="00B50432" w:rsidRDefault="00B50432" w:rsidP="00B50432">
      <w:pPr>
        <w:rPr>
          <w:rFonts w:ascii="Times New Roman" w:hAnsi="Times New Roman" w:cs="Times New Roman"/>
        </w:rPr>
      </w:pPr>
    </w:p>
    <w:p w14:paraId="3382D89D"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w:t>
      </w:r>
    </w:p>
    <w:p w14:paraId="3DBCDDF8" w14:textId="77777777" w:rsidR="00B50432" w:rsidRPr="00B50432" w:rsidRDefault="00B50432" w:rsidP="00B50432">
      <w:pPr>
        <w:rPr>
          <w:rFonts w:ascii="Times New Roman" w:hAnsi="Times New Roman" w:cs="Times New Roman"/>
        </w:rPr>
      </w:pPr>
    </w:p>
    <w:p w14:paraId="119C5241"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5. Cascade Product and Commitment Depth</w:t>
      </w:r>
    </w:p>
    <w:p w14:paraId="350C5551" w14:textId="77777777" w:rsidR="00B50432" w:rsidRPr="00B50432" w:rsidRDefault="00B50432" w:rsidP="00B50432">
      <w:pPr>
        <w:rPr>
          <w:rFonts w:ascii="Times New Roman" w:hAnsi="Times New Roman" w:cs="Times New Roman"/>
        </w:rPr>
      </w:pPr>
    </w:p>
    <w:p w14:paraId="3531C5C4"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Full Parameter Table</w:t>
      </w:r>
    </w:p>
    <w:p w14:paraId="517CB2AA" w14:textId="77777777" w:rsidR="00B50432" w:rsidRPr="00B50432" w:rsidRDefault="00B50432" w:rsidP="00B50432">
      <w:pPr>
        <w:rPr>
          <w:rFonts w:ascii="Times New Roman" w:hAnsi="Times New Roman" w:cs="Times New Roman"/>
        </w:rPr>
      </w:pPr>
    </w:p>
    <w:p w14:paraId="37DF0205"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Parameter | Measures | Conservative | Central | Optimistic | Grounding |</w:t>
      </w:r>
    </w:p>
    <w:p w14:paraId="015D40A1"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w:t>
      </w:r>
    </w:p>
    <w:p w14:paraId="7185068D"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r w:rsidRPr="00B50432">
        <w:rPr>
          <w:rFonts w:ascii="Times New Roman" w:hAnsi="Times New Roman" w:cs="Times New Roman"/>
          <w:b/>
          <w:bCs/>
        </w:rPr>
        <w:t>**Source-side**</w:t>
      </w:r>
      <w:r w:rsidRPr="00B50432">
        <w:rPr>
          <w:rFonts w:ascii="Times New Roman" w:hAnsi="Times New Roman" w:cs="Times New Roman"/>
        </w:rPr>
        <w:t xml:space="preserve"> | | | | | |</w:t>
      </w:r>
    </w:p>
    <w:p w14:paraId="1759338E"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S1 | Workload candidacy | 0.70 | 0.70 | 0.70 | STRUCTURAL |</w:t>
      </w:r>
    </w:p>
    <w:p w14:paraId="541B95FE"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S2 | Data locality | 0.60 | 0.70 | 0.95 | ESTIMATED-WEAK |</w:t>
      </w:r>
    </w:p>
    <w:p w14:paraId="41560F15"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S3 | Operational timing | 0.85 | 0.90 | 0.95 | DATA |</w:t>
      </w:r>
    </w:p>
    <w:p w14:paraId="1D8D825B"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r w:rsidRPr="00B50432">
        <w:rPr>
          <w:rFonts w:ascii="Times New Roman" w:hAnsi="Times New Roman" w:cs="Times New Roman"/>
          <w:b/>
          <w:bCs/>
        </w:rPr>
        <w:t>**Destination-side**</w:t>
      </w:r>
      <w:r w:rsidRPr="00B50432">
        <w:rPr>
          <w:rFonts w:ascii="Times New Roman" w:hAnsi="Times New Roman" w:cs="Times New Roman"/>
        </w:rPr>
        <w:t xml:space="preserve"> | | | | | |</w:t>
      </w:r>
    </w:p>
    <w:p w14:paraId="58CE9BD9"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D1 | Cross-region availability | 0.945 | 0.99 | 0.995 | DATA |</w:t>
      </w:r>
    </w:p>
    <w:p w14:paraId="093DB5EB"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D2 | Utilization headroom | 0.20 | 0.33 | 0.50 | ESTIMATED-WEAK |</w:t>
      </w:r>
    </w:p>
    <w:p w14:paraId="1F78A2EF"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D3 | Hardware compatibility | 0.88 | 0.88 | 0.88 | ESTIMATED-MODERATE |</w:t>
      </w:r>
    </w:p>
    <w:p w14:paraId="720F64E4"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D4 | Inference workload share | 0.33 | 0.50 | 0.67 | ESTIMATED-MODERATE |</w:t>
      </w:r>
    </w:p>
    <w:p w14:paraId="539E7643"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D5 | Pre-staging readiness | 0.50 | 0.65 | 0.80 | ESTIMATED-WEAK |</w:t>
      </w:r>
    </w:p>
    <w:p w14:paraId="012BD6DD"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lastRenderedPageBreak/>
        <w:t xml:space="preserve">| </w:t>
      </w:r>
      <w:r w:rsidRPr="00B50432">
        <w:rPr>
          <w:rFonts w:ascii="Times New Roman" w:hAnsi="Times New Roman" w:cs="Times New Roman"/>
          <w:b/>
          <w:bCs/>
        </w:rPr>
        <w:t>**Execution**</w:t>
      </w:r>
      <w:r w:rsidRPr="00B50432">
        <w:rPr>
          <w:rFonts w:ascii="Times New Roman" w:hAnsi="Times New Roman" w:cs="Times New Roman"/>
        </w:rPr>
        <w:t xml:space="preserve"> | | | | | |</w:t>
      </w:r>
    </w:p>
    <w:p w14:paraId="09DE8CB1"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E1 | Routing completion | 0.90 | 0.95 | 0.99 | ESTIMATED |</w:t>
      </w:r>
    </w:p>
    <w:p w14:paraId="39C822D1"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E2 | Bandwidth adequacy | 0.95 | 0.98 | 1.00 | DATA |</w:t>
      </w:r>
    </w:p>
    <w:p w14:paraId="4DEC79F7"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r w:rsidRPr="00B50432">
        <w:rPr>
          <w:rFonts w:ascii="Times New Roman" w:hAnsi="Times New Roman" w:cs="Times New Roman"/>
          <w:b/>
          <w:bCs/>
        </w:rPr>
        <w:t>**PRODUCT**</w:t>
      </w:r>
      <w:r w:rsidRPr="00B50432">
        <w:rPr>
          <w:rFonts w:ascii="Times New Roman" w:hAnsi="Times New Roman" w:cs="Times New Roman"/>
        </w:rPr>
        <w:t xml:space="preserve"> | Eff. spatial fraction | </w:t>
      </w:r>
      <w:r w:rsidRPr="00B50432">
        <w:rPr>
          <w:rFonts w:ascii="Times New Roman" w:hAnsi="Times New Roman" w:cs="Times New Roman"/>
          <w:b/>
          <w:bCs/>
        </w:rPr>
        <w:t>**0.0076**</w:t>
      </w:r>
      <w:r w:rsidRPr="00B50432">
        <w:rPr>
          <w:rFonts w:ascii="Times New Roman" w:hAnsi="Times New Roman" w:cs="Times New Roman"/>
        </w:rPr>
        <w:t xml:space="preserve"> | </w:t>
      </w:r>
      <w:r w:rsidRPr="00B50432">
        <w:rPr>
          <w:rFonts w:ascii="Times New Roman" w:hAnsi="Times New Roman" w:cs="Times New Roman"/>
          <w:b/>
          <w:bCs/>
        </w:rPr>
        <w:t>**0.0384**</w:t>
      </w:r>
      <w:r w:rsidRPr="00B50432">
        <w:rPr>
          <w:rFonts w:ascii="Times New Roman" w:hAnsi="Times New Roman" w:cs="Times New Roman"/>
        </w:rPr>
        <w:t xml:space="preserve"> | </w:t>
      </w:r>
      <w:r w:rsidRPr="00B50432">
        <w:rPr>
          <w:rFonts w:ascii="Times New Roman" w:hAnsi="Times New Roman" w:cs="Times New Roman"/>
          <w:b/>
          <w:bCs/>
        </w:rPr>
        <w:t>**0.1527**</w:t>
      </w:r>
      <w:r w:rsidRPr="00B50432">
        <w:rPr>
          <w:rFonts w:ascii="Times New Roman" w:hAnsi="Times New Roman" w:cs="Times New Roman"/>
        </w:rPr>
        <w:t xml:space="preserve"> | |</w:t>
      </w:r>
    </w:p>
    <w:p w14:paraId="040FC636" w14:textId="77777777" w:rsidR="00B50432" w:rsidRPr="00B50432" w:rsidRDefault="00B50432" w:rsidP="00B50432">
      <w:pPr>
        <w:rPr>
          <w:rFonts w:ascii="Times New Roman" w:hAnsi="Times New Roman" w:cs="Times New Roman"/>
        </w:rPr>
      </w:pPr>
    </w:p>
    <w:p w14:paraId="6C33B20C"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Commitment Depth</w:t>
      </w:r>
    </w:p>
    <w:p w14:paraId="16426B8D" w14:textId="77777777" w:rsidR="00B50432" w:rsidRPr="00B50432" w:rsidRDefault="00B50432" w:rsidP="00B50432">
      <w:pPr>
        <w:rPr>
          <w:rFonts w:ascii="Times New Roman" w:hAnsi="Times New Roman" w:cs="Times New Roman"/>
        </w:rPr>
      </w:pPr>
    </w:p>
    <w:p w14:paraId="0D24B700"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Scenario | Spatial Fraction | Commitment Depth |</w:t>
      </w:r>
    </w:p>
    <w:p w14:paraId="548D2602" w14:textId="77777777" w:rsidR="00B50432" w:rsidRPr="00B50432" w:rsidRDefault="00B50432" w:rsidP="00B50432">
      <w:pPr>
        <w:rPr>
          <w:rFonts w:ascii="Times New Roman" w:hAnsi="Times New Roman" w:cs="Times New Roman"/>
        </w:rPr>
      </w:pPr>
      <w:proofErr w:type="gramStart"/>
      <w:r w:rsidRPr="00B50432">
        <w:rPr>
          <w:rFonts w:ascii="Times New Roman" w:hAnsi="Times New Roman" w:cs="Times New Roman"/>
        </w:rPr>
        <w:t>|---|---|---|</w:t>
      </w:r>
      <w:proofErr w:type="gramEnd"/>
    </w:p>
    <w:p w14:paraId="45F7FE9B"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DVFS-only floor (no spatial) | 0.000 | 17.5% |</w:t>
      </w:r>
    </w:p>
    <w:p w14:paraId="55EF5F04"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Conservative | 0.0076 | 18.1% |</w:t>
      </w:r>
    </w:p>
    <w:p w14:paraId="5B1D0D12"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Central | 0.0384 | 20.4% |</w:t>
      </w:r>
    </w:p>
    <w:p w14:paraId="048B459B"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Optimistic | 0.1527 | 29.0% |</w:t>
      </w:r>
    </w:p>
    <w:p w14:paraId="6DFA0B85" w14:textId="77777777" w:rsidR="00B50432" w:rsidRPr="00B50432" w:rsidRDefault="00B50432" w:rsidP="00B50432">
      <w:pPr>
        <w:rPr>
          <w:rFonts w:ascii="Times New Roman" w:hAnsi="Times New Roman" w:cs="Times New Roman"/>
        </w:rPr>
      </w:pPr>
    </w:p>
    <w:p w14:paraId="2C98E0B5"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Relationship to Conditional Monte Carlo</w:t>
      </w:r>
    </w:p>
    <w:p w14:paraId="7FF14F19" w14:textId="77777777" w:rsidR="00B50432" w:rsidRPr="00B50432" w:rsidRDefault="00B50432" w:rsidP="00B50432">
      <w:pPr>
        <w:rPr>
          <w:rFonts w:ascii="Times New Roman" w:hAnsi="Times New Roman" w:cs="Times New Roman"/>
        </w:rPr>
      </w:pPr>
    </w:p>
    <w:p w14:paraId="67747FFF"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The unconditional cascade product (0.0384) and commitment depth (20.4%) represent the expected spatial fraction if all ten parameters are independent and at central values. The conditional Monte Carlo (NE paper §5) replaces parametric D1 with observed per-hour grid states, revealing that the cascade is conservative at small scale and converges at fleet scale:</w:t>
      </w:r>
    </w:p>
    <w:p w14:paraId="7B5F34AC" w14:textId="77777777" w:rsidR="00B50432" w:rsidRPr="00B50432" w:rsidRDefault="00B50432" w:rsidP="00B50432">
      <w:pPr>
        <w:rPr>
          <w:rFonts w:ascii="Times New Roman" w:hAnsi="Times New Roman" w:cs="Times New Roman"/>
        </w:rPr>
      </w:pPr>
    </w:p>
    <w:p w14:paraId="0E749EED"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Scale | Conditional MC Mean | Cascade Baseline | Gap |</w:t>
      </w:r>
    </w:p>
    <w:p w14:paraId="2B01A811" w14:textId="77777777" w:rsidR="00B50432" w:rsidRPr="00B50432" w:rsidRDefault="00B50432" w:rsidP="00B50432">
      <w:pPr>
        <w:rPr>
          <w:rFonts w:ascii="Times New Roman" w:hAnsi="Times New Roman" w:cs="Times New Roman"/>
        </w:rPr>
      </w:pPr>
      <w:proofErr w:type="gramStart"/>
      <w:r w:rsidRPr="00B50432">
        <w:rPr>
          <w:rFonts w:ascii="Times New Roman" w:hAnsi="Times New Roman" w:cs="Times New Roman"/>
        </w:rPr>
        <w:t>|---|---|---|---|</w:t>
      </w:r>
      <w:proofErr w:type="gramEnd"/>
    </w:p>
    <w:p w14:paraId="79994FF7"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500 MW single facility | 46.9% | 20.4% | +26.5pp |</w:t>
      </w:r>
    </w:p>
    <w:p w14:paraId="099DB4FD"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Empirical fleet (~3 GW) | 28.9% | 20.4% | +8.5pp |</w:t>
      </w:r>
    </w:p>
    <w:p w14:paraId="023503F0"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10 GW fleet | 26.9% | 20.4% | +6.5pp |</w:t>
      </w:r>
    </w:p>
    <w:p w14:paraId="46E4C03D" w14:textId="77777777" w:rsidR="00B50432" w:rsidRPr="00B50432" w:rsidRDefault="00B50432" w:rsidP="00B50432">
      <w:pPr>
        <w:rPr>
          <w:rFonts w:ascii="Times New Roman" w:hAnsi="Times New Roman" w:cs="Times New Roman"/>
        </w:rPr>
      </w:pPr>
    </w:p>
    <w:p w14:paraId="50AFCAE3"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lastRenderedPageBreak/>
        <w:t xml:space="preserve">At single-facility scale, the cascade is highly conservative because aggregate destination headroom substantially exceeds single-facility demand in </w:t>
      </w:r>
      <w:proofErr w:type="gramStart"/>
      <w:r w:rsidRPr="00B50432">
        <w:rPr>
          <w:rFonts w:ascii="Times New Roman" w:hAnsi="Times New Roman" w:cs="Times New Roman"/>
        </w:rPr>
        <w:t>the large majority of</w:t>
      </w:r>
      <w:proofErr w:type="gramEnd"/>
      <w:r w:rsidRPr="00B50432">
        <w:rPr>
          <w:rFonts w:ascii="Times New Roman" w:hAnsi="Times New Roman" w:cs="Times New Roman"/>
        </w:rPr>
        <w:t xml:space="preserve"> stress hours. At fleet scale, the estimates converge as destination contention absorbs the additional headroom. At the 5th percentile for a 10 GW fleet, commitment depth equals the DVFS floor (17.5%), meaning spatial migration contributes zero incremental flexibility in the worst tail outcomes.</w:t>
      </w:r>
    </w:p>
    <w:p w14:paraId="0307586F" w14:textId="77777777" w:rsidR="00B50432" w:rsidRPr="00B50432" w:rsidRDefault="00B50432" w:rsidP="00B50432">
      <w:pPr>
        <w:rPr>
          <w:rFonts w:ascii="Times New Roman" w:hAnsi="Times New Roman" w:cs="Times New Roman"/>
        </w:rPr>
      </w:pPr>
    </w:p>
    <w:p w14:paraId="4BD8585D"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The cascade's primary value is as a </w:t>
      </w:r>
      <w:r w:rsidRPr="00B50432">
        <w:rPr>
          <w:rFonts w:ascii="Times New Roman" w:hAnsi="Times New Roman" w:cs="Times New Roman"/>
          <w:b/>
          <w:bCs/>
        </w:rPr>
        <w:t>**decomposition tool**</w:t>
      </w:r>
      <w:r w:rsidRPr="00B50432">
        <w:rPr>
          <w:rFonts w:ascii="Times New Roman" w:hAnsi="Times New Roman" w:cs="Times New Roman"/>
        </w:rPr>
        <w:t>, not a point estimator. It identifies which parameters matter and where empirical investment would most reduce uncertainty.</w:t>
      </w:r>
    </w:p>
    <w:p w14:paraId="45C2D0E9" w14:textId="77777777" w:rsidR="00B50432" w:rsidRPr="00B50432" w:rsidRDefault="00B50432" w:rsidP="00B50432">
      <w:pPr>
        <w:rPr>
          <w:rFonts w:ascii="Times New Roman" w:hAnsi="Times New Roman" w:cs="Times New Roman"/>
        </w:rPr>
      </w:pPr>
    </w:p>
    <w:p w14:paraId="5DD5656A"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w:t>
      </w:r>
    </w:p>
    <w:p w14:paraId="5EA08D7D" w14:textId="77777777" w:rsidR="00B50432" w:rsidRPr="00B50432" w:rsidRDefault="00B50432" w:rsidP="00B50432">
      <w:pPr>
        <w:rPr>
          <w:rFonts w:ascii="Times New Roman" w:hAnsi="Times New Roman" w:cs="Times New Roman"/>
        </w:rPr>
      </w:pPr>
    </w:p>
    <w:p w14:paraId="5060E986"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6. Variance Decomposition</w:t>
      </w:r>
    </w:p>
    <w:p w14:paraId="30EB8FD9" w14:textId="77777777" w:rsidR="00B50432" w:rsidRPr="00B50432" w:rsidRDefault="00B50432" w:rsidP="00B50432">
      <w:pPr>
        <w:rPr>
          <w:rFonts w:ascii="Times New Roman" w:hAnsi="Times New Roman" w:cs="Times New Roman"/>
        </w:rPr>
      </w:pPr>
    </w:p>
    <w:p w14:paraId="57FA4D53"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Monte Carlo variance decomposition (N = 50,000, first-order Sobol-style η²) with S1 fixed at 0.70:</w:t>
      </w:r>
    </w:p>
    <w:p w14:paraId="38754CA8" w14:textId="77777777" w:rsidR="00B50432" w:rsidRPr="00B50432" w:rsidRDefault="00B50432" w:rsidP="00B50432">
      <w:pPr>
        <w:rPr>
          <w:rFonts w:ascii="Times New Roman" w:hAnsi="Times New Roman" w:cs="Times New Roman"/>
        </w:rPr>
      </w:pPr>
    </w:p>
    <w:p w14:paraId="070AAB44"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Parameter | η² | % of Σ η² | Grounding |</w:t>
      </w:r>
    </w:p>
    <w:p w14:paraId="3F590833" w14:textId="77777777" w:rsidR="00B50432" w:rsidRPr="00B50432" w:rsidRDefault="00B50432" w:rsidP="00B50432">
      <w:pPr>
        <w:rPr>
          <w:rFonts w:ascii="Times New Roman" w:hAnsi="Times New Roman" w:cs="Times New Roman"/>
        </w:rPr>
      </w:pPr>
      <w:proofErr w:type="gramStart"/>
      <w:r w:rsidRPr="00B50432">
        <w:rPr>
          <w:rFonts w:ascii="Times New Roman" w:hAnsi="Times New Roman" w:cs="Times New Roman"/>
        </w:rPr>
        <w:t>|---|---|---|---|</w:t>
      </w:r>
      <w:proofErr w:type="gramEnd"/>
    </w:p>
    <w:p w14:paraId="559C64B8"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D2 (utilization headroom) | 0.421 | 43.9% | ESTIMATED-WEAK |</w:t>
      </w:r>
    </w:p>
    <w:p w14:paraId="6BD0B8AA"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D4 (inference share) | 0.267 | 27.9% | ESTIMATED-MODERATE |</w:t>
      </w:r>
    </w:p>
    <w:p w14:paraId="41493916"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D5 (pre-staging) | 0.124 | 12.9% | ESTIMATED-WEAK |</w:t>
      </w:r>
    </w:p>
    <w:p w14:paraId="311FC70D"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S2 (data locality) | 0.120 | 12.5% | ESTIMATED-WEAK |</w:t>
      </w:r>
    </w:p>
    <w:p w14:paraId="2B241132"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D3 (HW compatibility) | 0.010 | 1.0% | ESTIMATED-MODERATE |</w:t>
      </w:r>
    </w:p>
    <w:p w14:paraId="21B46BFB"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S3 (operational timing) | 0.008 | 0.9% | DATA |</w:t>
      </w:r>
    </w:p>
    <w:p w14:paraId="219F343B"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E1 (routing completion) | 0.005 | 0.5% | ESTIMATED |</w:t>
      </w:r>
    </w:p>
    <w:p w14:paraId="73A3902D"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E2 (bandwidth) | 0.002 | 0.2% | DATA |</w:t>
      </w:r>
    </w:p>
    <w:p w14:paraId="64DEF8E5"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D1 (availability) | 0.001 | 0.1% | DATA |</w:t>
      </w:r>
    </w:p>
    <w:p w14:paraId="58FF4E6B"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 </w:t>
      </w:r>
      <w:r w:rsidRPr="00B50432">
        <w:rPr>
          <w:rFonts w:ascii="Times New Roman" w:hAnsi="Times New Roman" w:cs="Times New Roman"/>
          <w:b/>
          <w:bCs/>
        </w:rPr>
        <w:t>**Σ η²**</w:t>
      </w:r>
      <w:r w:rsidRPr="00B50432">
        <w:rPr>
          <w:rFonts w:ascii="Times New Roman" w:hAnsi="Times New Roman" w:cs="Times New Roman"/>
        </w:rPr>
        <w:t xml:space="preserve"> | </w:t>
      </w:r>
      <w:r w:rsidRPr="00B50432">
        <w:rPr>
          <w:rFonts w:ascii="Times New Roman" w:hAnsi="Times New Roman" w:cs="Times New Roman"/>
          <w:b/>
          <w:bCs/>
        </w:rPr>
        <w:t>**0.957**</w:t>
      </w:r>
      <w:r w:rsidRPr="00B50432">
        <w:rPr>
          <w:rFonts w:ascii="Times New Roman" w:hAnsi="Times New Roman" w:cs="Times New Roman"/>
        </w:rPr>
        <w:t xml:space="preserve"> | | |</w:t>
      </w:r>
    </w:p>
    <w:p w14:paraId="557047EB" w14:textId="77777777" w:rsidR="00B50432" w:rsidRPr="00B50432" w:rsidRDefault="00B50432" w:rsidP="00B50432">
      <w:pPr>
        <w:rPr>
          <w:rFonts w:ascii="Times New Roman" w:hAnsi="Times New Roman" w:cs="Times New Roman"/>
        </w:rPr>
      </w:pPr>
    </w:p>
    <w:p w14:paraId="4F83F589"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lastRenderedPageBreak/>
        <w:t>The Σ η² ≈ 1.0 confirms negligible parameter interactions, validating the multiplicative independence assumption.</w:t>
      </w:r>
    </w:p>
    <w:p w14:paraId="146F6994" w14:textId="77777777" w:rsidR="00B50432" w:rsidRPr="00B50432" w:rsidRDefault="00B50432" w:rsidP="00B50432">
      <w:pPr>
        <w:rPr>
          <w:rFonts w:ascii="Times New Roman" w:hAnsi="Times New Roman" w:cs="Times New Roman"/>
        </w:rPr>
      </w:pPr>
    </w:p>
    <w:p w14:paraId="11322052"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Key Findings</w:t>
      </w:r>
    </w:p>
    <w:p w14:paraId="4B0E9D31" w14:textId="77777777" w:rsidR="00B50432" w:rsidRPr="00B50432" w:rsidRDefault="00B50432" w:rsidP="00B50432">
      <w:pPr>
        <w:rPr>
          <w:rFonts w:ascii="Times New Roman" w:hAnsi="Times New Roman" w:cs="Times New Roman"/>
        </w:rPr>
      </w:pPr>
    </w:p>
    <w:p w14:paraId="0AB12B82"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1. </w:t>
      </w:r>
      <w:r w:rsidRPr="00B50432">
        <w:rPr>
          <w:rFonts w:ascii="Times New Roman" w:hAnsi="Times New Roman" w:cs="Times New Roman"/>
          <w:b/>
          <w:bCs/>
        </w:rPr>
        <w:t xml:space="preserve">**Three destination-side parameters </w:t>
      </w:r>
      <w:proofErr w:type="gramStart"/>
      <w:r w:rsidRPr="00B50432">
        <w:rPr>
          <w:rFonts w:ascii="Times New Roman" w:hAnsi="Times New Roman" w:cs="Times New Roman"/>
          <w:b/>
          <w:bCs/>
        </w:rPr>
        <w:t>dominate:*</w:t>
      </w:r>
      <w:proofErr w:type="gramEnd"/>
      <w:r w:rsidRPr="00B50432">
        <w:rPr>
          <w:rFonts w:ascii="Times New Roman" w:hAnsi="Times New Roman" w:cs="Times New Roman"/>
          <w:b/>
          <w:bCs/>
        </w:rPr>
        <w:t>*</w:t>
      </w:r>
      <w:r w:rsidRPr="00B50432">
        <w:rPr>
          <w:rFonts w:ascii="Times New Roman" w:hAnsi="Times New Roman" w:cs="Times New Roman"/>
        </w:rPr>
        <w:t xml:space="preserve"> D2, D4, and D5 together account for 85% of cascade variance. All three are operationally actionable choices, not physical constraints.</w:t>
      </w:r>
    </w:p>
    <w:p w14:paraId="49DED160" w14:textId="77777777" w:rsidR="00B50432" w:rsidRPr="00B50432" w:rsidRDefault="00B50432" w:rsidP="00B50432">
      <w:pPr>
        <w:rPr>
          <w:rFonts w:ascii="Times New Roman" w:hAnsi="Times New Roman" w:cs="Times New Roman"/>
        </w:rPr>
      </w:pPr>
    </w:p>
    <w:p w14:paraId="04131DBB"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2. </w:t>
      </w:r>
      <w:r w:rsidRPr="00B50432">
        <w:rPr>
          <w:rFonts w:ascii="Times New Roman" w:hAnsi="Times New Roman" w:cs="Times New Roman"/>
          <w:b/>
          <w:bCs/>
        </w:rPr>
        <w:t>**Source-side parameters contribute minimally after S</w:t>
      </w:r>
      <w:proofErr w:type="gramStart"/>
      <w:r w:rsidRPr="00B50432">
        <w:rPr>
          <w:rFonts w:ascii="Times New Roman" w:hAnsi="Times New Roman" w:cs="Times New Roman"/>
          <w:b/>
          <w:bCs/>
        </w:rPr>
        <w:t>2:*</w:t>
      </w:r>
      <w:proofErr w:type="gramEnd"/>
      <w:r w:rsidRPr="00B50432">
        <w:rPr>
          <w:rFonts w:ascii="Times New Roman" w:hAnsi="Times New Roman" w:cs="Times New Roman"/>
          <w:b/>
          <w:bCs/>
        </w:rPr>
        <w:t>*</w:t>
      </w:r>
      <w:r w:rsidRPr="00B50432">
        <w:rPr>
          <w:rFonts w:ascii="Times New Roman" w:hAnsi="Times New Roman" w:cs="Times New Roman"/>
        </w:rPr>
        <w:t xml:space="preserve"> S3 contributes less than 1% because the drain time evidence is tight. S2 contributes 13% because the data locality range is wide.</w:t>
      </w:r>
    </w:p>
    <w:p w14:paraId="6C6837D8" w14:textId="77777777" w:rsidR="00B50432" w:rsidRPr="00B50432" w:rsidRDefault="00B50432" w:rsidP="00B50432">
      <w:pPr>
        <w:rPr>
          <w:rFonts w:ascii="Times New Roman" w:hAnsi="Times New Roman" w:cs="Times New Roman"/>
        </w:rPr>
      </w:pPr>
    </w:p>
    <w:p w14:paraId="75333A0C"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3. </w:t>
      </w:r>
      <w:r w:rsidRPr="00B50432">
        <w:rPr>
          <w:rFonts w:ascii="Times New Roman" w:hAnsi="Times New Roman" w:cs="Times New Roman"/>
          <w:b/>
          <w:bCs/>
        </w:rPr>
        <w:t xml:space="preserve">**Empirically grounded parameters contribute </w:t>
      </w:r>
      <w:proofErr w:type="gramStart"/>
      <w:r w:rsidRPr="00B50432">
        <w:rPr>
          <w:rFonts w:ascii="Times New Roman" w:hAnsi="Times New Roman" w:cs="Times New Roman"/>
          <w:b/>
          <w:bCs/>
        </w:rPr>
        <w:t>least:*</w:t>
      </w:r>
      <w:proofErr w:type="gramEnd"/>
      <w:r w:rsidRPr="00B50432">
        <w:rPr>
          <w:rFonts w:ascii="Times New Roman" w:hAnsi="Times New Roman" w:cs="Times New Roman"/>
          <w:b/>
          <w:bCs/>
        </w:rPr>
        <w:t>*</w:t>
      </w:r>
      <w:r w:rsidRPr="00B50432">
        <w:rPr>
          <w:rFonts w:ascii="Times New Roman" w:hAnsi="Times New Roman" w:cs="Times New Roman"/>
        </w:rPr>
        <w:t xml:space="preserve"> D1 (0.1%), S3 (0.9%), and E2 (0.2%) have tight ranges derived from real data, confirming that the things we can measure are not the things that drive uncertainty.</w:t>
      </w:r>
    </w:p>
    <w:p w14:paraId="4946E3CE" w14:textId="77777777" w:rsidR="00B50432" w:rsidRPr="00B50432" w:rsidRDefault="00B50432" w:rsidP="00B50432">
      <w:pPr>
        <w:rPr>
          <w:rFonts w:ascii="Times New Roman" w:hAnsi="Times New Roman" w:cs="Times New Roman"/>
        </w:rPr>
      </w:pPr>
    </w:p>
    <w:p w14:paraId="3F9E4302"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4. </w:t>
      </w:r>
      <w:r w:rsidRPr="00B50432">
        <w:rPr>
          <w:rFonts w:ascii="Times New Roman" w:hAnsi="Times New Roman" w:cs="Times New Roman"/>
          <w:b/>
          <w:bCs/>
        </w:rPr>
        <w:t xml:space="preserve">**At fleet scale, source-side parameters have zero </w:t>
      </w:r>
      <w:proofErr w:type="gramStart"/>
      <w:r w:rsidRPr="00B50432">
        <w:rPr>
          <w:rFonts w:ascii="Times New Roman" w:hAnsi="Times New Roman" w:cs="Times New Roman"/>
          <w:b/>
          <w:bCs/>
        </w:rPr>
        <w:t>sensitivity.*</w:t>
      </w:r>
      <w:proofErr w:type="gramEnd"/>
      <w:r w:rsidRPr="00B50432">
        <w:rPr>
          <w:rFonts w:ascii="Times New Roman" w:hAnsi="Times New Roman" w:cs="Times New Roman"/>
          <w:b/>
          <w:bCs/>
        </w:rPr>
        <w:t>*</w:t>
      </w:r>
      <w:r w:rsidRPr="00B50432">
        <w:rPr>
          <w:rFonts w:ascii="Times New Roman" w:hAnsi="Times New Roman" w:cs="Times New Roman"/>
        </w:rPr>
        <w:t xml:space="preserve"> The tornado analysis (NE paper Fig. 3b) shows that sweeping S2 and S3 across their full ranges produces zero change in 10 GW fleet commitment depth. At fleet scale, the fleet is entirely destination-constrained — how much *wants to migrate* is irrelevant; what matters is how much the destination pool *can absorb*.</w:t>
      </w:r>
    </w:p>
    <w:p w14:paraId="357D7028" w14:textId="77777777" w:rsidR="00B50432" w:rsidRPr="00B50432" w:rsidRDefault="00B50432" w:rsidP="00B50432">
      <w:pPr>
        <w:rPr>
          <w:rFonts w:ascii="Times New Roman" w:hAnsi="Times New Roman" w:cs="Times New Roman"/>
        </w:rPr>
      </w:pPr>
    </w:p>
    <w:p w14:paraId="28446C80"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Policy Implication of the Variance Structure</w:t>
      </w:r>
    </w:p>
    <w:p w14:paraId="6403264A" w14:textId="77777777" w:rsidR="00B50432" w:rsidRPr="00B50432" w:rsidRDefault="00B50432" w:rsidP="00B50432">
      <w:pPr>
        <w:rPr>
          <w:rFonts w:ascii="Times New Roman" w:hAnsi="Times New Roman" w:cs="Times New Roman"/>
        </w:rPr>
      </w:pPr>
    </w:p>
    <w:p w14:paraId="67E0E323"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The variance concentration identifies precisely where different interventions would have impact:</w:t>
      </w:r>
    </w:p>
    <w:p w14:paraId="39769207" w14:textId="77777777" w:rsidR="00B50432" w:rsidRPr="00B50432" w:rsidRDefault="00B50432" w:rsidP="00B50432">
      <w:pPr>
        <w:rPr>
          <w:rFonts w:ascii="Times New Roman" w:hAnsi="Times New Roman" w:cs="Times New Roman"/>
        </w:rPr>
      </w:pPr>
    </w:p>
    <w:p w14:paraId="14CCE7FE"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Parameter | Intervention | Individual-facility effect | Fleet-scale effect |</w:t>
      </w:r>
    </w:p>
    <w:p w14:paraId="13ECBFC3" w14:textId="77777777" w:rsidR="00B50432" w:rsidRPr="00B50432" w:rsidRDefault="00B50432" w:rsidP="00B50432">
      <w:pPr>
        <w:rPr>
          <w:rFonts w:ascii="Times New Roman" w:hAnsi="Times New Roman" w:cs="Times New Roman"/>
        </w:rPr>
      </w:pPr>
      <w:proofErr w:type="gramStart"/>
      <w:r w:rsidRPr="00B50432">
        <w:rPr>
          <w:rFonts w:ascii="Times New Roman" w:hAnsi="Times New Roman" w:cs="Times New Roman"/>
        </w:rPr>
        <w:t>|---|---|---|---|</w:t>
      </w:r>
      <w:proofErr w:type="gramEnd"/>
    </w:p>
    <w:p w14:paraId="7C855010"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D2 | Encourage destination headroom maintenance | Moderate | High |</w:t>
      </w:r>
    </w:p>
    <w:p w14:paraId="215D66CE"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D4 | Market trends (inference growth) handle this | Moderate | High |</w:t>
      </w:r>
    </w:p>
    <w:p w14:paraId="173DC362"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lastRenderedPageBreak/>
        <w:t>| D5 | Require pre-staging as condition of DR accreditation | Moderate | High |</w:t>
      </w:r>
    </w:p>
    <w:p w14:paraId="377D3236"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S2 | Data locality waivers, regulatory flexibility | High | Zero |</w:t>
      </w:r>
    </w:p>
    <w:p w14:paraId="58FC1084"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S3 | Already solved by physics | Zero | Zero |</w:t>
      </w:r>
    </w:p>
    <w:p w14:paraId="59127C0E" w14:textId="77777777" w:rsidR="00B50432" w:rsidRPr="00B50432" w:rsidRDefault="00B50432" w:rsidP="00B50432">
      <w:pPr>
        <w:rPr>
          <w:rFonts w:ascii="Times New Roman" w:hAnsi="Times New Roman" w:cs="Times New Roman"/>
        </w:rPr>
      </w:pPr>
    </w:p>
    <w:p w14:paraId="352E18B4"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w:t>
      </w:r>
    </w:p>
    <w:p w14:paraId="44766F48" w14:textId="77777777" w:rsidR="00B50432" w:rsidRPr="00B50432" w:rsidRDefault="00B50432" w:rsidP="00B50432">
      <w:pPr>
        <w:rPr>
          <w:rFonts w:ascii="Times New Roman" w:hAnsi="Times New Roman" w:cs="Times New Roman"/>
        </w:rPr>
      </w:pPr>
    </w:p>
    <w:p w14:paraId="0E97F859"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7. Duration Robustness</w:t>
      </w:r>
    </w:p>
    <w:p w14:paraId="771F23FA" w14:textId="77777777" w:rsidR="00B50432" w:rsidRPr="00B50432" w:rsidRDefault="00B50432" w:rsidP="00B50432">
      <w:pPr>
        <w:rPr>
          <w:rFonts w:ascii="Times New Roman" w:hAnsi="Times New Roman" w:cs="Times New Roman"/>
        </w:rPr>
      </w:pPr>
    </w:p>
    <w:p w14:paraId="00B43020"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A critical distinction from battery-based DR: inference spatial migration is inherently </w:t>
      </w:r>
      <w:r w:rsidRPr="00B50432">
        <w:rPr>
          <w:rFonts w:ascii="Times New Roman" w:hAnsi="Times New Roman" w:cs="Times New Roman"/>
          <w:b/>
          <w:bCs/>
        </w:rPr>
        <w:t>**indefinite-duration**</w:t>
      </w:r>
      <w:r w:rsidRPr="00B50432">
        <w:rPr>
          <w:rFonts w:ascii="Times New Roman" w:hAnsi="Times New Roman" w:cs="Times New Roman"/>
        </w:rPr>
        <w:t>. The mechanism routes new requests to a different endpoint — it does not drain a finite energy reservoir. As long as any destination remains unstressed and the orchestrator is operational, migration continues at the same effective depth.</w:t>
      </w:r>
    </w:p>
    <w:p w14:paraId="1BA6EA4F" w14:textId="77777777" w:rsidR="00B50432" w:rsidRPr="00B50432" w:rsidRDefault="00B50432" w:rsidP="00B50432">
      <w:pPr>
        <w:rPr>
          <w:rFonts w:ascii="Times New Roman" w:hAnsi="Times New Roman" w:cs="Times New Roman"/>
        </w:rPr>
      </w:pPr>
    </w:p>
    <w:p w14:paraId="6D779265"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This means the DVFS + Spatial portfolio faces no duration-based Non-Performance Charge exposure. A BTM battery portfolio fails during extended events — Winter Storm Elliott lasted 4+ days, with 17+ hours of continuous emergency dispatch. The spatial portfolio continues operating through hour 17 at the same effective depth, provided any destination remains unstressed. Per the Cross-BA analysis, at least one destination was available in 99.0% of observed stress hours.</w:t>
      </w:r>
    </w:p>
    <w:p w14:paraId="1F380CCA" w14:textId="77777777" w:rsidR="00B50432" w:rsidRPr="00B50432" w:rsidRDefault="00B50432" w:rsidP="00B50432">
      <w:pPr>
        <w:rPr>
          <w:rFonts w:ascii="Times New Roman" w:hAnsi="Times New Roman" w:cs="Times New Roman"/>
        </w:rPr>
      </w:pPr>
    </w:p>
    <w:p w14:paraId="444F6664"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PJM's DR model, which dispatches DR without an energy constraint and assumes indefinite availability, is a better fit for the spatial mechanism than for battery-based resources.</w:t>
      </w:r>
    </w:p>
    <w:p w14:paraId="3517EF55" w14:textId="77777777" w:rsidR="00B50432" w:rsidRPr="00B50432" w:rsidRDefault="00B50432" w:rsidP="00B50432">
      <w:pPr>
        <w:rPr>
          <w:rFonts w:ascii="Times New Roman" w:hAnsi="Times New Roman" w:cs="Times New Roman"/>
        </w:rPr>
      </w:pPr>
    </w:p>
    <w:p w14:paraId="72456405"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w:t>
      </w:r>
    </w:p>
    <w:p w14:paraId="6B1B1358" w14:textId="77777777" w:rsidR="00B50432" w:rsidRPr="00B50432" w:rsidRDefault="00B50432" w:rsidP="00B50432">
      <w:pPr>
        <w:rPr>
          <w:rFonts w:ascii="Times New Roman" w:hAnsi="Times New Roman" w:cs="Times New Roman"/>
        </w:rPr>
      </w:pPr>
    </w:p>
    <w:p w14:paraId="08C1F6CE"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8. Limitations</w:t>
      </w:r>
    </w:p>
    <w:p w14:paraId="1425FC9A" w14:textId="77777777" w:rsidR="00B50432" w:rsidRPr="00B50432" w:rsidRDefault="00B50432" w:rsidP="00B50432">
      <w:pPr>
        <w:rPr>
          <w:rFonts w:ascii="Times New Roman" w:hAnsi="Times New Roman" w:cs="Times New Roman"/>
        </w:rPr>
      </w:pPr>
    </w:p>
    <w:p w14:paraId="10586987"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1. </w:t>
      </w:r>
      <w:r w:rsidRPr="00B50432">
        <w:rPr>
          <w:rFonts w:ascii="Times New Roman" w:hAnsi="Times New Roman" w:cs="Times New Roman"/>
          <w:b/>
          <w:bCs/>
        </w:rPr>
        <w:t xml:space="preserve">**Scope limited to stateless </w:t>
      </w:r>
      <w:proofErr w:type="gramStart"/>
      <w:r w:rsidRPr="00B50432">
        <w:rPr>
          <w:rFonts w:ascii="Times New Roman" w:hAnsi="Times New Roman" w:cs="Times New Roman"/>
          <w:b/>
          <w:bCs/>
        </w:rPr>
        <w:t>inference.*</w:t>
      </w:r>
      <w:proofErr w:type="gramEnd"/>
      <w:r w:rsidRPr="00B50432">
        <w:rPr>
          <w:rFonts w:ascii="Times New Roman" w:hAnsi="Times New Roman" w:cs="Times New Roman"/>
          <w:b/>
          <w:bCs/>
        </w:rPr>
        <w:t>*</w:t>
      </w:r>
      <w:r w:rsidRPr="00B50432">
        <w:rPr>
          <w:rFonts w:ascii="Times New Roman" w:hAnsi="Times New Roman" w:cs="Times New Roman"/>
        </w:rPr>
        <w:t xml:space="preserve"> The cascade is rigorously bounded only for inference request routing. Training, fine-tuning, and stateful workloads are excluded from the spatial pathway and participate through DVFS only. This is an honest reflection of where empirical grounding exists, not an assertion that non-inference migration is impossible.</w:t>
      </w:r>
    </w:p>
    <w:p w14:paraId="2AD521C2" w14:textId="77777777" w:rsidR="00B50432" w:rsidRPr="00B50432" w:rsidRDefault="00B50432" w:rsidP="00B50432">
      <w:pPr>
        <w:rPr>
          <w:rFonts w:ascii="Times New Roman" w:hAnsi="Times New Roman" w:cs="Times New Roman"/>
        </w:rPr>
      </w:pPr>
    </w:p>
    <w:p w14:paraId="4D7CCE6A"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2. </w:t>
      </w:r>
      <w:r w:rsidRPr="00B50432">
        <w:rPr>
          <w:rFonts w:ascii="Times New Roman" w:hAnsi="Times New Roman" w:cs="Times New Roman"/>
          <w:b/>
          <w:bCs/>
        </w:rPr>
        <w:t xml:space="preserve">**S2 (data locality) is weakly </w:t>
      </w:r>
      <w:proofErr w:type="gramStart"/>
      <w:r w:rsidRPr="00B50432">
        <w:rPr>
          <w:rFonts w:ascii="Times New Roman" w:hAnsi="Times New Roman" w:cs="Times New Roman"/>
          <w:b/>
          <w:bCs/>
        </w:rPr>
        <w:t>grounded.*</w:t>
      </w:r>
      <w:proofErr w:type="gramEnd"/>
      <w:r w:rsidRPr="00B50432">
        <w:rPr>
          <w:rFonts w:ascii="Times New Roman" w:hAnsi="Times New Roman" w:cs="Times New Roman"/>
          <w:b/>
          <w:bCs/>
        </w:rPr>
        <w:t>*</w:t>
      </w:r>
      <w:r w:rsidRPr="00B50432">
        <w:rPr>
          <w:rFonts w:ascii="Times New Roman" w:hAnsi="Times New Roman" w:cs="Times New Roman"/>
        </w:rPr>
        <w:t xml:space="preserve"> The fraction of inference workloads without hard geographic pinning is bounded at [0.60, 0.95] based on industry analysis, not production measurement. Cross-region inference is demonstrably production-ready (Amazon Bedrock, Google carbon-aware scheduling, SkyLB), but the precise prevalence of geographic constraints has not been measured.</w:t>
      </w:r>
    </w:p>
    <w:p w14:paraId="4807A887" w14:textId="77777777" w:rsidR="00B50432" w:rsidRPr="00B50432" w:rsidRDefault="00B50432" w:rsidP="00B50432">
      <w:pPr>
        <w:rPr>
          <w:rFonts w:ascii="Times New Roman" w:hAnsi="Times New Roman" w:cs="Times New Roman"/>
        </w:rPr>
      </w:pPr>
    </w:p>
    <w:p w14:paraId="68D90BB9"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3. </w:t>
      </w:r>
      <w:r w:rsidRPr="00B50432">
        <w:rPr>
          <w:rFonts w:ascii="Times New Roman" w:hAnsi="Times New Roman" w:cs="Times New Roman"/>
          <w:b/>
          <w:bCs/>
        </w:rPr>
        <w:t xml:space="preserve">**D2 (utilization headroom) is a </w:t>
      </w:r>
      <w:proofErr w:type="gramStart"/>
      <w:r w:rsidRPr="00B50432">
        <w:rPr>
          <w:rFonts w:ascii="Times New Roman" w:hAnsi="Times New Roman" w:cs="Times New Roman"/>
          <w:b/>
          <w:bCs/>
        </w:rPr>
        <w:t>placeholder.*</w:t>
      </w:r>
      <w:proofErr w:type="gramEnd"/>
      <w:r w:rsidRPr="00B50432">
        <w:rPr>
          <w:rFonts w:ascii="Times New Roman" w:hAnsi="Times New Roman" w:cs="Times New Roman"/>
          <w:b/>
          <w:bCs/>
        </w:rPr>
        <w:t>*</w:t>
      </w:r>
      <w:r w:rsidRPr="00B50432">
        <w:rPr>
          <w:rFonts w:ascii="Times New Roman" w:hAnsi="Times New Roman" w:cs="Times New Roman"/>
        </w:rPr>
        <w:t xml:space="preserve"> No published study directly measures GPU-level utilization distributions at production inference facilities. The 50–80% utilization range is estimated from industry reports. Thermal constraints ("stranded power" from cooling bottlenecks) and regional GPU quota limitations represent additional headroom constraints not captured in this estimate.</w:t>
      </w:r>
    </w:p>
    <w:p w14:paraId="69A39963" w14:textId="77777777" w:rsidR="00B50432" w:rsidRPr="00B50432" w:rsidRDefault="00B50432" w:rsidP="00B50432">
      <w:pPr>
        <w:rPr>
          <w:rFonts w:ascii="Times New Roman" w:hAnsi="Times New Roman" w:cs="Times New Roman"/>
        </w:rPr>
      </w:pPr>
    </w:p>
    <w:p w14:paraId="44405B5B"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4. </w:t>
      </w:r>
      <w:r w:rsidRPr="00B50432">
        <w:rPr>
          <w:rFonts w:ascii="Times New Roman" w:hAnsi="Times New Roman" w:cs="Times New Roman"/>
          <w:b/>
          <w:bCs/>
        </w:rPr>
        <w:t>**D1 is based on historical pricing (2022–2025</w:t>
      </w:r>
      <w:proofErr w:type="gramStart"/>
      <w:r w:rsidRPr="00B50432">
        <w:rPr>
          <w:rFonts w:ascii="Times New Roman" w:hAnsi="Times New Roman" w:cs="Times New Roman"/>
          <w:b/>
          <w:bCs/>
        </w:rPr>
        <w:t>).*</w:t>
      </w:r>
      <w:proofErr w:type="gramEnd"/>
      <w:r w:rsidRPr="00B50432">
        <w:rPr>
          <w:rFonts w:ascii="Times New Roman" w:hAnsi="Times New Roman" w:cs="Times New Roman"/>
          <w:b/>
          <w:bCs/>
        </w:rPr>
        <w:t>*</w:t>
      </w:r>
      <w:r w:rsidRPr="00B50432">
        <w:rPr>
          <w:rFonts w:ascii="Times New Roman" w:hAnsi="Times New Roman" w:cs="Times New Roman"/>
        </w:rPr>
        <w:t xml:space="preserve"> Climate change may shift the frequency and geographic scope of extreme weather events. The January 2024 Arctic Blast — a continental-scale cold event that drove both all-stressed hours — may become more common. The 99.0% central availability figure should be treated as a recent-history observation, not a forward guarantee.</w:t>
      </w:r>
    </w:p>
    <w:p w14:paraId="73FD9D94" w14:textId="77777777" w:rsidR="00B50432" w:rsidRPr="00B50432" w:rsidRDefault="00B50432" w:rsidP="00B50432">
      <w:pPr>
        <w:rPr>
          <w:rFonts w:ascii="Times New Roman" w:hAnsi="Times New Roman" w:cs="Times New Roman"/>
        </w:rPr>
      </w:pPr>
    </w:p>
    <w:p w14:paraId="639329B4"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5. </w:t>
      </w:r>
      <w:r w:rsidRPr="00B50432">
        <w:rPr>
          <w:rFonts w:ascii="Times New Roman" w:hAnsi="Times New Roman" w:cs="Times New Roman"/>
          <w:b/>
          <w:bCs/>
        </w:rPr>
        <w:t>**</w:t>
      </w:r>
      <w:proofErr w:type="gramStart"/>
      <w:r w:rsidRPr="00B50432">
        <w:rPr>
          <w:rFonts w:ascii="Times New Roman" w:hAnsi="Times New Roman" w:cs="Times New Roman"/>
          <w:b/>
          <w:bCs/>
        </w:rPr>
        <w:t>Reflexivity.*</w:t>
      </w:r>
      <w:proofErr w:type="gramEnd"/>
      <w:r w:rsidRPr="00B50432">
        <w:rPr>
          <w:rFonts w:ascii="Times New Roman" w:hAnsi="Times New Roman" w:cs="Times New Roman"/>
          <w:b/>
          <w:bCs/>
        </w:rPr>
        <w:t>*</w:t>
      </w:r>
      <w:r w:rsidRPr="00B50432">
        <w:rPr>
          <w:rFonts w:ascii="Times New Roman" w:hAnsi="Times New Roman" w:cs="Times New Roman"/>
        </w:rPr>
        <w:t xml:space="preserve"> If spatial migration becomes widespread, destination grids absorb migrated load during source stress, which may increase destination stress and reduce the historical independence — a reflexivity concern analogous to Goodhart's Law applied to grid stress correlations.</w:t>
      </w:r>
    </w:p>
    <w:p w14:paraId="1FB3D0CF" w14:textId="77777777" w:rsidR="00B50432" w:rsidRPr="00B50432" w:rsidRDefault="00B50432" w:rsidP="00B50432">
      <w:pPr>
        <w:rPr>
          <w:rFonts w:ascii="Times New Roman" w:hAnsi="Times New Roman" w:cs="Times New Roman"/>
        </w:rPr>
      </w:pPr>
    </w:p>
    <w:p w14:paraId="505E56B0"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6. </w:t>
      </w:r>
      <w:r w:rsidRPr="00B50432">
        <w:rPr>
          <w:rFonts w:ascii="Times New Roman" w:hAnsi="Times New Roman" w:cs="Times New Roman"/>
          <w:b/>
          <w:bCs/>
        </w:rPr>
        <w:t xml:space="preserve">**The orchestration layer does not </w:t>
      </w:r>
      <w:proofErr w:type="gramStart"/>
      <w:r w:rsidRPr="00B50432">
        <w:rPr>
          <w:rFonts w:ascii="Times New Roman" w:hAnsi="Times New Roman" w:cs="Times New Roman"/>
          <w:b/>
          <w:bCs/>
        </w:rPr>
        <w:t>exist.*</w:t>
      </w:r>
      <w:proofErr w:type="gramEnd"/>
      <w:r w:rsidRPr="00B50432">
        <w:rPr>
          <w:rFonts w:ascii="Times New Roman" w:hAnsi="Times New Roman" w:cs="Times New Roman"/>
          <w:b/>
          <w:bCs/>
        </w:rPr>
        <w:t>*</w:t>
      </w:r>
      <w:r w:rsidRPr="00B50432">
        <w:rPr>
          <w:rFonts w:ascii="Times New Roman" w:hAnsi="Times New Roman" w:cs="Times New Roman"/>
        </w:rPr>
        <w:t xml:space="preserve"> The cascade assumes a unified orchestration system that receives grid dispatch signals and executes workload migration across sites. This capability must be built. The thesis quantifies the economic incentive to build it; it does not assume it exists.</w:t>
      </w:r>
    </w:p>
    <w:p w14:paraId="4E306E56" w14:textId="77777777" w:rsidR="00B50432" w:rsidRPr="00B50432" w:rsidRDefault="00B50432" w:rsidP="00B50432">
      <w:pPr>
        <w:rPr>
          <w:rFonts w:ascii="Times New Roman" w:hAnsi="Times New Roman" w:cs="Times New Roman"/>
        </w:rPr>
      </w:pPr>
    </w:p>
    <w:p w14:paraId="3305AF43"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7. </w:t>
      </w:r>
      <w:r w:rsidRPr="00B50432">
        <w:rPr>
          <w:rFonts w:ascii="Times New Roman" w:hAnsi="Times New Roman" w:cs="Times New Roman"/>
          <w:b/>
          <w:bCs/>
        </w:rPr>
        <w:t xml:space="preserve">**Multiplicative </w:t>
      </w:r>
      <w:proofErr w:type="gramStart"/>
      <w:r w:rsidRPr="00B50432">
        <w:rPr>
          <w:rFonts w:ascii="Times New Roman" w:hAnsi="Times New Roman" w:cs="Times New Roman"/>
          <w:b/>
          <w:bCs/>
        </w:rPr>
        <w:t>independence.*</w:t>
      </w:r>
      <w:proofErr w:type="gramEnd"/>
      <w:r w:rsidRPr="00B50432">
        <w:rPr>
          <w:rFonts w:ascii="Times New Roman" w:hAnsi="Times New Roman" w:cs="Times New Roman"/>
          <w:b/>
          <w:bCs/>
        </w:rPr>
        <w:t>*</w:t>
      </w:r>
      <w:r w:rsidRPr="00B50432">
        <w:rPr>
          <w:rFonts w:ascii="Times New Roman" w:hAnsi="Times New Roman" w:cs="Times New Roman"/>
        </w:rPr>
        <w:t xml:space="preserve"> The cascade assumes parameters are independent. This approximation is weakest in the extreme tail: continental-scale weather events that reduce D1 may simultaneously degrade E1 (network reliability) and shift D4 (workload composition under stress). Σ η² ≈ 0.96 confirms small interactions centrally, but tail behavior may differ. The conditional Monte Carlo partially addresses this by conditioning on observed grid states rather than drawing D1 parametrically.</w:t>
      </w:r>
    </w:p>
    <w:p w14:paraId="7C2164E5" w14:textId="77777777" w:rsidR="00B50432" w:rsidRPr="00B50432" w:rsidRDefault="00B50432" w:rsidP="00B50432">
      <w:pPr>
        <w:rPr>
          <w:rFonts w:ascii="Times New Roman" w:hAnsi="Times New Roman" w:cs="Times New Roman"/>
        </w:rPr>
      </w:pPr>
    </w:p>
    <w:p w14:paraId="282890F1"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w:t>
      </w:r>
    </w:p>
    <w:p w14:paraId="374D28D2" w14:textId="77777777" w:rsidR="00B50432" w:rsidRPr="00B50432" w:rsidRDefault="00B50432" w:rsidP="00B50432">
      <w:pPr>
        <w:rPr>
          <w:rFonts w:ascii="Times New Roman" w:hAnsi="Times New Roman" w:cs="Times New Roman"/>
        </w:rPr>
      </w:pPr>
    </w:p>
    <w:p w14:paraId="2623CDC4"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9. Evolution from Earlier Versions</w:t>
      </w:r>
    </w:p>
    <w:p w14:paraId="4699AB00" w14:textId="77777777" w:rsidR="00B50432" w:rsidRPr="00B50432" w:rsidRDefault="00B50432" w:rsidP="00B50432">
      <w:pPr>
        <w:rPr>
          <w:rFonts w:ascii="Times New Roman" w:hAnsi="Times New Roman" w:cs="Times New Roman"/>
        </w:rPr>
      </w:pPr>
    </w:p>
    <w:p w14:paraId="1041EDD4"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This document supersedes the seven-parameter cascade documented in `archive/Pillar1.docx`. Key changes:</w:t>
      </w:r>
    </w:p>
    <w:p w14:paraId="4C4D94CA" w14:textId="77777777" w:rsidR="00B50432" w:rsidRPr="00B50432" w:rsidRDefault="00B50432" w:rsidP="00B50432">
      <w:pPr>
        <w:rPr>
          <w:rFonts w:ascii="Times New Roman" w:hAnsi="Times New Roman" w:cs="Times New Roman"/>
        </w:rPr>
      </w:pPr>
    </w:p>
    <w:p w14:paraId="5751DAC1"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Change | Old (7-parameter) | New (10-parameter) |</w:t>
      </w:r>
    </w:p>
    <w:p w14:paraId="7A4201FD" w14:textId="77777777" w:rsidR="00B50432" w:rsidRPr="00B50432" w:rsidRDefault="00B50432" w:rsidP="00B50432">
      <w:pPr>
        <w:rPr>
          <w:rFonts w:ascii="Times New Roman" w:hAnsi="Times New Roman" w:cs="Times New Roman"/>
        </w:rPr>
      </w:pPr>
      <w:proofErr w:type="gramStart"/>
      <w:r w:rsidRPr="00B50432">
        <w:rPr>
          <w:rFonts w:ascii="Times New Roman" w:hAnsi="Times New Roman" w:cs="Times New Roman"/>
        </w:rPr>
        <w:t>|---|---|---|</w:t>
      </w:r>
      <w:proofErr w:type="gramEnd"/>
    </w:p>
    <w:p w14:paraId="51534BFB"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S2 scope | Combined: data locality × operational timing (central 0.72) | Split: S2 = data locality only (0.70), S3 = operational timing (0.90) |</w:t>
      </w:r>
    </w:p>
    <w:p w14:paraId="0396CCCE"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Destination decomposition | D2 = broad "headroom" (0.85) | Split: D2 = utilization headroom (0.33), D4 = inference share (0.50), D5 = pre-staging (0.65) |</w:t>
      </w:r>
    </w:p>
    <w:p w14:paraId="4B3BAE89"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D3 value | 0.97 | 0.88 |</w:t>
      </w:r>
    </w:p>
    <w:p w14:paraId="4BA3A459"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E1 value | 0.997 | 0.95 |</w:t>
      </w:r>
    </w:p>
    <w:p w14:paraId="5FE4B75B"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E2 value | 0.995 | 0.98 |</w:t>
      </w:r>
    </w:p>
    <w:p w14:paraId="645B13C5"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Cascade product (central) | 0.409 | 0.0384 |</w:t>
      </w:r>
    </w:p>
    <w:p w14:paraId="1512541F"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Commitment depth formula | Spatial + DVFS × (1 − Spatial) | Spatial + DVFS × (S1 − Spatial) |</w:t>
      </w:r>
    </w:p>
    <w:p w14:paraId="7B31DDC8"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Commitment depth (central) | 55.7% | 20.4% |</w:t>
      </w:r>
    </w:p>
    <w:p w14:paraId="43164E86"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Dominant variance driver | S2 Factor A (67%) | D2 (44%) |</w:t>
      </w:r>
    </w:p>
    <w:p w14:paraId="49CF30BD" w14:textId="77777777" w:rsidR="00B50432" w:rsidRPr="00B50432" w:rsidRDefault="00B50432" w:rsidP="00B50432">
      <w:pPr>
        <w:rPr>
          <w:rFonts w:ascii="Times New Roman" w:hAnsi="Times New Roman" w:cs="Times New Roman"/>
        </w:rPr>
      </w:pPr>
    </w:p>
    <w:p w14:paraId="2C8D9622"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The two most consequential changes:</w:t>
      </w:r>
    </w:p>
    <w:p w14:paraId="4EC5572A" w14:textId="77777777" w:rsidR="00B50432" w:rsidRPr="00B50432" w:rsidRDefault="00B50432" w:rsidP="00B50432">
      <w:pPr>
        <w:rPr>
          <w:rFonts w:ascii="Times New Roman" w:hAnsi="Times New Roman" w:cs="Times New Roman"/>
        </w:rPr>
      </w:pPr>
    </w:p>
    <w:p w14:paraId="03ADC4AC"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xml:space="preserve">**1. Commitment depth formula </w:t>
      </w:r>
      <w:proofErr w:type="gramStart"/>
      <w:r w:rsidRPr="00B50432">
        <w:rPr>
          <w:rFonts w:ascii="Times New Roman" w:hAnsi="Times New Roman" w:cs="Times New Roman"/>
          <w:b/>
          <w:bCs/>
        </w:rPr>
        <w:t>correction.*</w:t>
      </w:r>
      <w:proofErr w:type="gramEnd"/>
      <w:r w:rsidRPr="00B50432">
        <w:rPr>
          <w:rFonts w:ascii="Times New Roman" w:hAnsi="Times New Roman" w:cs="Times New Roman"/>
          <w:b/>
          <w:bCs/>
        </w:rPr>
        <w:t>*</w:t>
      </w:r>
      <w:r w:rsidRPr="00B50432">
        <w:rPr>
          <w:rFonts w:ascii="Times New Roman" w:hAnsi="Times New Roman" w:cs="Times New Roman"/>
        </w:rPr>
        <w:t xml:space="preserve"> The old formula applied DVFS to the entire non-migrating facility load including cooling and infrastructure. The corrected formula (Colangelo et al.) applies DVFS only to the compute-amenable S1 </w:t>
      </w:r>
      <w:proofErr w:type="gramStart"/>
      <w:r w:rsidRPr="00B50432">
        <w:rPr>
          <w:rFonts w:ascii="Times New Roman" w:hAnsi="Times New Roman" w:cs="Times New Roman"/>
        </w:rPr>
        <w:t>envelope — physically</w:t>
      </w:r>
      <w:proofErr w:type="gramEnd"/>
      <w:r w:rsidRPr="00B50432">
        <w:rPr>
          <w:rFonts w:ascii="Times New Roman" w:hAnsi="Times New Roman" w:cs="Times New Roman"/>
        </w:rPr>
        <w:t xml:space="preserve"> correct since DVFS operates at the GPU level, not at the facility meter.</w:t>
      </w:r>
    </w:p>
    <w:p w14:paraId="3C5EA8DE" w14:textId="77777777" w:rsidR="00B50432" w:rsidRPr="00B50432" w:rsidRDefault="00B50432" w:rsidP="00B50432">
      <w:pPr>
        <w:rPr>
          <w:rFonts w:ascii="Times New Roman" w:hAnsi="Times New Roman" w:cs="Times New Roman"/>
        </w:rPr>
      </w:pPr>
    </w:p>
    <w:p w14:paraId="168110D6"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lastRenderedPageBreak/>
        <w:t xml:space="preserve">**2. Destination </w:t>
      </w:r>
      <w:proofErr w:type="gramStart"/>
      <w:r w:rsidRPr="00B50432">
        <w:rPr>
          <w:rFonts w:ascii="Times New Roman" w:hAnsi="Times New Roman" w:cs="Times New Roman"/>
          <w:b/>
          <w:bCs/>
        </w:rPr>
        <w:t>decomposition.*</w:t>
      </w:r>
      <w:proofErr w:type="gramEnd"/>
      <w:r w:rsidRPr="00B50432">
        <w:rPr>
          <w:rFonts w:ascii="Times New Roman" w:hAnsi="Times New Roman" w:cs="Times New Roman"/>
          <w:b/>
          <w:bCs/>
        </w:rPr>
        <w:t>*</w:t>
      </w:r>
      <w:r w:rsidRPr="00B50432">
        <w:rPr>
          <w:rFonts w:ascii="Times New Roman" w:hAnsi="Times New Roman" w:cs="Times New Roman"/>
        </w:rPr>
        <w:t xml:space="preserve"> The old D2 (0.85) conflated utilization headroom, inference compatibility, and pre-staging readiness into a single estimate. Decomposing into D2 × D4 × D5 = 0.33 × 0.50 × 0.65 = 0.107 reveals that destination absorption capacity is much lower than previously assumed, and that the uncertainty concentrates in three operationally distinct choices that different policy levers can target independently.</w:t>
      </w:r>
    </w:p>
    <w:p w14:paraId="706FA074" w14:textId="77777777" w:rsidR="00B50432" w:rsidRPr="00B50432" w:rsidRDefault="00B50432" w:rsidP="00B50432">
      <w:pPr>
        <w:rPr>
          <w:rFonts w:ascii="Times New Roman" w:hAnsi="Times New Roman" w:cs="Times New Roman"/>
        </w:rPr>
      </w:pPr>
    </w:p>
    <w:p w14:paraId="056B839F"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w:t>
      </w:r>
    </w:p>
    <w:p w14:paraId="08A51972" w14:textId="77777777" w:rsidR="00B50432" w:rsidRPr="00B50432" w:rsidRDefault="00B50432" w:rsidP="00B50432">
      <w:pPr>
        <w:rPr>
          <w:rFonts w:ascii="Times New Roman" w:hAnsi="Times New Roman" w:cs="Times New Roman"/>
        </w:rPr>
      </w:pPr>
    </w:p>
    <w:p w14:paraId="40CDE41C" w14:textId="77777777" w:rsidR="00B50432" w:rsidRPr="00B50432" w:rsidRDefault="00B50432" w:rsidP="00B50432">
      <w:pPr>
        <w:rPr>
          <w:rFonts w:ascii="Times New Roman" w:hAnsi="Times New Roman" w:cs="Times New Roman"/>
        </w:rPr>
      </w:pPr>
      <w:r w:rsidRPr="00B50432">
        <w:rPr>
          <w:rFonts w:ascii="Times New Roman" w:hAnsi="Times New Roman" w:cs="Times New Roman"/>
          <w:b/>
          <w:bCs/>
        </w:rPr>
        <w:t>## References</w:t>
      </w:r>
    </w:p>
    <w:p w14:paraId="35B4DAC4" w14:textId="77777777" w:rsidR="00B50432" w:rsidRPr="00B50432" w:rsidRDefault="00B50432" w:rsidP="00B50432">
      <w:pPr>
        <w:rPr>
          <w:rFonts w:ascii="Times New Roman" w:hAnsi="Times New Roman" w:cs="Times New Roman"/>
        </w:rPr>
      </w:pPr>
    </w:p>
    <w:p w14:paraId="76396DD0"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Amazon Web Services. Elastic Load Balancing Service Level Agreement. https://aws.amazon.com/elasticloadbalancing/sla/</w:t>
      </w:r>
    </w:p>
    <w:p w14:paraId="1436B1E3" w14:textId="77777777" w:rsidR="00B50432" w:rsidRPr="00B50432" w:rsidRDefault="00B50432" w:rsidP="00B50432">
      <w:pPr>
        <w:rPr>
          <w:rFonts w:ascii="Times New Roman" w:hAnsi="Times New Roman" w:cs="Times New Roman"/>
        </w:rPr>
      </w:pPr>
    </w:p>
    <w:p w14:paraId="1153058B"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Bain &amp; Company. Inference is now the center of gravity (2025).</w:t>
      </w:r>
    </w:p>
    <w:p w14:paraId="39086230" w14:textId="77777777" w:rsidR="00B50432" w:rsidRPr="00B50432" w:rsidRDefault="00B50432" w:rsidP="00B50432">
      <w:pPr>
        <w:rPr>
          <w:rFonts w:ascii="Times New Roman" w:hAnsi="Times New Roman" w:cs="Times New Roman"/>
        </w:rPr>
      </w:pPr>
    </w:p>
    <w:p w14:paraId="11ABAA3A"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Colangelo, P., et al. Software-based power management for AI data centers. Nature Energy (2025). https://doi.org/10.1038/s41560-025-01927-1</w:t>
      </w:r>
    </w:p>
    <w:p w14:paraId="01AE1DEF" w14:textId="77777777" w:rsidR="00B50432" w:rsidRPr="00B50432" w:rsidRDefault="00B50432" w:rsidP="00B50432">
      <w:pPr>
        <w:rPr>
          <w:rFonts w:ascii="Times New Roman" w:hAnsi="Times New Roman" w:cs="Times New Roman"/>
        </w:rPr>
      </w:pPr>
    </w:p>
    <w:p w14:paraId="0FBF0968"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Cortez, E., et al. Resource Central: Understanding and predicting workloads for improved resource management in large cloud platforms. SOSP (2017).</w:t>
      </w:r>
    </w:p>
    <w:p w14:paraId="2ED89B60" w14:textId="77777777" w:rsidR="00B50432" w:rsidRPr="00B50432" w:rsidRDefault="00B50432" w:rsidP="00B50432">
      <w:pPr>
        <w:rPr>
          <w:rFonts w:ascii="Times New Roman" w:hAnsi="Times New Roman" w:cs="Times New Roman"/>
        </w:rPr>
      </w:pPr>
    </w:p>
    <w:p w14:paraId="46CD6C05"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Data Center Knowledge. </w:t>
      </w:r>
      <w:proofErr w:type="spellStart"/>
      <w:r w:rsidRPr="00B50432">
        <w:rPr>
          <w:rFonts w:ascii="Times New Roman" w:hAnsi="Times New Roman" w:cs="Times New Roman"/>
        </w:rPr>
        <w:t>Hyperscaler</w:t>
      </w:r>
      <w:proofErr w:type="spellEnd"/>
      <w:r w:rsidRPr="00B50432">
        <w:rPr>
          <w:rFonts w:ascii="Times New Roman" w:hAnsi="Times New Roman" w:cs="Times New Roman"/>
        </w:rPr>
        <w:t xml:space="preserve"> bandwidth purchases reach 42.4 terabits (November 2025).</w:t>
      </w:r>
    </w:p>
    <w:p w14:paraId="51B5D3DB" w14:textId="77777777" w:rsidR="00B50432" w:rsidRPr="00B50432" w:rsidRDefault="00B50432" w:rsidP="00B50432">
      <w:pPr>
        <w:rPr>
          <w:rFonts w:ascii="Times New Roman" w:hAnsi="Times New Roman" w:cs="Times New Roman"/>
        </w:rPr>
      </w:pPr>
    </w:p>
    <w:p w14:paraId="478D62CF"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Deloitte. Technology, Media and Telecommunications Predictions 2025 (November 2025).</w:t>
      </w:r>
    </w:p>
    <w:p w14:paraId="16146868" w14:textId="77777777" w:rsidR="00B50432" w:rsidRPr="00B50432" w:rsidRDefault="00B50432" w:rsidP="00B50432">
      <w:pPr>
        <w:rPr>
          <w:rFonts w:ascii="Times New Roman" w:hAnsi="Times New Roman" w:cs="Times New Roman"/>
        </w:rPr>
      </w:pPr>
    </w:p>
    <w:p w14:paraId="27F62304"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Dubey, A., et al. (Meta). The Llama 3 Herd of Models. </w:t>
      </w:r>
      <w:proofErr w:type="spellStart"/>
      <w:r w:rsidRPr="00B50432">
        <w:rPr>
          <w:rFonts w:ascii="Times New Roman" w:hAnsi="Times New Roman" w:cs="Times New Roman"/>
        </w:rPr>
        <w:t>arXiv</w:t>
      </w:r>
      <w:proofErr w:type="spellEnd"/>
      <w:r w:rsidRPr="00B50432">
        <w:rPr>
          <w:rFonts w:ascii="Times New Roman" w:hAnsi="Times New Roman" w:cs="Times New Roman"/>
        </w:rPr>
        <w:t xml:space="preserve"> (2024).</w:t>
      </w:r>
    </w:p>
    <w:p w14:paraId="28AA2400" w14:textId="77777777" w:rsidR="00B50432" w:rsidRPr="00B50432" w:rsidRDefault="00B50432" w:rsidP="00B50432">
      <w:pPr>
        <w:rPr>
          <w:rFonts w:ascii="Times New Roman" w:hAnsi="Times New Roman" w:cs="Times New Roman"/>
        </w:rPr>
      </w:pPr>
    </w:p>
    <w:p w14:paraId="2233DBC9"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EPRI. Powering Intelligence: Analyzing Artificial Intelligence and Data Center Energy Consumption (2024).</w:t>
      </w:r>
    </w:p>
    <w:p w14:paraId="3A8361F2" w14:textId="77777777" w:rsidR="00B50432" w:rsidRPr="00B50432" w:rsidRDefault="00B50432" w:rsidP="00B50432">
      <w:pPr>
        <w:rPr>
          <w:rFonts w:ascii="Times New Roman" w:hAnsi="Times New Roman" w:cs="Times New Roman"/>
        </w:rPr>
      </w:pPr>
    </w:p>
    <w:p w14:paraId="5D515608"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lastRenderedPageBreak/>
        <w:t>Govindan, R., et al. Evolve or die: High-availability design principles drawn from Google's network infrastructure. ACM SIGCOMM (2016).</w:t>
      </w:r>
    </w:p>
    <w:p w14:paraId="145E57F0" w14:textId="77777777" w:rsidR="00B50432" w:rsidRPr="00B50432" w:rsidRDefault="00B50432" w:rsidP="00B50432">
      <w:pPr>
        <w:rPr>
          <w:rFonts w:ascii="Times New Roman" w:hAnsi="Times New Roman" w:cs="Times New Roman"/>
        </w:rPr>
      </w:pPr>
    </w:p>
    <w:p w14:paraId="02603C4D"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Jain, S., et al. B4: Experience with a </w:t>
      </w:r>
      <w:proofErr w:type="gramStart"/>
      <w:r w:rsidRPr="00B50432">
        <w:rPr>
          <w:rFonts w:ascii="Times New Roman" w:hAnsi="Times New Roman" w:cs="Times New Roman"/>
        </w:rPr>
        <w:t>globally-deployed</w:t>
      </w:r>
      <w:proofErr w:type="gramEnd"/>
      <w:r w:rsidRPr="00B50432">
        <w:rPr>
          <w:rFonts w:ascii="Times New Roman" w:hAnsi="Times New Roman" w:cs="Times New Roman"/>
        </w:rPr>
        <w:t xml:space="preserve"> software defined WAN. ACM SIGCOMM (2013).</w:t>
      </w:r>
    </w:p>
    <w:p w14:paraId="40F60C98" w14:textId="77777777" w:rsidR="00B50432" w:rsidRPr="00B50432" w:rsidRDefault="00B50432" w:rsidP="00B50432">
      <w:pPr>
        <w:rPr>
          <w:rFonts w:ascii="Times New Roman" w:hAnsi="Times New Roman" w:cs="Times New Roman"/>
        </w:rPr>
      </w:pPr>
    </w:p>
    <w:p w14:paraId="3A4E0D05" w14:textId="77777777" w:rsidR="00B50432" w:rsidRPr="00B50432" w:rsidRDefault="00B50432" w:rsidP="00B50432">
      <w:pPr>
        <w:rPr>
          <w:rFonts w:ascii="Times New Roman" w:hAnsi="Times New Roman" w:cs="Times New Roman"/>
        </w:rPr>
      </w:pPr>
      <w:proofErr w:type="spellStart"/>
      <w:r w:rsidRPr="00B50432">
        <w:rPr>
          <w:rFonts w:ascii="Times New Roman" w:hAnsi="Times New Roman" w:cs="Times New Roman"/>
        </w:rPr>
        <w:t>Kakolyris</w:t>
      </w:r>
      <w:proofErr w:type="spellEnd"/>
      <w:r w:rsidRPr="00B50432">
        <w:rPr>
          <w:rFonts w:ascii="Times New Roman" w:hAnsi="Times New Roman" w:cs="Times New Roman"/>
        </w:rPr>
        <w:t>, A., et al. SLO-aware GPU DVFS for energy-efficient LLM inference serving. IEEE Computer Architecture Letters (2024).</w:t>
      </w:r>
    </w:p>
    <w:p w14:paraId="5F565593" w14:textId="77777777" w:rsidR="00B50432" w:rsidRPr="00B50432" w:rsidRDefault="00B50432" w:rsidP="00B50432">
      <w:pPr>
        <w:rPr>
          <w:rFonts w:ascii="Times New Roman" w:hAnsi="Times New Roman" w:cs="Times New Roman"/>
        </w:rPr>
      </w:pPr>
    </w:p>
    <w:p w14:paraId="0E1DE3AA"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LBNL. 2024 United States Data Center Energy Usage Report. Lawrence Berkeley National Laboratory (2024).</w:t>
      </w:r>
    </w:p>
    <w:p w14:paraId="2BB39C84" w14:textId="77777777" w:rsidR="00B50432" w:rsidRPr="00B50432" w:rsidRDefault="00B50432" w:rsidP="00B50432">
      <w:pPr>
        <w:rPr>
          <w:rFonts w:ascii="Times New Roman" w:hAnsi="Times New Roman" w:cs="Times New Roman"/>
        </w:rPr>
      </w:pPr>
    </w:p>
    <w:p w14:paraId="248850CB"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McKinsey &amp; Company. Data Center Demand Model (December 2025).</w:t>
      </w:r>
    </w:p>
    <w:p w14:paraId="1C90313F" w14:textId="77777777" w:rsidR="00B50432" w:rsidRPr="00B50432" w:rsidRDefault="00B50432" w:rsidP="00B50432">
      <w:pPr>
        <w:rPr>
          <w:rFonts w:ascii="Times New Roman" w:hAnsi="Times New Roman" w:cs="Times New Roman"/>
        </w:rPr>
      </w:pPr>
    </w:p>
    <w:p w14:paraId="62BE0BE3"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Microsoft Azure. SLA for Load Balancer. https://azure.microsoft.com/en-us/support/legal/sla/load-balancer/</w:t>
      </w:r>
    </w:p>
    <w:p w14:paraId="2FDAE0AD" w14:textId="77777777" w:rsidR="00B50432" w:rsidRPr="00B50432" w:rsidRDefault="00B50432" w:rsidP="00B50432">
      <w:pPr>
        <w:rPr>
          <w:rFonts w:ascii="Times New Roman" w:hAnsi="Times New Roman" w:cs="Times New Roman"/>
        </w:rPr>
      </w:pPr>
    </w:p>
    <w:p w14:paraId="7AEA252F"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Norris, T. H. The puzzle of low data center utilization rates. Power &amp; Policy (August 2025).</w:t>
      </w:r>
    </w:p>
    <w:p w14:paraId="03A18233" w14:textId="77777777" w:rsidR="00B50432" w:rsidRPr="00B50432" w:rsidRDefault="00B50432" w:rsidP="00B50432">
      <w:pPr>
        <w:rPr>
          <w:rFonts w:ascii="Times New Roman" w:hAnsi="Times New Roman" w:cs="Times New Roman"/>
        </w:rPr>
      </w:pPr>
    </w:p>
    <w:p w14:paraId="660C9765"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NVIDIA. CUDA Compatibility Documentation. https://docs.nvidia.com/deploy/cuda-compatibility/</w:t>
      </w:r>
    </w:p>
    <w:p w14:paraId="0C18F8BA" w14:textId="77777777" w:rsidR="00B50432" w:rsidRPr="00B50432" w:rsidRDefault="00B50432" w:rsidP="00B50432">
      <w:pPr>
        <w:rPr>
          <w:rFonts w:ascii="Times New Roman" w:hAnsi="Times New Roman" w:cs="Times New Roman"/>
        </w:rPr>
      </w:pPr>
    </w:p>
    <w:p w14:paraId="350AB4CA"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NVIDIA. CUDA Forward Compatibility Documentation. https://docs.nvidia.com/deploy/cuda-compatibility/forward-compatibility.html</w:t>
      </w:r>
    </w:p>
    <w:p w14:paraId="76C66C37" w14:textId="77777777" w:rsidR="00B50432" w:rsidRPr="00B50432" w:rsidRDefault="00B50432" w:rsidP="00B50432">
      <w:pPr>
        <w:rPr>
          <w:rFonts w:ascii="Times New Roman" w:hAnsi="Times New Roman" w:cs="Times New Roman"/>
        </w:rPr>
      </w:pPr>
    </w:p>
    <w:p w14:paraId="35327B15"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NVIDIA. </w:t>
      </w:r>
      <w:proofErr w:type="spellStart"/>
      <w:r w:rsidRPr="00B50432">
        <w:rPr>
          <w:rFonts w:ascii="Times New Roman" w:hAnsi="Times New Roman" w:cs="Times New Roman"/>
        </w:rPr>
        <w:t>Run:ai</w:t>
      </w:r>
      <w:proofErr w:type="spellEnd"/>
      <w:r w:rsidRPr="00B50432">
        <w:rPr>
          <w:rFonts w:ascii="Times New Roman" w:hAnsi="Times New Roman" w:cs="Times New Roman"/>
        </w:rPr>
        <w:t xml:space="preserve"> Model Streamer: Reducing cold start latency for LLM inference (2025).</w:t>
      </w:r>
    </w:p>
    <w:p w14:paraId="6CA8AD44" w14:textId="77777777" w:rsidR="00B50432" w:rsidRPr="00B50432" w:rsidRDefault="00B50432" w:rsidP="00B50432">
      <w:pPr>
        <w:rPr>
          <w:rFonts w:ascii="Times New Roman" w:hAnsi="Times New Roman" w:cs="Times New Roman"/>
        </w:rPr>
      </w:pPr>
    </w:p>
    <w:p w14:paraId="1E0C0556"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NVIDIA. </w:t>
      </w:r>
      <w:proofErr w:type="spellStart"/>
      <w:r w:rsidRPr="00B50432">
        <w:rPr>
          <w:rFonts w:ascii="Times New Roman" w:hAnsi="Times New Roman" w:cs="Times New Roman"/>
        </w:rPr>
        <w:t>TensorRT</w:t>
      </w:r>
      <w:proofErr w:type="spellEnd"/>
      <w:r w:rsidRPr="00B50432">
        <w:rPr>
          <w:rFonts w:ascii="Times New Roman" w:hAnsi="Times New Roman" w:cs="Times New Roman"/>
        </w:rPr>
        <w:t>-LLM Support Matrix. https://nvidia.github.io/TensorRT-LLM/reference/support-matrix.html</w:t>
      </w:r>
    </w:p>
    <w:p w14:paraId="4E3582FE" w14:textId="77777777" w:rsidR="00B50432" w:rsidRPr="00B50432" w:rsidRDefault="00B50432" w:rsidP="00B50432">
      <w:pPr>
        <w:rPr>
          <w:rFonts w:ascii="Times New Roman" w:hAnsi="Times New Roman" w:cs="Times New Roman"/>
        </w:rPr>
      </w:pPr>
    </w:p>
    <w:p w14:paraId="75EF2070"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lastRenderedPageBreak/>
        <w:t xml:space="preserve">Patel, P., et al. </w:t>
      </w:r>
      <w:proofErr w:type="spellStart"/>
      <w:r w:rsidRPr="00B50432">
        <w:rPr>
          <w:rFonts w:ascii="Times New Roman" w:hAnsi="Times New Roman" w:cs="Times New Roman"/>
        </w:rPr>
        <w:t>Splitwise</w:t>
      </w:r>
      <w:proofErr w:type="spellEnd"/>
      <w:r w:rsidRPr="00B50432">
        <w:rPr>
          <w:rFonts w:ascii="Times New Roman" w:hAnsi="Times New Roman" w:cs="Times New Roman"/>
        </w:rPr>
        <w:t>: Efficient generative LLM inference using phase splitting. ISCA (2024).</w:t>
      </w:r>
    </w:p>
    <w:p w14:paraId="71BC648B" w14:textId="77777777" w:rsidR="00B50432" w:rsidRPr="00B50432" w:rsidRDefault="00B50432" w:rsidP="00B50432">
      <w:pPr>
        <w:rPr>
          <w:rFonts w:ascii="Times New Roman" w:hAnsi="Times New Roman" w:cs="Times New Roman"/>
        </w:rPr>
      </w:pPr>
    </w:p>
    <w:p w14:paraId="636A0C13"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Patel, T., et al. Characterizing power management opportunities for LLMs in the cloud. ASPLOS (2024).</w:t>
      </w:r>
    </w:p>
    <w:p w14:paraId="765E1E2C" w14:textId="77777777" w:rsidR="00B50432" w:rsidRPr="00B50432" w:rsidRDefault="00B50432" w:rsidP="00B50432">
      <w:pPr>
        <w:rPr>
          <w:rFonts w:ascii="Times New Roman" w:hAnsi="Times New Roman" w:cs="Times New Roman"/>
        </w:rPr>
      </w:pPr>
    </w:p>
    <w:p w14:paraId="13B8860F"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PJM Interconnection. Manual 13: Emergency Operations. Rev. 86 (2025).</w:t>
      </w:r>
    </w:p>
    <w:p w14:paraId="28FB9B88" w14:textId="77777777" w:rsidR="00B50432" w:rsidRPr="00B50432" w:rsidRDefault="00B50432" w:rsidP="00B50432">
      <w:pPr>
        <w:rPr>
          <w:rFonts w:ascii="Times New Roman" w:hAnsi="Times New Roman" w:cs="Times New Roman"/>
        </w:rPr>
      </w:pPr>
    </w:p>
    <w:p w14:paraId="578A7F14"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Radovanović, A., et al. Carbon-aware computing for datacenters. IEEE Transactions on Power Systems 38(2), 1270–1280 (2022).</w:t>
      </w:r>
    </w:p>
    <w:p w14:paraId="773A17D3" w14:textId="77777777" w:rsidR="00B50432" w:rsidRPr="00B50432" w:rsidRDefault="00B50432" w:rsidP="00B50432">
      <w:pPr>
        <w:rPr>
          <w:rFonts w:ascii="Times New Roman" w:hAnsi="Times New Roman" w:cs="Times New Roman"/>
        </w:rPr>
      </w:pPr>
    </w:p>
    <w:p w14:paraId="0AB0F9A2"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Red Hat. </w:t>
      </w:r>
      <w:proofErr w:type="spellStart"/>
      <w:r w:rsidRPr="00B50432">
        <w:rPr>
          <w:rFonts w:ascii="Times New Roman" w:hAnsi="Times New Roman" w:cs="Times New Roman"/>
        </w:rPr>
        <w:t>vLLM</w:t>
      </w:r>
      <w:proofErr w:type="spellEnd"/>
      <w:r w:rsidRPr="00B50432">
        <w:rPr>
          <w:rFonts w:ascii="Times New Roman" w:hAnsi="Times New Roman" w:cs="Times New Roman"/>
        </w:rPr>
        <w:t>: A high-throughput and memory-efficient inference engine (October 2025).</w:t>
      </w:r>
    </w:p>
    <w:p w14:paraId="4265789E" w14:textId="77777777" w:rsidR="00B50432" w:rsidRPr="00B50432" w:rsidRDefault="00B50432" w:rsidP="00B50432">
      <w:pPr>
        <w:rPr>
          <w:rFonts w:ascii="Times New Roman" w:hAnsi="Times New Roman" w:cs="Times New Roman"/>
        </w:rPr>
      </w:pPr>
    </w:p>
    <w:p w14:paraId="49D12B27"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SkyLB. Locality-aware cross-region load balancer for LLM inference. arXiv:2505.24095 (2025).</w:t>
      </w:r>
    </w:p>
    <w:p w14:paraId="78714444" w14:textId="77777777" w:rsidR="00B50432" w:rsidRPr="00B50432" w:rsidRDefault="00B50432" w:rsidP="00B50432">
      <w:pPr>
        <w:rPr>
          <w:rFonts w:ascii="Times New Roman" w:hAnsi="Times New Roman" w:cs="Times New Roman"/>
        </w:rPr>
      </w:pPr>
    </w:p>
    <w:p w14:paraId="2C54E163"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Stojkovic, J., et al. </w:t>
      </w:r>
      <w:proofErr w:type="spellStart"/>
      <w:r w:rsidRPr="00B50432">
        <w:rPr>
          <w:rFonts w:ascii="Times New Roman" w:hAnsi="Times New Roman" w:cs="Times New Roman"/>
        </w:rPr>
        <w:t>DynamoLLM</w:t>
      </w:r>
      <w:proofErr w:type="spellEnd"/>
      <w:r w:rsidRPr="00B50432">
        <w:rPr>
          <w:rFonts w:ascii="Times New Roman" w:hAnsi="Times New Roman" w:cs="Times New Roman"/>
        </w:rPr>
        <w:t>: Designing LLM inference clusters for performance and energy efficiency. HPCA (2025).</w:t>
      </w:r>
    </w:p>
    <w:p w14:paraId="4F575008" w14:textId="77777777" w:rsidR="00B50432" w:rsidRPr="00B50432" w:rsidRDefault="00B50432" w:rsidP="00B50432">
      <w:pPr>
        <w:rPr>
          <w:rFonts w:ascii="Times New Roman" w:hAnsi="Times New Roman" w:cs="Times New Roman"/>
        </w:rPr>
      </w:pPr>
    </w:p>
    <w:p w14:paraId="63A61E2B" w14:textId="77777777" w:rsidR="00B50432" w:rsidRPr="00B50432" w:rsidRDefault="00B50432" w:rsidP="00B50432">
      <w:pPr>
        <w:rPr>
          <w:rFonts w:ascii="Times New Roman" w:hAnsi="Times New Roman" w:cs="Times New Roman"/>
        </w:rPr>
      </w:pPr>
      <w:proofErr w:type="spellStart"/>
      <w:r w:rsidRPr="00B50432">
        <w:rPr>
          <w:rFonts w:ascii="Times New Roman" w:hAnsi="Times New Roman" w:cs="Times New Roman"/>
        </w:rPr>
        <w:t>Tirmazi</w:t>
      </w:r>
      <w:proofErr w:type="spellEnd"/>
      <w:r w:rsidRPr="00B50432">
        <w:rPr>
          <w:rFonts w:ascii="Times New Roman" w:hAnsi="Times New Roman" w:cs="Times New Roman"/>
        </w:rPr>
        <w:t xml:space="preserve">, M., et al. Borg: The next generation. </w:t>
      </w:r>
      <w:proofErr w:type="spellStart"/>
      <w:r w:rsidRPr="00B50432">
        <w:rPr>
          <w:rFonts w:ascii="Times New Roman" w:hAnsi="Times New Roman" w:cs="Times New Roman"/>
        </w:rPr>
        <w:t>EuroSys</w:t>
      </w:r>
      <w:proofErr w:type="spellEnd"/>
      <w:r w:rsidRPr="00B50432">
        <w:rPr>
          <w:rFonts w:ascii="Times New Roman" w:hAnsi="Times New Roman" w:cs="Times New Roman"/>
        </w:rPr>
        <w:t xml:space="preserve"> (2020).</w:t>
      </w:r>
    </w:p>
    <w:p w14:paraId="76E03A99" w14:textId="77777777" w:rsidR="00B50432" w:rsidRPr="00B50432" w:rsidRDefault="00B50432" w:rsidP="00B50432">
      <w:pPr>
        <w:rPr>
          <w:rFonts w:ascii="Times New Roman" w:hAnsi="Times New Roman" w:cs="Times New Roman"/>
        </w:rPr>
      </w:pPr>
    </w:p>
    <w:p w14:paraId="1334FDC4"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Verma, A., et al. Large-scale cluster management at Google with Borg. </w:t>
      </w:r>
      <w:proofErr w:type="spellStart"/>
      <w:r w:rsidRPr="00B50432">
        <w:rPr>
          <w:rFonts w:ascii="Times New Roman" w:hAnsi="Times New Roman" w:cs="Times New Roman"/>
        </w:rPr>
        <w:t>EuroSys</w:t>
      </w:r>
      <w:proofErr w:type="spellEnd"/>
      <w:r w:rsidRPr="00B50432">
        <w:rPr>
          <w:rFonts w:ascii="Times New Roman" w:hAnsi="Times New Roman" w:cs="Times New Roman"/>
        </w:rPr>
        <w:t xml:space="preserve"> (2015).</w:t>
      </w:r>
    </w:p>
    <w:p w14:paraId="72F7F72E" w14:textId="77777777" w:rsidR="00B50432" w:rsidRPr="00B50432" w:rsidRDefault="00B50432" w:rsidP="00B50432">
      <w:pPr>
        <w:rPr>
          <w:rFonts w:ascii="Times New Roman" w:hAnsi="Times New Roman" w:cs="Times New Roman"/>
        </w:rPr>
      </w:pPr>
    </w:p>
    <w:p w14:paraId="2DD29BA5"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 xml:space="preserve">Wang, Y., et al. </w:t>
      </w:r>
      <w:proofErr w:type="spellStart"/>
      <w:r w:rsidRPr="00B50432">
        <w:rPr>
          <w:rFonts w:ascii="Times New Roman" w:hAnsi="Times New Roman" w:cs="Times New Roman"/>
        </w:rPr>
        <w:t>BurstGPT</w:t>
      </w:r>
      <w:proofErr w:type="spellEnd"/>
      <w:r w:rsidRPr="00B50432">
        <w:rPr>
          <w:rFonts w:ascii="Times New Roman" w:hAnsi="Times New Roman" w:cs="Times New Roman"/>
        </w:rPr>
        <w:t xml:space="preserve">: A real-world workload dataset for large language models. </w:t>
      </w:r>
      <w:proofErr w:type="spellStart"/>
      <w:r w:rsidRPr="00B50432">
        <w:rPr>
          <w:rFonts w:ascii="Times New Roman" w:hAnsi="Times New Roman" w:cs="Times New Roman"/>
        </w:rPr>
        <w:t>arXiv</w:t>
      </w:r>
      <w:proofErr w:type="spellEnd"/>
      <w:r w:rsidRPr="00B50432">
        <w:rPr>
          <w:rFonts w:ascii="Times New Roman" w:hAnsi="Times New Roman" w:cs="Times New Roman"/>
        </w:rPr>
        <w:t xml:space="preserve"> (2024).</w:t>
      </w:r>
    </w:p>
    <w:p w14:paraId="03A9CD35" w14:textId="77777777" w:rsidR="00B50432" w:rsidRPr="00B50432" w:rsidRDefault="00B50432" w:rsidP="00B50432">
      <w:pPr>
        <w:rPr>
          <w:rFonts w:ascii="Times New Roman" w:hAnsi="Times New Roman" w:cs="Times New Roman"/>
        </w:rPr>
      </w:pPr>
    </w:p>
    <w:p w14:paraId="24320993" w14:textId="77777777" w:rsidR="00B50432" w:rsidRPr="00B50432" w:rsidRDefault="00B50432" w:rsidP="00B50432">
      <w:pPr>
        <w:rPr>
          <w:rFonts w:ascii="Times New Roman" w:hAnsi="Times New Roman" w:cs="Times New Roman"/>
        </w:rPr>
      </w:pPr>
      <w:r w:rsidRPr="00B50432">
        <w:rPr>
          <w:rFonts w:ascii="Times New Roman" w:hAnsi="Times New Roman" w:cs="Times New Roman"/>
        </w:rPr>
        <w:t>Zhang, C. Flexible HPC: Workload scheduling for carbon and grid-aware computing. PhD Dissertation, University of Chicago (2022).</w:t>
      </w:r>
    </w:p>
    <w:p w14:paraId="2EA62365" w14:textId="77777777" w:rsidR="00B50432" w:rsidRPr="00B50432" w:rsidRDefault="00B50432" w:rsidP="00B50432">
      <w:pPr>
        <w:rPr>
          <w:rFonts w:ascii="Times New Roman" w:hAnsi="Times New Roman" w:cs="Times New Roman"/>
        </w:rPr>
      </w:pPr>
    </w:p>
    <w:p w14:paraId="76A1DE5F" w14:textId="7ECCFCA8" w:rsidR="0093765F" w:rsidRPr="00354B33" w:rsidRDefault="00B50432">
      <w:pPr>
        <w:rPr>
          <w:rFonts w:ascii="Times New Roman" w:hAnsi="Times New Roman" w:cs="Times New Roman"/>
        </w:rPr>
      </w:pPr>
      <w:r w:rsidRPr="00B50432">
        <w:rPr>
          <w:rFonts w:ascii="Times New Roman" w:hAnsi="Times New Roman" w:cs="Times New Roman"/>
        </w:rPr>
        <w:t>Zhang, W., et al. Flexibility from networks of data centers: A market clearing formulation with virtual links. Electric Power Systems Research 189, 106723 (2020).</w:t>
      </w:r>
    </w:p>
    <w:sectPr w:rsidR="0093765F" w:rsidRPr="00354B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057"/>
    <w:rsid w:val="00014BBD"/>
    <w:rsid w:val="00176CEF"/>
    <w:rsid w:val="001A724F"/>
    <w:rsid w:val="001D788D"/>
    <w:rsid w:val="00354B33"/>
    <w:rsid w:val="00490749"/>
    <w:rsid w:val="00721057"/>
    <w:rsid w:val="00833BB0"/>
    <w:rsid w:val="008F69CF"/>
    <w:rsid w:val="0093765F"/>
    <w:rsid w:val="00B50432"/>
    <w:rsid w:val="00D42491"/>
    <w:rsid w:val="00F57E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6896A"/>
  <w15:chartTrackingRefBased/>
  <w15:docId w15:val="{77D11229-82CA-41D9-8EEC-D894796B3A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10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10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10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10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10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10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10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10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10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10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10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10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10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10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10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10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10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1057"/>
    <w:rPr>
      <w:rFonts w:eastAsiaTheme="majorEastAsia" w:cstheme="majorBidi"/>
      <w:color w:val="272727" w:themeColor="text1" w:themeTint="D8"/>
    </w:rPr>
  </w:style>
  <w:style w:type="paragraph" w:styleId="Title">
    <w:name w:val="Title"/>
    <w:basedOn w:val="Normal"/>
    <w:next w:val="Normal"/>
    <w:link w:val="TitleChar"/>
    <w:uiPriority w:val="10"/>
    <w:qFormat/>
    <w:rsid w:val="007210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10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10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10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1057"/>
    <w:pPr>
      <w:spacing w:before="160"/>
      <w:jc w:val="center"/>
    </w:pPr>
    <w:rPr>
      <w:i/>
      <w:iCs/>
      <w:color w:val="404040" w:themeColor="text1" w:themeTint="BF"/>
    </w:rPr>
  </w:style>
  <w:style w:type="character" w:customStyle="1" w:styleId="QuoteChar">
    <w:name w:val="Quote Char"/>
    <w:basedOn w:val="DefaultParagraphFont"/>
    <w:link w:val="Quote"/>
    <w:uiPriority w:val="29"/>
    <w:rsid w:val="00721057"/>
    <w:rPr>
      <w:i/>
      <w:iCs/>
      <w:color w:val="404040" w:themeColor="text1" w:themeTint="BF"/>
    </w:rPr>
  </w:style>
  <w:style w:type="paragraph" w:styleId="ListParagraph">
    <w:name w:val="List Paragraph"/>
    <w:basedOn w:val="Normal"/>
    <w:uiPriority w:val="34"/>
    <w:qFormat/>
    <w:rsid w:val="00721057"/>
    <w:pPr>
      <w:ind w:left="720"/>
      <w:contextualSpacing/>
    </w:pPr>
  </w:style>
  <w:style w:type="character" w:styleId="IntenseEmphasis">
    <w:name w:val="Intense Emphasis"/>
    <w:basedOn w:val="DefaultParagraphFont"/>
    <w:uiPriority w:val="21"/>
    <w:qFormat/>
    <w:rsid w:val="00721057"/>
    <w:rPr>
      <w:i/>
      <w:iCs/>
      <w:color w:val="0F4761" w:themeColor="accent1" w:themeShade="BF"/>
    </w:rPr>
  </w:style>
  <w:style w:type="paragraph" w:styleId="IntenseQuote">
    <w:name w:val="Intense Quote"/>
    <w:basedOn w:val="Normal"/>
    <w:next w:val="Normal"/>
    <w:link w:val="IntenseQuoteChar"/>
    <w:uiPriority w:val="30"/>
    <w:qFormat/>
    <w:rsid w:val="007210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1057"/>
    <w:rPr>
      <w:i/>
      <w:iCs/>
      <w:color w:val="0F4761" w:themeColor="accent1" w:themeShade="BF"/>
    </w:rPr>
  </w:style>
  <w:style w:type="character" w:styleId="IntenseReference">
    <w:name w:val="Intense Reference"/>
    <w:basedOn w:val="DefaultParagraphFont"/>
    <w:uiPriority w:val="32"/>
    <w:qFormat/>
    <w:rsid w:val="00721057"/>
    <w:rPr>
      <w:b/>
      <w:bCs/>
      <w:smallCaps/>
      <w:color w:val="0F4761" w:themeColor="accent1" w:themeShade="BF"/>
      <w:spacing w:val="5"/>
    </w:rPr>
  </w:style>
  <w:style w:type="paragraph" w:customStyle="1" w:styleId="msonormal0">
    <w:name w:val="msonormal"/>
    <w:basedOn w:val="Normal"/>
    <w:rsid w:val="00B50432"/>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38</Pages>
  <Words>7633</Words>
  <Characters>46792</Characters>
  <Application>Microsoft Office Word</Application>
  <DocSecurity>0</DocSecurity>
  <Lines>935</Lines>
  <Paragraphs>375</Paragraphs>
  <ScaleCrop>false</ScaleCrop>
  <Company/>
  <LinksUpToDate>false</LinksUpToDate>
  <CharactersWithSpaces>54050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Dunlap</dc:creator>
  <cp:keywords/>
  <dc:description/>
  <cp:lastModifiedBy>Chris Dunlap</cp:lastModifiedBy>
  <cp:revision>2</cp:revision>
  <dcterms:created xsi:type="dcterms:W3CDTF">2026-04-16T21:06:00Z</dcterms:created>
  <dcterms:modified xsi:type="dcterms:W3CDTF">2026-04-16T21:06:00Z</dcterms:modified>
</cp:coreProperties>
</file>