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088240B"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r w:rsidR="006454DD">
        <w:rPr>
          <w:rFonts w:ascii="Times New Roman" w:hAnsi="Times New Roman" w:cs="Times New Roman"/>
          <w:bCs/>
          <w:sz w:val="20"/>
          <w:szCs w:val="20"/>
        </w:rPr>
        <w:br/>
      </w:r>
      <w:r w:rsidR="006454DD" w:rsidRPr="005D1770">
        <w:rPr>
          <w:rFonts w:ascii="Times New Roman" w:hAnsi="Times New Roman" w:cs="Times New Roman"/>
          <w:sz w:val="20"/>
          <w:szCs w:val="20"/>
        </w:rPr>
        <w:t xml:space="preserve">University of Chicago Booth School of Business / Harris School of Public Policy </w:t>
      </w:r>
      <w:r w:rsidR="006454DD" w:rsidRPr="005D1770">
        <w:rPr>
          <w:rFonts w:ascii="Times New Roman" w:hAnsi="Times New Roman" w:cs="Times New Roman"/>
          <w:sz w:val="20"/>
          <w:szCs w:val="20"/>
        </w:rPr>
        <w:br/>
        <w:t>Energy Policy Institute at Chicago (EPIC), Bartlett Fellowship</w:t>
      </w:r>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71FA80AD" w14:textId="68ADEC8A" w:rsidR="00BC30CF" w:rsidRDefault="00AE5C56" w:rsidP="001D6E1E">
      <w:pPr>
        <w:pBdr>
          <w:bottom w:val="single" w:sz="12" w:space="1" w:color="auto"/>
        </w:pBdr>
        <w:rPr>
          <w:rFonts w:ascii="Times New Roman" w:hAnsi="Times New Roman" w:cs="Times New Roman"/>
          <w:bCs/>
        </w:rPr>
      </w:pPr>
      <w:r w:rsidRPr="00AE5C56">
        <w:rPr>
          <w:rFonts w:ascii="Times New Roman" w:hAnsi="Times New Roman" w:cs="Times New Roman"/>
          <w:bCs/>
        </w:rPr>
        <w:t xml:space="preserve">AI data centers are </w:t>
      </w:r>
      <w:r w:rsidR="00D62732">
        <w:rPr>
          <w:rFonts w:ascii="Times New Roman" w:hAnsi="Times New Roman" w:cs="Times New Roman"/>
          <w:bCs/>
        </w:rPr>
        <w:t xml:space="preserve">increasingly being treated as inflexible, firm loads in </w:t>
      </w:r>
      <w:r w:rsidRPr="00AE5C56">
        <w:rPr>
          <w:rFonts w:ascii="Times New Roman" w:hAnsi="Times New Roman" w:cs="Times New Roman"/>
          <w:bCs/>
        </w:rPr>
        <w:t xml:space="preserve">U.S. </w:t>
      </w:r>
      <w:r w:rsidR="00520030">
        <w:rPr>
          <w:rFonts w:ascii="Times New Roman" w:hAnsi="Times New Roman" w:cs="Times New Roman"/>
          <w:bCs/>
        </w:rPr>
        <w:t xml:space="preserve">electricity grid </w:t>
      </w:r>
      <w:r w:rsidRPr="00AE5C56">
        <w:rPr>
          <w:rFonts w:ascii="Times New Roman" w:hAnsi="Times New Roman" w:cs="Times New Roman"/>
          <w:bCs/>
        </w:rPr>
        <w:t>resource adequacy planning</w:t>
      </w:r>
      <w:r w:rsidR="00D62732">
        <w:rPr>
          <w:rFonts w:ascii="Times New Roman" w:hAnsi="Times New Roman" w:cs="Times New Roman"/>
          <w:bCs/>
        </w:rPr>
        <w:t>, leading to</w:t>
      </w:r>
      <w:r w:rsidRPr="00AE5C56">
        <w:rPr>
          <w:rFonts w:ascii="Times New Roman" w:hAnsi="Times New Roman" w:cs="Times New Roman"/>
          <w:bCs/>
        </w:rPr>
        <w:t xml:space="preserve"> capacity procurement requirements </w:t>
      </w:r>
      <w:r w:rsidR="00D62732">
        <w:rPr>
          <w:rFonts w:ascii="Times New Roman" w:hAnsi="Times New Roman" w:cs="Times New Roman"/>
          <w:bCs/>
        </w:rPr>
        <w:t>that surpass</w:t>
      </w:r>
      <w:r w:rsidRPr="00AE5C56">
        <w:rPr>
          <w:rFonts w:ascii="Times New Roman" w:hAnsi="Times New Roman" w:cs="Times New Roman"/>
          <w:bCs/>
        </w:rPr>
        <w:t xml:space="preserve"> what the interconnection queue can </w:t>
      </w:r>
      <w:r w:rsidR="00D62732">
        <w:rPr>
          <w:rFonts w:ascii="Times New Roman" w:hAnsi="Times New Roman" w:cs="Times New Roman"/>
          <w:bCs/>
        </w:rPr>
        <w:t>actually provide</w:t>
      </w:r>
      <w:r w:rsidRPr="00AE5C56">
        <w:rPr>
          <w:rFonts w:ascii="Times New Roman" w:hAnsi="Times New Roman" w:cs="Times New Roman"/>
          <w:bCs/>
        </w:rPr>
        <w:t xml:space="preserve">. </w:t>
      </w:r>
      <w:r w:rsidR="00D62732">
        <w:rPr>
          <w:rFonts w:ascii="Times New Roman" w:hAnsi="Times New Roman" w:cs="Times New Roman"/>
          <w:bCs/>
        </w:rPr>
        <w:t>To address this, I present</w:t>
      </w:r>
      <w:r w:rsidRPr="00AE5C56">
        <w:rPr>
          <w:rFonts w:ascii="Times New Roman" w:hAnsi="Times New Roman" w:cs="Times New Roman"/>
          <w:bCs/>
        </w:rPr>
        <w:t xml:space="preserve"> an eleven-parameter framework </w:t>
      </w:r>
      <w:r w:rsidR="00D62732">
        <w:rPr>
          <w:rFonts w:ascii="Times New Roman" w:hAnsi="Times New Roman" w:cs="Times New Roman"/>
          <w:bCs/>
        </w:rPr>
        <w:t xml:space="preserve">organized </w:t>
      </w:r>
      <w:r w:rsidR="00851C78" w:rsidRPr="00AE5C56">
        <w:rPr>
          <w:rFonts w:ascii="Times New Roman" w:hAnsi="Times New Roman" w:cs="Times New Roman"/>
          <w:bCs/>
        </w:rPr>
        <w:t>along three operational axes</w:t>
      </w:r>
      <w:r w:rsidR="00851C78">
        <w:rPr>
          <w:rFonts w:ascii="Times New Roman" w:hAnsi="Times New Roman" w:cs="Times New Roman"/>
          <w:bCs/>
        </w:rPr>
        <w:t>:</w:t>
      </w:r>
      <w:r w:rsidR="00851C78" w:rsidRPr="00AE5C56">
        <w:rPr>
          <w:rFonts w:ascii="Times New Roman" w:hAnsi="Times New Roman" w:cs="Times New Roman"/>
          <w:bCs/>
        </w:rPr>
        <w:t xml:space="preserve"> spatial migration across grid regions, temporal deferral of non-interactive workloads, and dynamic voltage-frequency scaling</w:t>
      </w:r>
      <w:r w:rsidR="00D62732">
        <w:rPr>
          <w:rFonts w:ascii="Times New Roman" w:hAnsi="Times New Roman" w:cs="Times New Roman"/>
          <w:bCs/>
        </w:rPr>
        <w:t xml:space="preserve"> (DVFS).</w:t>
      </w:r>
      <w:r w:rsidR="00D62732" w:rsidRPr="00AE5C56">
        <w:rPr>
          <w:rFonts w:ascii="Times New Roman" w:hAnsi="Times New Roman" w:cs="Times New Roman"/>
          <w:bCs/>
        </w:rPr>
        <w:t xml:space="preserve"> </w:t>
      </w:r>
      <w:r w:rsidR="00D62732">
        <w:rPr>
          <w:rFonts w:ascii="Times New Roman" w:hAnsi="Times New Roman" w:cs="Times New Roman"/>
          <w:bCs/>
        </w:rPr>
        <w:t>This framework</w:t>
      </w:r>
      <w:r w:rsidR="00D62732" w:rsidRPr="00AE5C56">
        <w:rPr>
          <w:rFonts w:ascii="Times New Roman" w:hAnsi="Times New Roman" w:cs="Times New Roman"/>
          <w:bCs/>
        </w:rPr>
        <w:t xml:space="preserve"> </w:t>
      </w:r>
      <w:r w:rsidRPr="00AE5C56">
        <w:rPr>
          <w:rFonts w:ascii="Times New Roman" w:hAnsi="Times New Roman" w:cs="Times New Roman"/>
          <w:bCs/>
        </w:rPr>
        <w:t xml:space="preserve">quantifies </w:t>
      </w:r>
      <w:r w:rsidR="00D62732">
        <w:rPr>
          <w:rFonts w:ascii="Times New Roman" w:hAnsi="Times New Roman" w:cs="Times New Roman"/>
          <w:bCs/>
        </w:rPr>
        <w:t xml:space="preserve">the flexibility of </w:t>
      </w:r>
      <w:r w:rsidRPr="00AE5C56">
        <w:rPr>
          <w:rFonts w:ascii="Times New Roman" w:hAnsi="Times New Roman" w:cs="Times New Roman"/>
          <w:bCs/>
        </w:rPr>
        <w:t xml:space="preserve">AI inference </w:t>
      </w:r>
      <w:r w:rsidR="00851C78" w:rsidRPr="00AE5C56">
        <w:rPr>
          <w:rFonts w:ascii="Times New Roman" w:hAnsi="Times New Roman" w:cs="Times New Roman"/>
          <w:bCs/>
        </w:rPr>
        <w:t xml:space="preserve">in </w:t>
      </w:r>
      <w:r w:rsidR="00D62732">
        <w:rPr>
          <w:rFonts w:ascii="Times New Roman" w:hAnsi="Times New Roman" w:cs="Times New Roman"/>
          <w:bCs/>
        </w:rPr>
        <w:t>terms relevant to</w:t>
      </w:r>
      <w:r w:rsidR="00851C78" w:rsidRPr="00AE5C56">
        <w:rPr>
          <w:rFonts w:ascii="Times New Roman" w:hAnsi="Times New Roman" w:cs="Times New Roman"/>
          <w:bCs/>
        </w:rPr>
        <w:t xml:space="preserve"> capacity-accreditation </w:t>
      </w:r>
      <w:r w:rsidR="00D62732">
        <w:rPr>
          <w:rFonts w:ascii="Times New Roman" w:hAnsi="Times New Roman" w:cs="Times New Roman"/>
          <w:bCs/>
        </w:rPr>
        <w:t>for</w:t>
      </w:r>
      <w:r w:rsidR="00851C78" w:rsidRPr="00AE5C56">
        <w:rPr>
          <w:rFonts w:ascii="Times New Roman" w:hAnsi="Times New Roman" w:cs="Times New Roman"/>
          <w:bCs/>
        </w:rPr>
        <w:t xml:space="preserve"> resource adequacy planning</w:t>
      </w:r>
      <w:r w:rsidR="00851C78">
        <w:rPr>
          <w:rFonts w:ascii="Times New Roman" w:hAnsi="Times New Roman" w:cs="Times New Roman"/>
          <w:bCs/>
        </w:rPr>
        <w:t>.</w:t>
      </w:r>
      <w:r w:rsidRPr="00AE5C56">
        <w:rPr>
          <w:rFonts w:ascii="Times New Roman" w:hAnsi="Times New Roman" w:cs="Times New Roman"/>
          <w:bCs/>
        </w:rPr>
        <w:t xml:space="preserve"> </w:t>
      </w:r>
      <w:r w:rsidR="00D62732">
        <w:rPr>
          <w:rFonts w:ascii="Times New Roman" w:hAnsi="Times New Roman" w:cs="Times New Roman"/>
          <w:bCs/>
        </w:rPr>
        <w:t xml:space="preserve">Using data from </w:t>
      </w:r>
      <w:r w:rsidRPr="00AE5C56">
        <w:rPr>
          <w:rFonts w:ascii="Times New Roman" w:hAnsi="Times New Roman" w:cs="Times New Roman"/>
          <w:bCs/>
        </w:rPr>
        <w:t xml:space="preserve">four years of day-ahead pricing across five U.S. grid regions and 49.4 million production inference requests, </w:t>
      </w:r>
      <w:r w:rsidR="00D62732">
        <w:rPr>
          <w:rFonts w:ascii="Times New Roman" w:hAnsi="Times New Roman" w:cs="Times New Roman"/>
          <w:bCs/>
        </w:rPr>
        <w:t xml:space="preserve">I find that </w:t>
      </w:r>
      <w:r w:rsidRPr="00AE5C56">
        <w:rPr>
          <w:rFonts w:ascii="Times New Roman" w:hAnsi="Times New Roman" w:cs="Times New Roman"/>
          <w:bCs/>
        </w:rPr>
        <w:t xml:space="preserve">commitment depths </w:t>
      </w:r>
      <w:r w:rsidR="00D62732">
        <w:rPr>
          <w:rFonts w:ascii="Times New Roman" w:hAnsi="Times New Roman" w:cs="Times New Roman"/>
          <w:bCs/>
        </w:rPr>
        <w:t>reach</w:t>
      </w:r>
      <w:r w:rsidRPr="00AE5C56">
        <w:rPr>
          <w:rFonts w:ascii="Times New Roman" w:hAnsi="Times New Roman" w:cs="Times New Roman"/>
          <w:bCs/>
        </w:rPr>
        <w:t xml:space="preserve"> 24.6% for mixed-use facilities and 40.0% for inference-dominant facilities at </w:t>
      </w:r>
      <w:r w:rsidR="00D62732">
        <w:rPr>
          <w:rFonts w:ascii="Times New Roman" w:hAnsi="Times New Roman" w:cs="Times New Roman"/>
          <w:bCs/>
        </w:rPr>
        <w:t xml:space="preserve">the </w:t>
      </w:r>
      <w:r w:rsidRPr="00AE5C56">
        <w:rPr>
          <w:rFonts w:ascii="Times New Roman" w:hAnsi="Times New Roman" w:cs="Times New Roman"/>
          <w:bCs/>
        </w:rPr>
        <w:t xml:space="preserve">single-facility </w:t>
      </w:r>
      <w:r w:rsidR="00D62732">
        <w:rPr>
          <w:rFonts w:ascii="Times New Roman" w:hAnsi="Times New Roman" w:cs="Times New Roman"/>
          <w:bCs/>
        </w:rPr>
        <w:t>level</w:t>
      </w:r>
      <w:r w:rsidR="00520030">
        <w:rPr>
          <w:rFonts w:ascii="Times New Roman" w:hAnsi="Times New Roman" w:cs="Times New Roman"/>
          <w:bCs/>
        </w:rPr>
        <w:t>.</w:t>
      </w:r>
      <w:r w:rsidRPr="00AE5C56">
        <w:rPr>
          <w:rFonts w:ascii="Times New Roman" w:hAnsi="Times New Roman" w:cs="Times New Roman"/>
          <w:bCs/>
        </w:rPr>
        <w:t xml:space="preserve"> </w:t>
      </w:r>
      <w:r w:rsidR="00D62732">
        <w:rPr>
          <w:rFonts w:ascii="Times New Roman" w:hAnsi="Times New Roman" w:cs="Times New Roman"/>
          <w:bCs/>
        </w:rPr>
        <w:t xml:space="preserve">These values decrease </w:t>
      </w:r>
      <w:r w:rsidRPr="00AE5C56">
        <w:rPr>
          <w:rFonts w:ascii="Times New Roman" w:hAnsi="Times New Roman" w:cs="Times New Roman"/>
          <w:bCs/>
        </w:rPr>
        <w:t xml:space="preserve">only </w:t>
      </w:r>
      <w:r w:rsidR="00D62732">
        <w:rPr>
          <w:rFonts w:ascii="Times New Roman" w:hAnsi="Times New Roman" w:cs="Times New Roman"/>
          <w:bCs/>
        </w:rPr>
        <w:t>slightly</w:t>
      </w:r>
      <w:r w:rsidR="00D62732" w:rsidRPr="00AE5C56">
        <w:rPr>
          <w:rFonts w:ascii="Times New Roman" w:hAnsi="Times New Roman" w:cs="Times New Roman"/>
          <w:bCs/>
        </w:rPr>
        <w:t xml:space="preserve"> </w:t>
      </w:r>
      <w:r w:rsidRPr="00AE5C56">
        <w:rPr>
          <w:rFonts w:ascii="Times New Roman" w:hAnsi="Times New Roman" w:cs="Times New Roman"/>
          <w:bCs/>
        </w:rPr>
        <w:t xml:space="preserve">to 24.1% and 38.5% at </w:t>
      </w:r>
      <w:r w:rsidR="00D62732">
        <w:rPr>
          <w:rFonts w:ascii="Times New Roman" w:hAnsi="Times New Roman" w:cs="Times New Roman"/>
          <w:bCs/>
        </w:rPr>
        <w:t xml:space="preserve">the </w:t>
      </w:r>
      <w:r w:rsidRPr="00AE5C56">
        <w:rPr>
          <w:rFonts w:ascii="Times New Roman" w:hAnsi="Times New Roman" w:cs="Times New Roman"/>
          <w:bCs/>
        </w:rPr>
        <w:t>10-GW fleet scale</w:t>
      </w:r>
      <w:r w:rsidR="00D62732">
        <w:rPr>
          <w:rFonts w:ascii="Times New Roman" w:hAnsi="Times New Roman" w:cs="Times New Roman"/>
          <w:bCs/>
        </w:rPr>
        <w:t>, since</w:t>
      </w:r>
      <w:r w:rsidRPr="00AE5C56">
        <w:rPr>
          <w:rFonts w:ascii="Times New Roman" w:hAnsi="Times New Roman" w:cs="Times New Roman"/>
          <w:bCs/>
        </w:rPr>
        <w:t xml:space="preserve"> deferral and DVFS </w:t>
      </w:r>
      <w:r w:rsidR="00D62732">
        <w:rPr>
          <w:rFonts w:ascii="Times New Roman" w:hAnsi="Times New Roman" w:cs="Times New Roman"/>
          <w:bCs/>
        </w:rPr>
        <w:t xml:space="preserve">mechanisms </w:t>
      </w:r>
      <w:r w:rsidRPr="00AE5C56">
        <w:rPr>
          <w:rFonts w:ascii="Times New Roman" w:hAnsi="Times New Roman" w:cs="Times New Roman"/>
          <w:bCs/>
        </w:rPr>
        <w:t xml:space="preserve">contribute additively </w:t>
      </w:r>
      <w:r w:rsidR="00D62732">
        <w:rPr>
          <w:rFonts w:ascii="Times New Roman" w:hAnsi="Times New Roman" w:cs="Times New Roman"/>
          <w:bCs/>
        </w:rPr>
        <w:t>as they saturate</w:t>
      </w:r>
      <w:r w:rsidRPr="00AE5C56">
        <w:rPr>
          <w:rFonts w:ascii="Times New Roman" w:hAnsi="Times New Roman" w:cs="Times New Roman"/>
          <w:bCs/>
        </w:rPr>
        <w:t xml:space="preserve">. </w:t>
      </w:r>
      <w:r w:rsidR="0013687C">
        <w:rPr>
          <w:rFonts w:ascii="Times New Roman" w:hAnsi="Times New Roman" w:cs="Times New Roman"/>
          <w:bCs/>
        </w:rPr>
        <w:t>Finally, most</w:t>
      </w:r>
      <w:r w:rsidRPr="00AE5C56">
        <w:rPr>
          <w:rFonts w:ascii="Times New Roman" w:hAnsi="Times New Roman" w:cs="Times New Roman"/>
          <w:bCs/>
        </w:rPr>
        <w:t xml:space="preserve"> remaining uncertainties</w:t>
      </w:r>
      <w:r w:rsidR="007C5075">
        <w:rPr>
          <w:rFonts w:ascii="Times New Roman" w:hAnsi="Times New Roman" w:cs="Times New Roman"/>
          <w:bCs/>
        </w:rPr>
        <w:t xml:space="preserve"> </w:t>
      </w:r>
      <w:r w:rsidR="00425D1D">
        <w:rPr>
          <w:rFonts w:ascii="Times New Roman" w:hAnsi="Times New Roman" w:cs="Times New Roman"/>
          <w:bCs/>
        </w:rPr>
        <w:t xml:space="preserve">such as </w:t>
      </w:r>
      <w:r w:rsidRPr="00AE5C56">
        <w:rPr>
          <w:rFonts w:ascii="Times New Roman" w:hAnsi="Times New Roman" w:cs="Times New Roman"/>
          <w:bCs/>
        </w:rPr>
        <w:t>destination utilization, contractual workload pinning, and post-stress recovery coordination</w:t>
      </w:r>
      <w:r w:rsidR="00425D1D">
        <w:rPr>
          <w:rFonts w:ascii="Times New Roman" w:hAnsi="Times New Roman" w:cs="Times New Roman"/>
          <w:bCs/>
        </w:rPr>
        <w:t xml:space="preserve"> are found to be institutional challenges, not physical limitations.</w:t>
      </w:r>
      <w:r w:rsidR="001C0C7F">
        <w:rPr>
          <w:rFonts w:ascii="Times New Roman" w:hAnsi="Times New Roman" w:cs="Times New Roman"/>
          <w:bCs/>
        </w:rPr>
        <w:t xml:space="preserve"> </w:t>
      </w:r>
    </w:p>
    <w:p w14:paraId="73E0D44C" w14:textId="77777777" w:rsidR="00851C78" w:rsidRPr="001D6E1E" w:rsidRDefault="00851C78" w:rsidP="001D6E1E">
      <w:pPr>
        <w:pBdr>
          <w:bottom w:val="single" w:sz="12" w:space="1" w:color="auto"/>
        </w:pBdr>
        <w:rPr>
          <w:rFonts w:ascii="Times New Roman" w:hAnsi="Times New Roman" w:cs="Times New Roman"/>
          <w:bCs/>
        </w:rPr>
      </w:pPr>
    </w:p>
    <w:p w14:paraId="6247CCCD" w14:textId="0281001E" w:rsidR="00425D1D" w:rsidRPr="00520030" w:rsidRDefault="00425D1D" w:rsidP="001D6E1E">
      <w:pPr>
        <w:rPr>
          <w:rFonts w:ascii="Times New Roman" w:hAnsi="Times New Roman" w:cs="Times New Roman"/>
          <w:bCs/>
        </w:rPr>
      </w:pPr>
      <w:r w:rsidRPr="005D1770">
        <w:rPr>
          <w:rFonts w:ascii="Times New Roman" w:hAnsi="Times New Roman" w:cs="Times New Roman"/>
          <w:b/>
          <w:u w:val="single"/>
        </w:rPr>
        <w:t>Introduction</w:t>
      </w:r>
    </w:p>
    <w:p w14:paraId="2A8E9C19" w14:textId="1629CC46" w:rsidR="00F125CC" w:rsidRDefault="001D6E1E" w:rsidP="001D6E1E">
      <w:pPr>
        <w:rPr>
          <w:rFonts w:ascii="Times New Roman" w:hAnsi="Times New Roman" w:cs="Times New Roman"/>
          <w:bCs/>
        </w:rPr>
      </w:pPr>
      <w:r w:rsidRPr="001D6E1E">
        <w:rPr>
          <w:rFonts w:ascii="Times New Roman" w:hAnsi="Times New Roman" w:cs="Times New Roman"/>
          <w:bCs/>
        </w:rPr>
        <w:t>In PJM Interconnection</w:t>
      </w:r>
      <w:r w:rsidR="00520030">
        <w:rPr>
          <w:rStyle w:val="FootnoteReference"/>
          <w:rFonts w:ascii="Times New Roman" w:hAnsi="Times New Roman" w:cs="Times New Roman"/>
          <w:bCs/>
        </w:rPr>
        <w:footnoteReference w:id="1"/>
      </w:r>
      <w:r w:rsidRPr="001D6E1E">
        <w:rPr>
          <w:rFonts w:ascii="Times New Roman" w:hAnsi="Times New Roman" w:cs="Times New Roman"/>
          <w:bCs/>
        </w:rPr>
        <w:t xml:space="preserve"> the 2027/2028 capacity auction fell 6.6 GW short of the reliability requirement</w:t>
      </w:r>
      <w:r w:rsidR="00633130">
        <w:rPr>
          <w:rFonts w:ascii="Times New Roman" w:hAnsi="Times New Roman" w:cs="Times New Roman"/>
          <w:bCs/>
        </w:rPr>
        <w:t>[1]</w:t>
      </w:r>
      <w:r w:rsidR="00114017">
        <w:rPr>
          <w:rFonts w:ascii="Times New Roman" w:hAnsi="Times New Roman" w:cs="Times New Roman"/>
          <w:bCs/>
        </w:rPr>
        <w:t>.</w:t>
      </w:r>
      <w:r w:rsidR="00D8254E">
        <w:rPr>
          <w:rFonts w:ascii="Times New Roman" w:hAnsi="Times New Roman" w:cs="Times New Roman"/>
          <w:bCs/>
        </w:rPr>
        <w:t xml:space="preserve"> </w:t>
      </w:r>
      <w:r w:rsidR="00425D1D">
        <w:rPr>
          <w:rFonts w:ascii="Times New Roman" w:hAnsi="Times New Roman" w:cs="Times New Roman"/>
          <w:bCs/>
        </w:rPr>
        <w:t xml:space="preserve">PJM’s 2026 Long-Term Load Forecast projects large load increases </w:t>
      </w:r>
      <w:r w:rsidR="00520030">
        <w:rPr>
          <w:rFonts w:ascii="Times New Roman" w:hAnsi="Times New Roman" w:cs="Times New Roman"/>
          <w:bCs/>
        </w:rPr>
        <w:softHyphen/>
        <w:t>—</w:t>
      </w:r>
      <w:r w:rsidR="00425D1D">
        <w:rPr>
          <w:rFonts w:ascii="Times New Roman" w:hAnsi="Times New Roman" w:cs="Times New Roman"/>
          <w:bCs/>
        </w:rPr>
        <w:t xml:space="preserve"> primarily from data centers</w:t>
      </w:r>
      <w:r w:rsidR="00520030">
        <w:rPr>
          <w:rFonts w:ascii="Times New Roman" w:hAnsi="Times New Roman" w:cs="Times New Roman"/>
          <w:bCs/>
        </w:rPr>
        <w:t xml:space="preserve"> —</w:t>
      </w:r>
      <w:r w:rsidR="00425D1D">
        <w:rPr>
          <w:rFonts w:ascii="Times New Roman" w:hAnsi="Times New Roman" w:cs="Times New Roman"/>
          <w:bCs/>
        </w:rPr>
        <w:t xml:space="preserve"> totaling 33.7 GW by 2030, which accounts for nearly</w:t>
      </w:r>
      <w:r w:rsidRPr="001D6E1E">
        <w:rPr>
          <w:rFonts w:ascii="Times New Roman" w:hAnsi="Times New Roman" w:cs="Times New Roman"/>
          <w:bCs/>
        </w:rPr>
        <w:t xml:space="preserve"> all net peak demand growth</w:t>
      </w:r>
      <w:r w:rsidR="00425D1D">
        <w:rPr>
          <w:rFonts w:ascii="Times New Roman" w:hAnsi="Times New Roman" w:cs="Times New Roman"/>
          <w:bCs/>
        </w:rPr>
        <w:t xml:space="preserve"> in the region</w:t>
      </w:r>
      <w:r w:rsidR="00633130">
        <w:rPr>
          <w:rFonts w:ascii="Times New Roman" w:hAnsi="Times New Roman" w:cs="Times New Roman"/>
          <w:bCs/>
        </w:rPr>
        <w:t>[2]</w:t>
      </w:r>
      <w:r w:rsidR="00114017">
        <w:rPr>
          <w:rFonts w:ascii="Times New Roman" w:hAnsi="Times New Roman" w:cs="Times New Roman"/>
          <w:bCs/>
        </w:rPr>
        <w:t>.</w:t>
      </w:r>
      <w:r w:rsidRPr="001D6E1E">
        <w:rPr>
          <w:rFonts w:ascii="Times New Roman" w:hAnsi="Times New Roman" w:cs="Times New Roman"/>
          <w:bCs/>
        </w:rPr>
        <w:t xml:space="preserve"> </w:t>
      </w:r>
      <w:r w:rsidR="00773591">
        <w:rPr>
          <w:rFonts w:ascii="Times New Roman" w:hAnsi="Times New Roman" w:cs="Times New Roman"/>
          <w:bCs/>
        </w:rPr>
        <w:t>At the same</w:t>
      </w:r>
      <w:r w:rsidR="00520030">
        <w:rPr>
          <w:rFonts w:ascii="Times New Roman" w:hAnsi="Times New Roman" w:cs="Times New Roman"/>
          <w:bCs/>
        </w:rPr>
        <w:t xml:space="preserve"> time</w:t>
      </w:r>
      <w:r w:rsidR="00851C78">
        <w:rPr>
          <w:rFonts w:ascii="Times New Roman" w:hAnsi="Times New Roman" w:cs="Times New Roman"/>
          <w:bCs/>
        </w:rPr>
        <w:t xml:space="preserve">, </w:t>
      </w:r>
      <w:r w:rsidR="00425D1D">
        <w:rPr>
          <w:rFonts w:ascii="Times New Roman" w:hAnsi="Times New Roman" w:cs="Times New Roman"/>
          <w:bCs/>
        </w:rPr>
        <w:t xml:space="preserve">new </w:t>
      </w:r>
      <w:r w:rsidR="00851C78">
        <w:rPr>
          <w:rFonts w:ascii="Times New Roman" w:hAnsi="Times New Roman" w:cs="Times New Roman"/>
          <w:bCs/>
        </w:rPr>
        <w:t>g</w:t>
      </w:r>
      <w:r w:rsidRPr="001D6E1E">
        <w:rPr>
          <w:rFonts w:ascii="Times New Roman" w:hAnsi="Times New Roman" w:cs="Times New Roman"/>
          <w:bCs/>
        </w:rPr>
        <w:t xml:space="preserve">eneration and storage projects </w:t>
      </w:r>
      <w:r w:rsidR="00773591">
        <w:rPr>
          <w:rFonts w:ascii="Times New Roman" w:hAnsi="Times New Roman" w:cs="Times New Roman"/>
          <w:bCs/>
        </w:rPr>
        <w:t>face</w:t>
      </w:r>
      <w:r w:rsidRPr="001D6E1E">
        <w:rPr>
          <w:rFonts w:ascii="Times New Roman" w:hAnsi="Times New Roman" w:cs="Times New Roman"/>
          <w:bCs/>
        </w:rPr>
        <w:t xml:space="preserve"> median completion timelines </w:t>
      </w:r>
      <w:r w:rsidR="00425D1D">
        <w:rPr>
          <w:rFonts w:ascii="Times New Roman" w:hAnsi="Times New Roman" w:cs="Times New Roman"/>
          <w:bCs/>
        </w:rPr>
        <w:t>of over</w:t>
      </w:r>
      <w:r w:rsidR="00425D1D" w:rsidRPr="001D6E1E">
        <w:rPr>
          <w:rFonts w:ascii="Times New Roman" w:hAnsi="Times New Roman" w:cs="Times New Roman"/>
          <w:bCs/>
        </w:rPr>
        <w:t xml:space="preserve"> </w:t>
      </w:r>
      <w:r w:rsidRPr="001D6E1E">
        <w:rPr>
          <w:rFonts w:ascii="Times New Roman" w:hAnsi="Times New Roman" w:cs="Times New Roman"/>
          <w:bCs/>
        </w:rPr>
        <w:t xml:space="preserve">five years, with only 13% </w:t>
      </w:r>
      <w:r w:rsidR="00425D1D">
        <w:rPr>
          <w:rFonts w:ascii="Times New Roman" w:hAnsi="Times New Roman" w:cs="Times New Roman"/>
          <w:bCs/>
        </w:rPr>
        <w:t xml:space="preserve">of projects </w:t>
      </w:r>
      <w:r w:rsidRPr="001D6E1E">
        <w:rPr>
          <w:rFonts w:ascii="Times New Roman" w:hAnsi="Times New Roman" w:cs="Times New Roman"/>
          <w:bCs/>
        </w:rPr>
        <w:t>reaching commercial operation</w:t>
      </w:r>
      <w:r w:rsidR="00633130">
        <w:rPr>
          <w:rFonts w:ascii="Times New Roman" w:hAnsi="Times New Roman" w:cs="Times New Roman"/>
          <w:bCs/>
        </w:rPr>
        <w:t>[3]</w:t>
      </w:r>
      <w:r w:rsidR="00FA5EEA">
        <w:rPr>
          <w:rFonts w:ascii="Times New Roman" w:hAnsi="Times New Roman" w:cs="Times New Roman"/>
          <w:bCs/>
        </w:rPr>
        <w:t>.</w:t>
      </w:r>
      <w:r w:rsidRPr="001D6E1E">
        <w:rPr>
          <w:rFonts w:ascii="Times New Roman" w:hAnsi="Times New Roman" w:cs="Times New Roman"/>
          <w:bCs/>
        </w:rPr>
        <w:t xml:space="preserve"> </w:t>
      </w:r>
      <w:r w:rsidR="00FA5EEA">
        <w:rPr>
          <w:rFonts w:ascii="Times New Roman" w:hAnsi="Times New Roman" w:cs="Times New Roman"/>
          <w:bCs/>
        </w:rPr>
        <w:t>P</w:t>
      </w:r>
      <w:r w:rsidRPr="001D6E1E">
        <w:rPr>
          <w:rFonts w:ascii="Times New Roman" w:hAnsi="Times New Roman" w:cs="Times New Roman"/>
          <w:bCs/>
        </w:rPr>
        <w:t>ermitting and supply</w:t>
      </w:r>
      <w:r w:rsidR="00C20B6C">
        <w:rPr>
          <w:rFonts w:ascii="Times New Roman" w:hAnsi="Times New Roman" w:cs="Times New Roman"/>
          <w:bCs/>
        </w:rPr>
        <w:t>-chain bottlenecks</w:t>
      </w:r>
      <w:r w:rsidRPr="001D6E1E">
        <w:rPr>
          <w:rFonts w:ascii="Times New Roman" w:hAnsi="Times New Roman" w:cs="Times New Roman"/>
          <w:bCs/>
        </w:rPr>
        <w:t xml:space="preserve"> </w:t>
      </w:r>
      <w:r w:rsidR="00FA5EEA">
        <w:rPr>
          <w:rFonts w:ascii="Times New Roman" w:hAnsi="Times New Roman" w:cs="Times New Roman"/>
          <w:bCs/>
        </w:rPr>
        <w:t xml:space="preserve">remain major hurdles that </w:t>
      </w:r>
      <w:r w:rsidRPr="001D6E1E">
        <w:rPr>
          <w:rFonts w:ascii="Times New Roman" w:hAnsi="Times New Roman" w:cs="Times New Roman"/>
          <w:bCs/>
        </w:rPr>
        <w:t xml:space="preserve">cannot be </w:t>
      </w:r>
      <w:r w:rsidR="00FA5EEA">
        <w:rPr>
          <w:rFonts w:ascii="Times New Roman" w:hAnsi="Times New Roman" w:cs="Times New Roman"/>
          <w:bCs/>
        </w:rPr>
        <w:t>resolved simply by investing more capital</w:t>
      </w:r>
      <w:r w:rsidRPr="001D6E1E">
        <w:rPr>
          <w:rFonts w:ascii="Times New Roman" w:hAnsi="Times New Roman" w:cs="Times New Roman"/>
          <w:bCs/>
        </w:rPr>
        <w:t xml:space="preserve">. </w:t>
      </w:r>
    </w:p>
    <w:p w14:paraId="131E9D02" w14:textId="76AD3992" w:rsidR="00F125CC" w:rsidRDefault="00FA5EEA" w:rsidP="001D6E1E">
      <w:pPr>
        <w:rPr>
          <w:rFonts w:ascii="Times New Roman" w:hAnsi="Times New Roman" w:cs="Times New Roman"/>
          <w:bCs/>
        </w:rPr>
      </w:pPr>
      <w:r>
        <w:rPr>
          <w:rFonts w:ascii="Times New Roman" w:hAnsi="Times New Roman" w:cs="Times New Roman"/>
          <w:bCs/>
        </w:rPr>
        <w:t>Current r</w:t>
      </w:r>
      <w:r w:rsidR="00491040" w:rsidRPr="00491040">
        <w:rPr>
          <w:rFonts w:ascii="Times New Roman" w:hAnsi="Times New Roman" w:cs="Times New Roman"/>
          <w:bCs/>
        </w:rPr>
        <w:t>esource adequacy planning treats data-center load</w:t>
      </w:r>
      <w:r>
        <w:rPr>
          <w:rFonts w:ascii="Times New Roman" w:hAnsi="Times New Roman" w:cs="Times New Roman"/>
          <w:bCs/>
        </w:rPr>
        <w:t>s</w:t>
      </w:r>
      <w:r w:rsidR="00491040" w:rsidRPr="00491040">
        <w:rPr>
          <w:rFonts w:ascii="Times New Roman" w:hAnsi="Times New Roman" w:cs="Times New Roman"/>
          <w:bCs/>
        </w:rPr>
        <w:t xml:space="preserve"> as firm at each facility, </w:t>
      </w:r>
      <w:r>
        <w:rPr>
          <w:rFonts w:ascii="Times New Roman" w:hAnsi="Times New Roman" w:cs="Times New Roman"/>
          <w:bCs/>
        </w:rPr>
        <w:t xml:space="preserve">meaning every additional megawatt requires </w:t>
      </w:r>
      <w:r w:rsidR="00491040" w:rsidRPr="00491040">
        <w:rPr>
          <w:rFonts w:ascii="Times New Roman" w:hAnsi="Times New Roman" w:cs="Times New Roman"/>
          <w:bCs/>
        </w:rPr>
        <w:t xml:space="preserve">corresponding procurement of generating capacity and reserve margin. </w:t>
      </w:r>
      <w:r w:rsidR="00F125CC" w:rsidRPr="001D6E1E">
        <w:rPr>
          <w:rFonts w:ascii="Times New Roman" w:hAnsi="Times New Roman" w:cs="Times New Roman"/>
          <w:bCs/>
        </w:rPr>
        <w:t xml:space="preserve">This </w:t>
      </w:r>
      <w:r>
        <w:rPr>
          <w:rFonts w:ascii="Times New Roman" w:hAnsi="Times New Roman" w:cs="Times New Roman"/>
          <w:bCs/>
        </w:rPr>
        <w:t>practice stems from</w:t>
      </w:r>
      <w:r w:rsidRPr="001D6E1E">
        <w:rPr>
          <w:rFonts w:ascii="Times New Roman" w:hAnsi="Times New Roman" w:cs="Times New Roman"/>
          <w:bCs/>
        </w:rPr>
        <w:t xml:space="preserve"> </w:t>
      </w:r>
      <w:r w:rsidR="00727734" w:rsidRPr="00727734">
        <w:rPr>
          <w:rFonts w:ascii="Times New Roman" w:hAnsi="Times New Roman" w:cs="Times New Roman"/>
          <w:bCs/>
        </w:rPr>
        <w:t>service-level contracts t</w:t>
      </w:r>
      <w:r w:rsidR="00330F7A">
        <w:rPr>
          <w:rFonts w:ascii="Times New Roman" w:hAnsi="Times New Roman" w:cs="Times New Roman"/>
          <w:bCs/>
        </w:rPr>
        <w:t>hat</w:t>
      </w:r>
      <w:r w:rsidR="00727734" w:rsidRPr="00727734">
        <w:rPr>
          <w:rFonts w:ascii="Times New Roman" w:hAnsi="Times New Roman" w:cs="Times New Roman"/>
          <w:bCs/>
        </w:rPr>
        <w:t xml:space="preserve"> guarantee uninterrupted compute, </w:t>
      </w:r>
      <w:r w:rsidR="000D7CAA">
        <w:rPr>
          <w:rFonts w:ascii="Times New Roman" w:hAnsi="Times New Roman" w:cs="Times New Roman"/>
          <w:bCs/>
        </w:rPr>
        <w:t>demanding a consistent local</w:t>
      </w:r>
      <w:r w:rsidR="00727734" w:rsidRPr="00727734">
        <w:rPr>
          <w:rFonts w:ascii="Times New Roman" w:hAnsi="Times New Roman" w:cs="Times New Roman"/>
          <w:bCs/>
        </w:rPr>
        <w:t xml:space="preserve"> power </w:t>
      </w:r>
      <w:r w:rsidR="000D7CAA">
        <w:rPr>
          <w:rFonts w:ascii="Times New Roman" w:hAnsi="Times New Roman" w:cs="Times New Roman"/>
          <w:bCs/>
        </w:rPr>
        <w:t xml:space="preserve">supply </w:t>
      </w:r>
      <w:r w:rsidR="00727734" w:rsidRPr="00727734">
        <w:rPr>
          <w:rFonts w:ascii="Times New Roman" w:hAnsi="Times New Roman" w:cs="Times New Roman"/>
          <w:bCs/>
        </w:rPr>
        <w:t>at</w:t>
      </w:r>
      <w:r w:rsidR="000D7CAA">
        <w:rPr>
          <w:rFonts w:ascii="Times New Roman" w:hAnsi="Times New Roman" w:cs="Times New Roman"/>
          <w:bCs/>
        </w:rPr>
        <w:t xml:space="preserve"> each site</w:t>
      </w:r>
      <w:r w:rsidR="00727734" w:rsidRPr="00727734">
        <w:rPr>
          <w:rFonts w:ascii="Times New Roman" w:hAnsi="Times New Roman" w:cs="Times New Roman"/>
          <w:bCs/>
        </w:rPr>
        <w:t>.</w:t>
      </w:r>
      <w:r w:rsidR="00F125CC" w:rsidRPr="001D6E1E">
        <w:rPr>
          <w:rFonts w:ascii="Times New Roman" w:hAnsi="Times New Roman" w:cs="Times New Roman"/>
          <w:bCs/>
        </w:rPr>
        <w:t xml:space="preserve"> </w:t>
      </w:r>
      <w:r w:rsidR="000D7CAA">
        <w:rPr>
          <w:rFonts w:ascii="Times New Roman" w:hAnsi="Times New Roman" w:cs="Times New Roman"/>
          <w:bCs/>
        </w:rPr>
        <w:t>Aggregating</w:t>
      </w:r>
      <w:r w:rsidR="00F125CC" w:rsidRPr="001D6E1E">
        <w:rPr>
          <w:rFonts w:ascii="Times New Roman" w:hAnsi="Times New Roman" w:cs="Times New Roman"/>
          <w:bCs/>
        </w:rPr>
        <w:t xml:space="preserve"> these local </w:t>
      </w:r>
      <w:r w:rsidR="00F125CC" w:rsidRPr="001D6E1E">
        <w:rPr>
          <w:rFonts w:ascii="Times New Roman" w:hAnsi="Times New Roman" w:cs="Times New Roman"/>
          <w:bCs/>
        </w:rPr>
        <w:lastRenderedPageBreak/>
        <w:t xml:space="preserve">firmness </w:t>
      </w:r>
      <w:r w:rsidR="000D7CAA">
        <w:rPr>
          <w:rFonts w:ascii="Times New Roman" w:hAnsi="Times New Roman" w:cs="Times New Roman"/>
          <w:bCs/>
        </w:rPr>
        <w:t>requirements</w:t>
      </w:r>
      <w:r w:rsidR="000D7CAA" w:rsidRPr="001D6E1E">
        <w:rPr>
          <w:rFonts w:ascii="Times New Roman" w:hAnsi="Times New Roman" w:cs="Times New Roman"/>
          <w:bCs/>
        </w:rPr>
        <w:t xml:space="preserve"> </w:t>
      </w:r>
      <w:r w:rsidR="00F125CC" w:rsidRPr="001D6E1E">
        <w:rPr>
          <w:rFonts w:ascii="Times New Roman" w:hAnsi="Times New Roman" w:cs="Times New Roman"/>
          <w:bCs/>
        </w:rPr>
        <w:t>across a</w:t>
      </w:r>
      <w:r w:rsidR="000D7CAA">
        <w:rPr>
          <w:rFonts w:ascii="Times New Roman" w:hAnsi="Times New Roman" w:cs="Times New Roman"/>
          <w:bCs/>
        </w:rPr>
        <w:t>n</w:t>
      </w:r>
      <w:r w:rsidR="00F125CC" w:rsidRPr="001D6E1E">
        <w:rPr>
          <w:rFonts w:ascii="Times New Roman" w:hAnsi="Times New Roman" w:cs="Times New Roman"/>
          <w:bCs/>
        </w:rPr>
        <w:t xml:space="preserve"> </w:t>
      </w:r>
      <w:r w:rsidR="000D7CAA">
        <w:rPr>
          <w:rFonts w:ascii="Times New Roman" w:hAnsi="Times New Roman" w:cs="Times New Roman"/>
          <w:bCs/>
        </w:rPr>
        <w:t>expanding</w:t>
      </w:r>
      <w:r w:rsidR="00F125CC" w:rsidRPr="001D6E1E">
        <w:rPr>
          <w:rFonts w:ascii="Times New Roman" w:hAnsi="Times New Roman" w:cs="Times New Roman"/>
          <w:bCs/>
        </w:rPr>
        <w:t xml:space="preserve"> </w:t>
      </w:r>
      <w:r w:rsidR="000D7CAA">
        <w:rPr>
          <w:rFonts w:ascii="Times New Roman" w:hAnsi="Times New Roman" w:cs="Times New Roman"/>
          <w:bCs/>
        </w:rPr>
        <w:t xml:space="preserve">data center </w:t>
      </w:r>
      <w:r w:rsidR="00F125CC" w:rsidRPr="001D6E1E">
        <w:rPr>
          <w:rFonts w:ascii="Times New Roman" w:hAnsi="Times New Roman" w:cs="Times New Roman"/>
          <w:bCs/>
        </w:rPr>
        <w:t xml:space="preserve">fleet is </w:t>
      </w:r>
      <w:r w:rsidR="00F125CC">
        <w:rPr>
          <w:rFonts w:ascii="Times New Roman" w:hAnsi="Times New Roman" w:cs="Times New Roman"/>
          <w:bCs/>
        </w:rPr>
        <w:t>now</w:t>
      </w:r>
      <w:r w:rsidR="00F125CC" w:rsidRPr="001D6E1E">
        <w:rPr>
          <w:rFonts w:ascii="Times New Roman" w:hAnsi="Times New Roman" w:cs="Times New Roman"/>
          <w:bCs/>
        </w:rPr>
        <w:t xml:space="preserve"> </w:t>
      </w:r>
      <w:r w:rsidR="000D7CAA">
        <w:rPr>
          <w:rFonts w:ascii="Times New Roman" w:hAnsi="Times New Roman" w:cs="Times New Roman"/>
          <w:bCs/>
        </w:rPr>
        <w:t>driving</w:t>
      </w:r>
      <w:r w:rsidR="000D7CAA" w:rsidRPr="001D6E1E">
        <w:rPr>
          <w:rFonts w:ascii="Times New Roman" w:hAnsi="Times New Roman" w:cs="Times New Roman"/>
          <w:bCs/>
        </w:rPr>
        <w:t xml:space="preserve"> </w:t>
      </w:r>
      <w:r w:rsidR="00F125CC" w:rsidRPr="001D6E1E">
        <w:rPr>
          <w:rFonts w:ascii="Times New Roman" w:hAnsi="Times New Roman" w:cs="Times New Roman"/>
          <w:bCs/>
        </w:rPr>
        <w:t xml:space="preserve">system-level capacity </w:t>
      </w:r>
      <w:r w:rsidR="000D7CAA">
        <w:rPr>
          <w:rFonts w:ascii="Times New Roman" w:hAnsi="Times New Roman" w:cs="Times New Roman"/>
          <w:bCs/>
        </w:rPr>
        <w:t>needs far beyond</w:t>
      </w:r>
      <w:r w:rsidR="00F125CC" w:rsidRPr="001D6E1E">
        <w:rPr>
          <w:rFonts w:ascii="Times New Roman" w:hAnsi="Times New Roman" w:cs="Times New Roman"/>
          <w:bCs/>
        </w:rPr>
        <w:t xml:space="preserve"> what the interconnection queue can </w:t>
      </w:r>
      <w:r w:rsidR="000D7CAA">
        <w:rPr>
          <w:rFonts w:ascii="Times New Roman" w:hAnsi="Times New Roman" w:cs="Times New Roman"/>
          <w:bCs/>
        </w:rPr>
        <w:t>supply</w:t>
      </w:r>
      <w:r w:rsidR="00F125CC" w:rsidRPr="001D6E1E">
        <w:rPr>
          <w:rFonts w:ascii="Times New Roman" w:hAnsi="Times New Roman" w:cs="Times New Roman"/>
          <w:bCs/>
        </w:rPr>
        <w:t>.</w:t>
      </w:r>
    </w:p>
    <w:p w14:paraId="1FB01EEB" w14:textId="5C8E5333"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Policy research </w:t>
      </w:r>
      <w:r w:rsidR="000037C8">
        <w:rPr>
          <w:rFonts w:ascii="Times New Roman" w:hAnsi="Times New Roman" w:cs="Times New Roman"/>
          <w:bCs/>
        </w:rPr>
        <w:t>increasingly suggests</w:t>
      </w:r>
      <w:r w:rsidRPr="001D6E1E">
        <w:rPr>
          <w:rFonts w:ascii="Times New Roman" w:hAnsi="Times New Roman" w:cs="Times New Roman"/>
          <w:bCs/>
        </w:rPr>
        <w:t xml:space="preserve"> that load flexibility should be </w:t>
      </w:r>
      <w:r w:rsidR="00F125CC">
        <w:rPr>
          <w:rFonts w:ascii="Times New Roman" w:hAnsi="Times New Roman" w:cs="Times New Roman"/>
          <w:bCs/>
        </w:rPr>
        <w:t>a</w:t>
      </w:r>
      <w:r w:rsidRPr="001D6E1E">
        <w:rPr>
          <w:rFonts w:ascii="Times New Roman" w:hAnsi="Times New Roman" w:cs="Times New Roman"/>
          <w:bCs/>
        </w:rPr>
        <w:t xml:space="preserve"> </w:t>
      </w:r>
      <w:r w:rsidR="000037C8">
        <w:rPr>
          <w:rFonts w:ascii="Times New Roman" w:hAnsi="Times New Roman" w:cs="Times New Roman"/>
          <w:bCs/>
        </w:rPr>
        <w:t>key</w:t>
      </w:r>
      <w:r w:rsidR="000037C8" w:rsidRPr="001D6E1E">
        <w:rPr>
          <w:rFonts w:ascii="Times New Roman" w:hAnsi="Times New Roman" w:cs="Times New Roman"/>
          <w:bCs/>
        </w:rPr>
        <w:t xml:space="preserve"> </w:t>
      </w:r>
      <w:r w:rsidRPr="001D6E1E">
        <w:rPr>
          <w:rFonts w:ascii="Times New Roman" w:hAnsi="Times New Roman" w:cs="Times New Roman"/>
          <w:bCs/>
        </w:rPr>
        <w:t xml:space="preserve">response. </w:t>
      </w:r>
      <w:r w:rsidR="000037C8">
        <w:rPr>
          <w:rFonts w:ascii="Times New Roman" w:hAnsi="Times New Roman" w:cs="Times New Roman"/>
          <w:bCs/>
        </w:rPr>
        <w:t xml:space="preserve">For instance, the </w:t>
      </w:r>
      <w:r w:rsidR="00F125CC">
        <w:rPr>
          <w:rFonts w:ascii="Times New Roman" w:hAnsi="Times New Roman" w:cs="Times New Roman"/>
          <w:bCs/>
        </w:rPr>
        <w:t>IEA’s 2025 Energy and AI report finds that</w:t>
      </w:r>
      <w:r w:rsidR="000037C8">
        <w:rPr>
          <w:rFonts w:ascii="Times New Roman" w:hAnsi="Times New Roman" w:cs="Times New Roman"/>
          <w:bCs/>
        </w:rPr>
        <w:t xml:space="preserve"> enabling</w:t>
      </w:r>
      <w:r w:rsidR="00F125CC">
        <w:rPr>
          <w:rFonts w:ascii="Times New Roman" w:hAnsi="Times New Roman" w:cs="Times New Roman"/>
          <w:bCs/>
        </w:rPr>
        <w:t xml:space="preserve"> data-center flexibility for </w:t>
      </w:r>
      <w:r w:rsidR="000037C8">
        <w:rPr>
          <w:rFonts w:ascii="Times New Roman" w:hAnsi="Times New Roman" w:cs="Times New Roman"/>
          <w:bCs/>
        </w:rPr>
        <w:t>just</w:t>
      </w:r>
      <w:r w:rsidR="00F125CC">
        <w:rPr>
          <w:rFonts w:ascii="Times New Roman" w:hAnsi="Times New Roman" w:cs="Times New Roman"/>
          <w:bCs/>
        </w:rPr>
        <w:t xml:space="preserve"> 0.1% to 1% of annual hours would </w:t>
      </w:r>
      <w:r w:rsidR="00E53D1D">
        <w:rPr>
          <w:rFonts w:ascii="Times New Roman" w:hAnsi="Times New Roman" w:cs="Times New Roman"/>
          <w:bCs/>
        </w:rPr>
        <w:t xml:space="preserve">be enough </w:t>
      </w:r>
      <w:r w:rsidR="00F125CC">
        <w:rPr>
          <w:rFonts w:ascii="Times New Roman" w:hAnsi="Times New Roman" w:cs="Times New Roman"/>
          <w:bCs/>
        </w:rPr>
        <w:t xml:space="preserve">to integrate all projected 2030 capacity additions into </w:t>
      </w:r>
      <w:r w:rsidR="00E53D1D">
        <w:rPr>
          <w:rFonts w:ascii="Times New Roman" w:hAnsi="Times New Roman" w:cs="Times New Roman"/>
          <w:bCs/>
        </w:rPr>
        <w:t xml:space="preserve">major </w:t>
      </w:r>
      <w:r w:rsidR="00F125CC">
        <w:rPr>
          <w:rFonts w:ascii="Times New Roman" w:hAnsi="Times New Roman" w:cs="Times New Roman"/>
          <w:bCs/>
        </w:rPr>
        <w:t>electricity systems</w:t>
      </w:r>
      <w:r w:rsidR="00E53D1D">
        <w:rPr>
          <w:rFonts w:ascii="Times New Roman" w:hAnsi="Times New Roman" w:cs="Times New Roman"/>
          <w:bCs/>
        </w:rPr>
        <w:t xml:space="preserve"> across the U.S., E.U.</w:t>
      </w:r>
      <w:r w:rsidR="00CE0C0D">
        <w:rPr>
          <w:rFonts w:ascii="Times New Roman" w:hAnsi="Times New Roman" w:cs="Times New Roman"/>
          <w:bCs/>
        </w:rPr>
        <w:t>,</w:t>
      </w:r>
      <w:r w:rsidR="00E53D1D">
        <w:rPr>
          <w:rFonts w:ascii="Times New Roman" w:hAnsi="Times New Roman" w:cs="Times New Roman"/>
          <w:bCs/>
        </w:rPr>
        <w:t xml:space="preserve"> and China</w:t>
      </w:r>
      <w:r w:rsidR="00633130">
        <w:rPr>
          <w:rFonts w:ascii="Times New Roman" w:hAnsi="Times New Roman" w:cs="Times New Roman"/>
          <w:bCs/>
        </w:rPr>
        <w:t>[4]</w:t>
      </w:r>
      <w:r w:rsidR="00114017">
        <w:rPr>
          <w:rFonts w:ascii="Times New Roman" w:hAnsi="Times New Roman" w:cs="Times New Roman"/>
          <w:bCs/>
        </w:rPr>
        <w:t>.</w:t>
      </w:r>
      <w:r w:rsidR="00F125CC">
        <w:rPr>
          <w:rFonts w:ascii="Times New Roman" w:hAnsi="Times New Roman" w:cs="Times New Roman"/>
          <w:bCs/>
        </w:rPr>
        <w:t xml:space="preserve"> </w:t>
      </w:r>
      <w:r w:rsidR="00491040" w:rsidRPr="00491040">
        <w:rPr>
          <w:rFonts w:ascii="Times New Roman" w:hAnsi="Times New Roman" w:cs="Times New Roman"/>
          <w:bCs/>
        </w:rPr>
        <w:t xml:space="preserve">Recent </w:t>
      </w:r>
      <w:r w:rsidR="00E53D1D">
        <w:rPr>
          <w:rFonts w:ascii="Times New Roman" w:hAnsi="Times New Roman" w:cs="Times New Roman"/>
          <w:bCs/>
        </w:rPr>
        <w:t>studies are</w:t>
      </w:r>
      <w:r w:rsidR="00491040" w:rsidRPr="00491040">
        <w:rPr>
          <w:rFonts w:ascii="Times New Roman" w:hAnsi="Times New Roman" w:cs="Times New Roman"/>
          <w:bCs/>
        </w:rPr>
        <w:t xml:space="preserve"> challeng</w:t>
      </w:r>
      <w:r w:rsidR="00E53D1D">
        <w:rPr>
          <w:rFonts w:ascii="Times New Roman" w:hAnsi="Times New Roman" w:cs="Times New Roman"/>
          <w:bCs/>
        </w:rPr>
        <w:t>ing</w:t>
      </w:r>
      <w:r w:rsidR="00491040" w:rsidRPr="00491040">
        <w:rPr>
          <w:rFonts w:ascii="Times New Roman" w:hAnsi="Times New Roman" w:cs="Times New Roman"/>
          <w:bCs/>
        </w:rPr>
        <w:t xml:space="preserve"> the technical</w:t>
      </w:r>
      <w:r w:rsidR="00E53D1D">
        <w:rPr>
          <w:rFonts w:ascii="Times New Roman" w:hAnsi="Times New Roman" w:cs="Times New Roman"/>
          <w:bCs/>
        </w:rPr>
        <w:t xml:space="preserve"> necessity of local </w:t>
      </w:r>
      <w:r w:rsidR="00491040" w:rsidRPr="00491040">
        <w:rPr>
          <w:rFonts w:ascii="Times New Roman" w:hAnsi="Times New Roman" w:cs="Times New Roman"/>
          <w:bCs/>
        </w:rPr>
        <w:t>firmness</w:t>
      </w:r>
      <w:r w:rsidR="00E53D1D">
        <w:rPr>
          <w:rFonts w:ascii="Times New Roman" w:hAnsi="Times New Roman" w:cs="Times New Roman"/>
          <w:bCs/>
        </w:rPr>
        <w:t>, with production demonstrations at major hyperscalers highlighting</w:t>
      </w:r>
      <w:r w:rsidR="00491040" w:rsidRPr="00491040">
        <w:rPr>
          <w:rFonts w:ascii="Times New Roman" w:hAnsi="Times New Roman" w:cs="Times New Roman"/>
          <w:bCs/>
        </w:rPr>
        <w:t xml:space="preserve"> three operational mechanisms: spatial migration of inference workloads across grid regions, temporal deferral of non-interactive workloads, and dynamic voltage-frequency scaling on residual compute (</w:t>
      </w:r>
      <w:r w:rsidR="00E53D1D">
        <w:rPr>
          <w:rFonts w:ascii="Times New Roman" w:hAnsi="Times New Roman" w:cs="Times New Roman"/>
          <w:bCs/>
        </w:rPr>
        <w:t>DVFS</w:t>
      </w:r>
      <w:r w:rsidR="00491040" w:rsidRPr="00491040">
        <w:rPr>
          <w:rFonts w:ascii="Times New Roman" w:hAnsi="Times New Roman" w:cs="Times New Roman"/>
          <w:bCs/>
        </w:rPr>
        <w:t>)</w:t>
      </w:r>
      <w:r w:rsidR="00E53D1D">
        <w:rPr>
          <w:rFonts w:ascii="Times New Roman" w:hAnsi="Times New Roman" w:cs="Times New Roman"/>
          <w:bCs/>
        </w:rPr>
        <w:t xml:space="preserve"> on residual compute. The technical potential for these mechanisms is widely recognized, though studies differ in their analysis units and operational mechanisms considered.</w:t>
      </w:r>
    </w:p>
    <w:p w14:paraId="0C35E374" w14:textId="79448B17" w:rsidR="00BC3406" w:rsidRPr="00F00522" w:rsidRDefault="00E53D1D" w:rsidP="00F00522">
      <w:pPr>
        <w:rPr>
          <w:rFonts w:ascii="Times New Roman" w:hAnsi="Times New Roman" w:cs="Times New Roman"/>
          <w:bCs/>
        </w:rPr>
      </w:pPr>
      <w:r>
        <w:rPr>
          <w:rFonts w:ascii="Times New Roman" w:hAnsi="Times New Roman" w:cs="Times New Roman"/>
          <w:bCs/>
        </w:rPr>
        <w:t>In this work, I</w:t>
      </w:r>
      <w:r w:rsidR="00AE5C56" w:rsidRPr="00AE5C56">
        <w:rPr>
          <w:rFonts w:ascii="Times New Roman" w:hAnsi="Times New Roman" w:cs="Times New Roman"/>
          <w:bCs/>
        </w:rPr>
        <w:t xml:space="preserve"> develop a framework for </w:t>
      </w:r>
      <w:r>
        <w:rPr>
          <w:rFonts w:ascii="Times New Roman" w:hAnsi="Times New Roman" w:cs="Times New Roman"/>
          <w:bCs/>
        </w:rPr>
        <w:t>assessing</w:t>
      </w:r>
      <w:r w:rsidRPr="00AE5C56">
        <w:rPr>
          <w:rFonts w:ascii="Times New Roman" w:hAnsi="Times New Roman" w:cs="Times New Roman"/>
          <w:bCs/>
        </w:rPr>
        <w:t xml:space="preserve"> </w:t>
      </w:r>
      <w:r w:rsidR="00AE5C56" w:rsidRPr="00AE5C56">
        <w:rPr>
          <w:rFonts w:ascii="Times New Roman" w:hAnsi="Times New Roman" w:cs="Times New Roman"/>
          <w:bCs/>
        </w:rPr>
        <w:t xml:space="preserve">the </w:t>
      </w:r>
      <w:r>
        <w:rPr>
          <w:rFonts w:ascii="Times New Roman" w:hAnsi="Times New Roman" w:cs="Times New Roman"/>
          <w:bCs/>
        </w:rPr>
        <w:t>combined</w:t>
      </w:r>
      <w:r w:rsidR="00AE5C56" w:rsidRPr="00AE5C56">
        <w:rPr>
          <w:rFonts w:ascii="Times New Roman" w:hAnsi="Times New Roman" w:cs="Times New Roman"/>
          <w:bCs/>
        </w:rPr>
        <w:t xml:space="preserve"> operational flexibility of AI inference data centers as </w:t>
      </w:r>
      <w:r>
        <w:rPr>
          <w:rFonts w:ascii="Times New Roman" w:hAnsi="Times New Roman" w:cs="Times New Roman"/>
          <w:bCs/>
        </w:rPr>
        <w:t>resources eligible for capacity accreditation.</w:t>
      </w:r>
      <w:r w:rsidR="00AE5C56" w:rsidRPr="00AE5C56">
        <w:rPr>
          <w:rFonts w:ascii="Times New Roman" w:hAnsi="Times New Roman" w:cs="Times New Roman"/>
          <w:bCs/>
        </w:rPr>
        <w:t xml:space="preserve"> The framework </w:t>
      </w:r>
      <w:r>
        <w:rPr>
          <w:rFonts w:ascii="Times New Roman" w:hAnsi="Times New Roman" w:cs="Times New Roman"/>
          <w:bCs/>
        </w:rPr>
        <w:t>has</w:t>
      </w:r>
      <w:r w:rsidRPr="00AE5C56">
        <w:rPr>
          <w:rFonts w:ascii="Times New Roman" w:hAnsi="Times New Roman" w:cs="Times New Roman"/>
          <w:bCs/>
        </w:rPr>
        <w:t xml:space="preserve"> </w:t>
      </w:r>
      <w:r w:rsidR="00AE5C56" w:rsidRPr="00AE5C56">
        <w:rPr>
          <w:rFonts w:ascii="Times New Roman" w:hAnsi="Times New Roman" w:cs="Times New Roman"/>
          <w:bCs/>
        </w:rPr>
        <w:t xml:space="preserve">four </w:t>
      </w:r>
      <w:r>
        <w:rPr>
          <w:rFonts w:ascii="Times New Roman" w:hAnsi="Times New Roman" w:cs="Times New Roman"/>
          <w:bCs/>
        </w:rPr>
        <w:t xml:space="preserve">main </w:t>
      </w:r>
      <w:r w:rsidR="00AE5C56" w:rsidRPr="00AE5C56">
        <w:rPr>
          <w:rFonts w:ascii="Times New Roman" w:hAnsi="Times New Roman" w:cs="Times New Roman"/>
          <w:bCs/>
        </w:rPr>
        <w:t xml:space="preserve">components: </w:t>
      </w:r>
      <w:r>
        <w:rPr>
          <w:rFonts w:ascii="Times New Roman" w:hAnsi="Times New Roman" w:cs="Times New Roman"/>
          <w:bCs/>
        </w:rPr>
        <w:t xml:space="preserve">(1) </w:t>
      </w:r>
      <w:r w:rsidR="00AE5C56" w:rsidRPr="00AE5C56">
        <w:rPr>
          <w:rFonts w:ascii="Times New Roman" w:hAnsi="Times New Roman" w:cs="Times New Roman"/>
          <w:bCs/>
        </w:rPr>
        <w:t xml:space="preserve">an eleven-parameter decomposition </w:t>
      </w:r>
      <w:r>
        <w:rPr>
          <w:rFonts w:ascii="Times New Roman" w:hAnsi="Times New Roman" w:cs="Times New Roman"/>
          <w:bCs/>
        </w:rPr>
        <w:t>structured</w:t>
      </w:r>
      <w:r w:rsidRPr="00AE5C56">
        <w:rPr>
          <w:rFonts w:ascii="Times New Roman" w:hAnsi="Times New Roman" w:cs="Times New Roman"/>
          <w:bCs/>
        </w:rPr>
        <w:t xml:space="preserve"> </w:t>
      </w:r>
      <w:r w:rsidR="00AE5C56" w:rsidRPr="00AE5C56">
        <w:rPr>
          <w:rFonts w:ascii="Times New Roman" w:hAnsi="Times New Roman" w:cs="Times New Roman"/>
          <w:bCs/>
        </w:rPr>
        <w:t xml:space="preserve">around the three </w:t>
      </w:r>
      <w:r>
        <w:rPr>
          <w:rFonts w:ascii="Times New Roman" w:hAnsi="Times New Roman" w:cs="Times New Roman"/>
          <w:bCs/>
        </w:rPr>
        <w:t xml:space="preserve">identified </w:t>
      </w:r>
      <w:r w:rsidR="00AE5C56" w:rsidRPr="00AE5C56">
        <w:rPr>
          <w:rFonts w:ascii="Times New Roman" w:hAnsi="Times New Roman" w:cs="Times New Roman"/>
          <w:bCs/>
        </w:rPr>
        <w:t>operational mechanisms;</w:t>
      </w:r>
      <w:r>
        <w:rPr>
          <w:rFonts w:ascii="Times New Roman" w:hAnsi="Times New Roman" w:cs="Times New Roman"/>
          <w:bCs/>
        </w:rPr>
        <w:t xml:space="preserve"> (2)</w:t>
      </w:r>
      <w:r w:rsidR="00AE5C56" w:rsidRPr="00AE5C56">
        <w:rPr>
          <w:rFonts w:ascii="Times New Roman" w:hAnsi="Times New Roman" w:cs="Times New Roman"/>
          <w:bCs/>
        </w:rPr>
        <w:t xml:space="preserve"> empirical</w:t>
      </w:r>
      <w:r w:rsidR="00790355">
        <w:rPr>
          <w:rFonts w:ascii="Times New Roman" w:hAnsi="Times New Roman" w:cs="Times New Roman"/>
          <w:bCs/>
        </w:rPr>
        <w:t xml:space="preserve"> analysis of</w:t>
      </w:r>
      <w:r w:rsidR="00AE5C56" w:rsidRPr="00AE5C56">
        <w:rPr>
          <w:rFonts w:ascii="Times New Roman" w:hAnsi="Times New Roman" w:cs="Times New Roman"/>
          <w:bCs/>
        </w:rPr>
        <w:t xml:space="preserve"> stress-decorrelation using four years of day-ahead locational marginal pricing </w:t>
      </w:r>
      <w:r w:rsidR="00790355">
        <w:rPr>
          <w:rFonts w:ascii="Times New Roman" w:hAnsi="Times New Roman" w:cs="Times New Roman"/>
          <w:bCs/>
        </w:rPr>
        <w:t xml:space="preserve">data </w:t>
      </w:r>
      <w:r w:rsidR="00AE5C56" w:rsidRPr="00AE5C56">
        <w:rPr>
          <w:rFonts w:ascii="Times New Roman" w:hAnsi="Times New Roman" w:cs="Times New Roman"/>
          <w:bCs/>
        </w:rPr>
        <w:t xml:space="preserve">across five U.S. grid regions; </w:t>
      </w:r>
      <w:r w:rsidR="00790355">
        <w:rPr>
          <w:rFonts w:ascii="Times New Roman" w:hAnsi="Times New Roman" w:cs="Times New Roman"/>
          <w:bCs/>
        </w:rPr>
        <w:t>(3)</w:t>
      </w:r>
      <w:r w:rsidR="00AE5C56" w:rsidRPr="00AE5C56">
        <w:rPr>
          <w:rFonts w:ascii="Times New Roman" w:hAnsi="Times New Roman" w:cs="Times New Roman"/>
          <w:bCs/>
        </w:rPr>
        <w:t xml:space="preserve"> workload characterization </w:t>
      </w:r>
      <w:r w:rsidR="00790355">
        <w:rPr>
          <w:rFonts w:ascii="Times New Roman" w:hAnsi="Times New Roman" w:cs="Times New Roman"/>
          <w:bCs/>
        </w:rPr>
        <w:t>based on</w:t>
      </w:r>
      <w:r w:rsidR="00AE5C56" w:rsidRPr="00AE5C56">
        <w:rPr>
          <w:rFonts w:ascii="Times New Roman" w:hAnsi="Times New Roman" w:cs="Times New Roman"/>
          <w:bCs/>
        </w:rPr>
        <w:t xml:space="preserve"> 49.4 million production inference requests; and </w:t>
      </w:r>
      <w:r w:rsidR="00790355">
        <w:rPr>
          <w:rFonts w:ascii="Times New Roman" w:hAnsi="Times New Roman" w:cs="Times New Roman"/>
          <w:bCs/>
        </w:rPr>
        <w:t xml:space="preserve">(4) </w:t>
      </w:r>
      <w:r w:rsidR="00AE5C56" w:rsidRPr="00AE5C56">
        <w:rPr>
          <w:rFonts w:ascii="Times New Roman" w:hAnsi="Times New Roman" w:cs="Times New Roman"/>
          <w:bCs/>
        </w:rPr>
        <w:t xml:space="preserve">a conditional Monte Carlo simulation </w:t>
      </w:r>
      <w:r w:rsidR="00790355">
        <w:rPr>
          <w:rFonts w:ascii="Times New Roman" w:hAnsi="Times New Roman" w:cs="Times New Roman"/>
          <w:bCs/>
        </w:rPr>
        <w:t>leveraging</w:t>
      </w:r>
      <w:r w:rsidR="00AE5C56" w:rsidRPr="00AE5C56">
        <w:rPr>
          <w:rFonts w:ascii="Times New Roman" w:hAnsi="Times New Roman" w:cs="Times New Roman"/>
          <w:bCs/>
        </w:rPr>
        <w:t xml:space="preserve"> observed per-hour grid states. </w:t>
      </w:r>
      <w:r w:rsidR="00790355">
        <w:rPr>
          <w:rFonts w:ascii="Times New Roman" w:hAnsi="Times New Roman" w:cs="Times New Roman"/>
          <w:bCs/>
        </w:rPr>
        <w:t>My results show</w:t>
      </w:r>
      <w:r w:rsidR="00AE5C56" w:rsidRPr="00AE5C56">
        <w:rPr>
          <w:rFonts w:ascii="Times New Roman" w:hAnsi="Times New Roman" w:cs="Times New Roman"/>
          <w:bCs/>
        </w:rPr>
        <w:t xml:space="preserve"> that commitment depth</w:t>
      </w:r>
      <w:r w:rsidR="00372E1B">
        <w:rPr>
          <w:rFonts w:ascii="Times New Roman" w:hAnsi="Times New Roman" w:cs="Times New Roman"/>
          <w:bCs/>
        </w:rPr>
        <w:t xml:space="preserve"> </w:t>
      </w:r>
      <w:r w:rsidR="00790355">
        <w:rPr>
          <w:rFonts w:ascii="Times New Roman" w:hAnsi="Times New Roman" w:cs="Times New Roman"/>
          <w:bCs/>
        </w:rPr>
        <w:t>varies</w:t>
      </w:r>
      <w:r w:rsidR="00790355" w:rsidRPr="00AE5C56">
        <w:rPr>
          <w:rFonts w:ascii="Times New Roman" w:hAnsi="Times New Roman" w:cs="Times New Roman"/>
          <w:bCs/>
        </w:rPr>
        <w:t xml:space="preserve"> </w:t>
      </w:r>
      <w:r w:rsidR="00AE5C56" w:rsidRPr="00AE5C56">
        <w:rPr>
          <w:rFonts w:ascii="Times New Roman" w:hAnsi="Times New Roman" w:cs="Times New Roman"/>
          <w:bCs/>
        </w:rPr>
        <w:t xml:space="preserve">from 24% to 40% depending on facility </w:t>
      </w:r>
      <w:r w:rsidR="00790355">
        <w:rPr>
          <w:rFonts w:ascii="Times New Roman" w:hAnsi="Times New Roman" w:cs="Times New Roman"/>
          <w:bCs/>
        </w:rPr>
        <w:t>scale</w:t>
      </w:r>
      <w:r w:rsidR="00AE5C56" w:rsidRPr="00AE5C56">
        <w:rPr>
          <w:rFonts w:ascii="Times New Roman" w:hAnsi="Times New Roman" w:cs="Times New Roman"/>
          <w:bCs/>
        </w:rPr>
        <w:t xml:space="preserve">, declines only </w:t>
      </w:r>
      <w:r w:rsidR="00790355">
        <w:rPr>
          <w:rFonts w:ascii="Times New Roman" w:hAnsi="Times New Roman" w:cs="Times New Roman"/>
          <w:bCs/>
        </w:rPr>
        <w:t>slightly</w:t>
      </w:r>
      <w:r w:rsidR="00790355" w:rsidRPr="00AE5C56">
        <w:rPr>
          <w:rFonts w:ascii="Times New Roman" w:hAnsi="Times New Roman" w:cs="Times New Roman"/>
          <w:bCs/>
        </w:rPr>
        <w:t xml:space="preserve"> </w:t>
      </w:r>
      <w:r w:rsidR="00AE5C56" w:rsidRPr="00AE5C56">
        <w:rPr>
          <w:rFonts w:ascii="Times New Roman" w:hAnsi="Times New Roman" w:cs="Times New Roman"/>
          <w:bCs/>
        </w:rPr>
        <w:t xml:space="preserve">with </w:t>
      </w:r>
      <w:r w:rsidR="00790355">
        <w:rPr>
          <w:rFonts w:ascii="Times New Roman" w:hAnsi="Times New Roman" w:cs="Times New Roman"/>
          <w:bCs/>
        </w:rPr>
        <w:t xml:space="preserve">increased </w:t>
      </w:r>
      <w:r w:rsidR="00AE5C56" w:rsidRPr="00AE5C56">
        <w:rPr>
          <w:rFonts w:ascii="Times New Roman" w:hAnsi="Times New Roman" w:cs="Times New Roman"/>
          <w:bCs/>
        </w:rPr>
        <w:t xml:space="preserve">fleet size, and that the </w:t>
      </w:r>
      <w:r w:rsidR="00790355">
        <w:rPr>
          <w:rFonts w:ascii="Times New Roman" w:hAnsi="Times New Roman" w:cs="Times New Roman"/>
          <w:bCs/>
        </w:rPr>
        <w:t>most significant</w:t>
      </w:r>
      <w:r w:rsidR="00790355" w:rsidRPr="00AE5C56">
        <w:rPr>
          <w:rFonts w:ascii="Times New Roman" w:hAnsi="Times New Roman" w:cs="Times New Roman"/>
          <w:bCs/>
        </w:rPr>
        <w:t xml:space="preserve"> </w:t>
      </w:r>
      <w:r w:rsidR="00AE5C56" w:rsidRPr="00AE5C56">
        <w:rPr>
          <w:rFonts w:ascii="Times New Roman" w:hAnsi="Times New Roman" w:cs="Times New Roman"/>
          <w:bCs/>
        </w:rPr>
        <w:t>constraints on grid value are</w:t>
      </w:r>
      <w:r w:rsidR="00790355">
        <w:rPr>
          <w:rFonts w:ascii="Times New Roman" w:hAnsi="Times New Roman" w:cs="Times New Roman"/>
          <w:bCs/>
        </w:rPr>
        <w:t xml:space="preserve"> driven by</w:t>
      </w:r>
      <w:r w:rsidR="00AE5C56" w:rsidRPr="00AE5C56">
        <w:rPr>
          <w:rFonts w:ascii="Times New Roman" w:hAnsi="Times New Roman" w:cs="Times New Roman"/>
          <w:bCs/>
        </w:rPr>
        <w:t xml:space="preserve"> institutional </w:t>
      </w:r>
      <w:r w:rsidR="00790355">
        <w:rPr>
          <w:rFonts w:ascii="Times New Roman" w:hAnsi="Times New Roman" w:cs="Times New Roman"/>
          <w:bCs/>
        </w:rPr>
        <w:t>decisions, not</w:t>
      </w:r>
      <w:r w:rsidR="00AE5C56" w:rsidRPr="00AE5C56">
        <w:rPr>
          <w:rFonts w:ascii="Times New Roman" w:hAnsi="Times New Roman" w:cs="Times New Roman"/>
          <w:bCs/>
        </w:rPr>
        <w:t xml:space="preserve"> physical </w:t>
      </w:r>
      <w:r w:rsidR="00790355">
        <w:rPr>
          <w:rFonts w:ascii="Times New Roman" w:hAnsi="Times New Roman" w:cs="Times New Roman"/>
          <w:bCs/>
        </w:rPr>
        <w:t>limitations</w:t>
      </w:r>
      <w:r w:rsidR="00AE5C56" w:rsidRPr="00AE5C56">
        <w:rPr>
          <w:rFonts w:ascii="Times New Roman" w:hAnsi="Times New Roman" w:cs="Times New Roman"/>
          <w:bCs/>
        </w:rPr>
        <w:t>.</w:t>
      </w:r>
    </w:p>
    <w:p w14:paraId="4C4E1C7D" w14:textId="285389C6" w:rsidR="00BC4F32" w:rsidRDefault="001D6E1E" w:rsidP="00BC4F32">
      <w:pPr>
        <w:rPr>
          <w:rFonts w:ascii="Times New Roman" w:hAnsi="Times New Roman" w:cs="Times New Roman"/>
          <w:bCs/>
          <w:sz w:val="32"/>
          <w:szCs w:val="32"/>
        </w:rPr>
      </w:pPr>
      <w:r w:rsidRPr="005D1770">
        <w:rPr>
          <w:rFonts w:ascii="Times New Roman" w:hAnsi="Times New Roman" w:cs="Times New Roman"/>
          <w:b/>
        </w:rPr>
        <w:t xml:space="preserve">Framework: Decomposing </w:t>
      </w:r>
      <w:r w:rsidR="00520030">
        <w:rPr>
          <w:rFonts w:ascii="Times New Roman" w:hAnsi="Times New Roman" w:cs="Times New Roman"/>
          <w:b/>
        </w:rPr>
        <w:t>Combined</w:t>
      </w:r>
      <w:r w:rsidR="00520030" w:rsidRPr="005D1770">
        <w:rPr>
          <w:rFonts w:ascii="Times New Roman" w:hAnsi="Times New Roman" w:cs="Times New Roman"/>
          <w:b/>
        </w:rPr>
        <w:t xml:space="preserve"> </w:t>
      </w:r>
      <w:r w:rsidR="00520030">
        <w:rPr>
          <w:rFonts w:ascii="Times New Roman" w:hAnsi="Times New Roman" w:cs="Times New Roman"/>
          <w:b/>
        </w:rPr>
        <w:t>O</w:t>
      </w:r>
      <w:r w:rsidR="00520030" w:rsidRPr="005D1770">
        <w:rPr>
          <w:rFonts w:ascii="Times New Roman" w:hAnsi="Times New Roman" w:cs="Times New Roman"/>
          <w:b/>
        </w:rPr>
        <w:t xml:space="preserve">perational </w:t>
      </w:r>
      <w:r w:rsidR="00520030">
        <w:rPr>
          <w:rFonts w:ascii="Times New Roman" w:hAnsi="Times New Roman" w:cs="Times New Roman"/>
          <w:b/>
        </w:rPr>
        <w:t>F</w:t>
      </w:r>
      <w:r w:rsidR="00520030" w:rsidRPr="005D1770">
        <w:rPr>
          <w:rFonts w:ascii="Times New Roman" w:hAnsi="Times New Roman" w:cs="Times New Roman"/>
          <w:b/>
        </w:rPr>
        <w:t>lexibility</w:t>
      </w:r>
    </w:p>
    <w:p w14:paraId="07EF7B6F" w14:textId="1C68EF84" w:rsidR="0097330A" w:rsidRPr="00A36ECE" w:rsidRDefault="009714C3" w:rsidP="001D6E1E">
      <w:pPr>
        <w:rPr>
          <w:rFonts w:ascii="Times New Roman" w:hAnsi="Times New Roman" w:cs="Times New Roman"/>
          <w:bCs/>
        </w:rPr>
      </w:pPr>
      <w:r w:rsidRPr="009714C3">
        <w:rPr>
          <w:rFonts w:ascii="Times New Roman" w:hAnsi="Times New Roman" w:cs="Times New Roman"/>
          <w:bCs/>
        </w:rPr>
        <w:t>Production demonstrations at Microsoft</w:t>
      </w:r>
      <w:r w:rsidR="00633130">
        <w:rPr>
          <w:rFonts w:ascii="Times New Roman" w:hAnsi="Times New Roman" w:cs="Times New Roman"/>
          <w:bCs/>
        </w:rPr>
        <w:t>[5]</w:t>
      </w:r>
      <w:r w:rsidRPr="009714C3">
        <w:rPr>
          <w:rFonts w:ascii="Times New Roman" w:hAnsi="Times New Roman" w:cs="Times New Roman"/>
          <w:bCs/>
        </w:rPr>
        <w:t>, Meta</w:t>
      </w:r>
      <w:r w:rsidR="00633130">
        <w:rPr>
          <w:rFonts w:ascii="Times New Roman" w:hAnsi="Times New Roman" w:cs="Times New Roman"/>
          <w:bCs/>
        </w:rPr>
        <w:t>[6]</w:t>
      </w:r>
      <w:r w:rsidRPr="009714C3">
        <w:rPr>
          <w:rFonts w:ascii="Times New Roman" w:hAnsi="Times New Roman" w:cs="Times New Roman"/>
          <w:bCs/>
        </w:rPr>
        <w:t>, Google</w:t>
      </w:r>
      <w:r w:rsidR="00633130">
        <w:rPr>
          <w:rFonts w:ascii="Times New Roman" w:hAnsi="Times New Roman" w:cs="Times New Roman"/>
          <w:bCs/>
        </w:rPr>
        <w:t>[7]</w:t>
      </w:r>
      <w:r w:rsidRPr="009714C3">
        <w:rPr>
          <w:rFonts w:ascii="Times New Roman" w:hAnsi="Times New Roman" w:cs="Times New Roman"/>
          <w:bCs/>
        </w:rPr>
        <w:t>, and Oracl</w:t>
      </w:r>
      <w:r w:rsidR="00A36ECE">
        <w:rPr>
          <w:rFonts w:ascii="Times New Roman" w:hAnsi="Times New Roman" w:cs="Times New Roman"/>
          <w:bCs/>
        </w:rPr>
        <w:t>e[8]</w:t>
      </w:r>
      <w:r w:rsidRPr="009714C3">
        <w:rPr>
          <w:rFonts w:ascii="Times New Roman" w:hAnsi="Times New Roman" w:cs="Times New Roman"/>
          <w:bCs/>
        </w:rPr>
        <w:t xml:space="preserve"> </w:t>
      </w:r>
      <w:r w:rsidR="003C2D3C">
        <w:rPr>
          <w:rFonts w:ascii="Times New Roman" w:hAnsi="Times New Roman" w:cs="Times New Roman"/>
          <w:bCs/>
        </w:rPr>
        <w:t>have validated</w:t>
      </w:r>
      <w:r w:rsidR="003C2D3C" w:rsidRPr="009714C3">
        <w:rPr>
          <w:rFonts w:ascii="Times New Roman" w:hAnsi="Times New Roman" w:cs="Times New Roman"/>
          <w:bCs/>
        </w:rPr>
        <w:t xml:space="preserve"> </w:t>
      </w:r>
      <w:r w:rsidRPr="009714C3">
        <w:rPr>
          <w:rFonts w:ascii="Times New Roman" w:hAnsi="Times New Roman" w:cs="Times New Roman"/>
          <w:bCs/>
        </w:rPr>
        <w:t>all three flexibility mechanisms at hyperscaler scale</w:t>
      </w:r>
      <w:r w:rsidR="003C2D3C">
        <w:rPr>
          <w:rFonts w:ascii="Times New Roman" w:hAnsi="Times New Roman" w:cs="Times New Roman"/>
          <w:bCs/>
        </w:rPr>
        <w:t>. These include</w:t>
      </w:r>
      <w:r w:rsidRPr="009714C3">
        <w:rPr>
          <w:rFonts w:ascii="Times New Roman" w:hAnsi="Times New Roman" w:cs="Times New Roman"/>
          <w:bCs/>
        </w:rPr>
        <w:t xml:space="preserve"> datacenter-wide power management with millisecond</w:t>
      </w:r>
      <w:r w:rsidR="003C2D3C">
        <w:rPr>
          <w:rFonts w:ascii="Times New Roman" w:hAnsi="Times New Roman" w:cs="Times New Roman"/>
          <w:bCs/>
        </w:rPr>
        <w:t>-level</w:t>
      </w:r>
      <w:r w:rsidRPr="009714C3">
        <w:rPr>
          <w:rFonts w:ascii="Times New Roman" w:hAnsi="Times New Roman" w:cs="Times New Roman"/>
          <w:bCs/>
        </w:rPr>
        <w:t xml:space="preserve"> control</w:t>
      </w:r>
      <w:r w:rsidR="003C2D3C">
        <w:rPr>
          <w:rFonts w:ascii="Times New Roman" w:hAnsi="Times New Roman" w:cs="Times New Roman"/>
          <w:bCs/>
        </w:rPr>
        <w:t>,</w:t>
      </w:r>
      <w:r w:rsidRPr="009714C3">
        <w:rPr>
          <w:rFonts w:ascii="Times New Roman" w:hAnsi="Times New Roman" w:cs="Times New Roman"/>
          <w:bCs/>
        </w:rPr>
        <w:t xml:space="preserve"> phase-disaggregated LLM inference</w:t>
      </w:r>
      <w:r w:rsidR="003C2D3C">
        <w:rPr>
          <w:rFonts w:ascii="Times New Roman" w:hAnsi="Times New Roman" w:cs="Times New Roman"/>
          <w:bCs/>
        </w:rPr>
        <w:t xml:space="preserve"> within facilities,</w:t>
      </w:r>
      <w:r w:rsidRPr="009714C3">
        <w:rPr>
          <w:rFonts w:ascii="Times New Roman" w:hAnsi="Times New Roman" w:cs="Times New Roman"/>
          <w:bCs/>
        </w:rPr>
        <w:t xml:space="preserve"> and</w:t>
      </w:r>
      <w:r w:rsidR="003C2D3C">
        <w:rPr>
          <w:rFonts w:ascii="Times New Roman" w:hAnsi="Times New Roman" w:cs="Times New Roman"/>
          <w:bCs/>
        </w:rPr>
        <w:t xml:space="preserve"> a</w:t>
      </w:r>
      <w:r w:rsidRPr="009714C3">
        <w:rPr>
          <w:rFonts w:ascii="Times New Roman" w:hAnsi="Times New Roman" w:cs="Times New Roman"/>
          <w:bCs/>
        </w:rPr>
        <w:t xml:space="preserve"> 25% sustained </w:t>
      </w:r>
      <w:r w:rsidR="003C2D3C">
        <w:rPr>
          <w:rFonts w:ascii="Times New Roman" w:hAnsi="Times New Roman" w:cs="Times New Roman"/>
          <w:bCs/>
        </w:rPr>
        <w:t xml:space="preserve">reduction in </w:t>
      </w:r>
      <w:r w:rsidRPr="009714C3">
        <w:rPr>
          <w:rFonts w:ascii="Times New Roman" w:hAnsi="Times New Roman" w:cs="Times New Roman"/>
          <w:bCs/>
        </w:rPr>
        <w:t>cluster-level peak</w:t>
      </w:r>
      <w:r w:rsidR="00372E1B">
        <w:rPr>
          <w:rFonts w:ascii="Times New Roman" w:hAnsi="Times New Roman" w:cs="Times New Roman"/>
          <w:bCs/>
        </w:rPr>
        <w:t xml:space="preserve"> </w:t>
      </w:r>
      <w:r w:rsidRPr="009714C3">
        <w:rPr>
          <w:rFonts w:ascii="Times New Roman" w:hAnsi="Times New Roman" w:cs="Times New Roman"/>
          <w:bCs/>
        </w:rPr>
        <w:t>power over multi-hour</w:t>
      </w:r>
      <w:r w:rsidR="003C2D3C">
        <w:rPr>
          <w:rFonts w:ascii="Times New Roman" w:hAnsi="Times New Roman" w:cs="Times New Roman"/>
          <w:bCs/>
        </w:rPr>
        <w:t xml:space="preserve"> periods without violating service level agreements (SLAs)</w:t>
      </w:r>
      <w:r w:rsidRPr="009714C3">
        <w:rPr>
          <w:rFonts w:ascii="Times New Roman" w:hAnsi="Times New Roman" w:cs="Times New Roman"/>
          <w:bCs/>
        </w:rPr>
        <w:t xml:space="preserve">. </w:t>
      </w:r>
      <w:r w:rsidR="003C2D3C">
        <w:rPr>
          <w:rFonts w:ascii="Times New Roman" w:hAnsi="Times New Roman" w:cs="Times New Roman"/>
          <w:bCs/>
        </w:rPr>
        <w:t>However, while the</w:t>
      </w:r>
      <w:r w:rsidRPr="009714C3">
        <w:rPr>
          <w:rFonts w:ascii="Times New Roman" w:hAnsi="Times New Roman" w:cs="Times New Roman"/>
          <w:bCs/>
        </w:rPr>
        <w:t xml:space="preserve"> systems literature </w:t>
      </w:r>
      <w:r w:rsidR="003C2D3C">
        <w:rPr>
          <w:rFonts w:ascii="Times New Roman" w:hAnsi="Times New Roman" w:cs="Times New Roman"/>
          <w:bCs/>
        </w:rPr>
        <w:t xml:space="preserve">established </w:t>
      </w:r>
      <w:r w:rsidRPr="009714C3">
        <w:rPr>
          <w:rFonts w:ascii="Times New Roman" w:hAnsi="Times New Roman" w:cs="Times New Roman"/>
          <w:bCs/>
        </w:rPr>
        <w:t>operational flexibility</w:t>
      </w:r>
      <w:r w:rsidR="003C2D3C">
        <w:rPr>
          <w:rFonts w:ascii="Times New Roman" w:hAnsi="Times New Roman" w:cs="Times New Roman"/>
          <w:bCs/>
        </w:rPr>
        <w:t>, it has not yet translated this flexibility into the</w:t>
      </w:r>
      <w:r w:rsidRPr="009714C3">
        <w:rPr>
          <w:rFonts w:ascii="Times New Roman" w:hAnsi="Times New Roman" w:cs="Times New Roman"/>
          <w:bCs/>
        </w:rPr>
        <w:t xml:space="preserve"> capacity-accr</w:t>
      </w:r>
      <w:r w:rsidRPr="00A36ECE">
        <w:rPr>
          <w:rFonts w:ascii="Times New Roman" w:hAnsi="Times New Roman" w:cs="Times New Roman"/>
          <w:bCs/>
        </w:rPr>
        <w:t xml:space="preserve">editation </w:t>
      </w:r>
      <w:r w:rsidR="003C2D3C">
        <w:rPr>
          <w:rFonts w:ascii="Times New Roman" w:hAnsi="Times New Roman" w:cs="Times New Roman"/>
          <w:bCs/>
        </w:rPr>
        <w:t xml:space="preserve">metrics required by </w:t>
      </w:r>
      <w:r w:rsidRPr="00A36ECE">
        <w:rPr>
          <w:rFonts w:ascii="Times New Roman" w:hAnsi="Times New Roman" w:cs="Times New Roman"/>
          <w:bCs/>
        </w:rPr>
        <w:t>resource adequacy planning and capacity markets.</w:t>
      </w:r>
    </w:p>
    <w:p w14:paraId="13CE1B42" w14:textId="42B13A83" w:rsidR="001D6E1E" w:rsidRPr="001D6E1E" w:rsidRDefault="003C2D3C" w:rsidP="001D6E1E">
      <w:pPr>
        <w:rPr>
          <w:rFonts w:ascii="Times New Roman" w:hAnsi="Times New Roman" w:cs="Times New Roman"/>
          <w:bCs/>
        </w:rPr>
      </w:pPr>
      <w:r>
        <w:rPr>
          <w:rFonts w:ascii="Times New Roman" w:hAnsi="Times New Roman" w:cs="Times New Roman"/>
          <w:bCs/>
        </w:rPr>
        <w:t>My</w:t>
      </w:r>
      <w:r w:rsidRPr="00A36ECE">
        <w:rPr>
          <w:rFonts w:ascii="Times New Roman" w:hAnsi="Times New Roman" w:cs="Times New Roman"/>
          <w:bCs/>
        </w:rPr>
        <w:t xml:space="preserve"> </w:t>
      </w:r>
      <w:r w:rsidR="001D6E1E" w:rsidRPr="00A36ECE">
        <w:rPr>
          <w:rFonts w:ascii="Times New Roman" w:hAnsi="Times New Roman" w:cs="Times New Roman"/>
          <w:bCs/>
        </w:rPr>
        <w:t xml:space="preserve">framework </w:t>
      </w:r>
      <w:r>
        <w:rPr>
          <w:rFonts w:ascii="Times New Roman" w:hAnsi="Times New Roman" w:cs="Times New Roman"/>
          <w:bCs/>
        </w:rPr>
        <w:t>addresses</w:t>
      </w:r>
      <w:r w:rsidRPr="00A36ECE">
        <w:rPr>
          <w:rFonts w:ascii="Times New Roman" w:hAnsi="Times New Roman" w:cs="Times New Roman"/>
          <w:bCs/>
        </w:rPr>
        <w:t xml:space="preserve"> </w:t>
      </w:r>
      <w:r w:rsidR="00C20B6C" w:rsidRPr="00A36ECE">
        <w:rPr>
          <w:rFonts w:ascii="Times New Roman" w:hAnsi="Times New Roman" w:cs="Times New Roman"/>
          <w:bCs/>
        </w:rPr>
        <w:t xml:space="preserve">the </w:t>
      </w:r>
      <w:r>
        <w:rPr>
          <w:rFonts w:ascii="Times New Roman" w:hAnsi="Times New Roman" w:cs="Times New Roman"/>
          <w:bCs/>
        </w:rPr>
        <w:t xml:space="preserve">gap by decomposing the </w:t>
      </w:r>
      <w:r w:rsidR="00C20B6C" w:rsidRPr="00A36ECE">
        <w:rPr>
          <w:rFonts w:ascii="Times New Roman" w:hAnsi="Times New Roman" w:cs="Times New Roman"/>
          <w:bCs/>
        </w:rPr>
        <w:t>conditions under which nameplate inference load</w:t>
      </w:r>
      <w:r>
        <w:rPr>
          <w:rFonts w:ascii="Times New Roman" w:hAnsi="Times New Roman" w:cs="Times New Roman"/>
          <w:bCs/>
        </w:rPr>
        <w:t xml:space="preserve"> can </w:t>
      </w:r>
      <w:r w:rsidR="00415262">
        <w:rPr>
          <w:rFonts w:ascii="Times New Roman" w:hAnsi="Times New Roman" w:cs="Times New Roman"/>
          <w:bCs/>
        </w:rPr>
        <w:t>deliver</w:t>
      </w:r>
      <w:r w:rsidR="00C20B6C" w:rsidRPr="00A36ECE">
        <w:rPr>
          <w:rFonts w:ascii="Times New Roman" w:hAnsi="Times New Roman" w:cs="Times New Roman"/>
          <w:bCs/>
        </w:rPr>
        <w:t xml:space="preserve"> accreditable resource adequacy value, </w:t>
      </w:r>
      <w:r w:rsidR="00415262">
        <w:rPr>
          <w:rFonts w:ascii="Times New Roman" w:hAnsi="Times New Roman" w:cs="Times New Roman"/>
          <w:bCs/>
        </w:rPr>
        <w:t>and assembling these</w:t>
      </w:r>
      <w:r w:rsidR="00C20B6C" w:rsidRPr="00A36ECE">
        <w:rPr>
          <w:rFonts w:ascii="Times New Roman" w:hAnsi="Times New Roman" w:cs="Times New Roman"/>
          <w:bCs/>
        </w:rPr>
        <w:t xml:space="preserve"> into</w:t>
      </w:r>
      <w:r w:rsidR="00415262">
        <w:rPr>
          <w:rFonts w:ascii="Times New Roman" w:hAnsi="Times New Roman" w:cs="Times New Roman"/>
          <w:bCs/>
        </w:rPr>
        <w:t xml:space="preserve"> a metric called</w:t>
      </w:r>
      <w:r w:rsidR="00C20B6C" w:rsidRPr="00A36ECE">
        <w:rPr>
          <w:rFonts w:ascii="Times New Roman" w:hAnsi="Times New Roman" w:cs="Times New Roman"/>
          <w:bCs/>
        </w:rPr>
        <w:t xml:space="preserve"> commitment depth</w:t>
      </w:r>
      <w:r w:rsidR="00415262">
        <w:rPr>
          <w:rFonts w:ascii="Times New Roman" w:hAnsi="Times New Roman" w:cs="Times New Roman"/>
          <w:bCs/>
        </w:rPr>
        <w:t xml:space="preserve"> </w:t>
      </w:r>
      <w:r w:rsidR="002908BD">
        <w:rPr>
          <w:rFonts w:ascii="Times New Roman" w:hAnsi="Times New Roman" w:cs="Times New Roman"/>
          <w:bCs/>
        </w:rPr>
        <w:t xml:space="preserve">— </w:t>
      </w:r>
      <w:r w:rsidR="00415262">
        <w:rPr>
          <w:rFonts w:ascii="Times New Roman" w:hAnsi="Times New Roman" w:cs="Times New Roman"/>
          <w:bCs/>
        </w:rPr>
        <w:t xml:space="preserve">the </w:t>
      </w:r>
      <w:r w:rsidR="00C20B6C" w:rsidRPr="00A36ECE">
        <w:rPr>
          <w:rFonts w:ascii="Times New Roman" w:hAnsi="Times New Roman" w:cs="Times New Roman"/>
          <w:bCs/>
        </w:rPr>
        <w:t>megawatt-equivalent grid value per megawatt of nameplate inference load</w:t>
      </w:r>
      <w:r w:rsidR="00D16F6D" w:rsidRPr="00A36ECE">
        <w:rPr>
          <w:rFonts w:ascii="Times New Roman" w:hAnsi="Times New Roman" w:cs="Times New Roman"/>
          <w:bCs/>
        </w:rPr>
        <w:t>.</w:t>
      </w:r>
      <w:r w:rsidR="001D6E1E" w:rsidRPr="00A36ECE">
        <w:rPr>
          <w:rFonts w:ascii="Times New Roman" w:hAnsi="Times New Roman" w:cs="Times New Roman"/>
          <w:bCs/>
        </w:rPr>
        <w:t xml:space="preserve"> </w:t>
      </w:r>
      <w:r w:rsidR="00D16F6D" w:rsidRPr="00A36ECE">
        <w:rPr>
          <w:rFonts w:ascii="Times New Roman" w:hAnsi="Times New Roman" w:cs="Times New Roman"/>
          <w:bCs/>
        </w:rPr>
        <w:t xml:space="preserve">Within each of the three identified </w:t>
      </w:r>
      <w:r w:rsidR="00415262">
        <w:rPr>
          <w:rFonts w:ascii="Times New Roman" w:hAnsi="Times New Roman" w:cs="Times New Roman"/>
          <w:bCs/>
        </w:rPr>
        <w:t>mechanisms</w:t>
      </w:r>
      <w:r w:rsidR="00D16F6D" w:rsidRPr="00A36ECE">
        <w:rPr>
          <w:rFonts w:ascii="Times New Roman" w:hAnsi="Times New Roman" w:cs="Times New Roman"/>
          <w:bCs/>
        </w:rPr>
        <w:t xml:space="preserve">, parameters </w:t>
      </w:r>
      <w:r w:rsidR="00415262">
        <w:rPr>
          <w:rFonts w:ascii="Times New Roman" w:hAnsi="Times New Roman" w:cs="Times New Roman"/>
          <w:bCs/>
        </w:rPr>
        <w:t>combine</w:t>
      </w:r>
      <w:r w:rsidR="00D16F6D" w:rsidRPr="00A36ECE">
        <w:rPr>
          <w:rFonts w:ascii="Times New Roman" w:hAnsi="Times New Roman" w:cs="Times New Roman"/>
          <w:bCs/>
        </w:rPr>
        <w:t xml:space="preserve"> multiplicatively</w:t>
      </w:r>
      <w:r w:rsidR="00415262">
        <w:rPr>
          <w:rFonts w:ascii="Times New Roman" w:hAnsi="Times New Roman" w:cs="Times New Roman"/>
          <w:bCs/>
        </w:rPr>
        <w:t>, while contributions from different mechanisms sum</w:t>
      </w:r>
      <w:r w:rsidR="00D16F6D" w:rsidRPr="00A36ECE">
        <w:rPr>
          <w:rFonts w:ascii="Times New Roman" w:hAnsi="Times New Roman" w:cs="Times New Roman"/>
          <w:bCs/>
        </w:rPr>
        <w:t xml:space="preserve"> at the megawatt layer</w:t>
      </w:r>
      <w:r w:rsidR="00415262">
        <w:rPr>
          <w:rFonts w:ascii="Times New Roman" w:hAnsi="Times New Roman" w:cs="Times New Roman"/>
          <w:bCs/>
        </w:rPr>
        <w:t>,</w:t>
      </w:r>
      <w:r w:rsidR="00D16F6D" w:rsidRPr="00A36ECE">
        <w:rPr>
          <w:rFonts w:ascii="Times New Roman" w:hAnsi="Times New Roman" w:cs="Times New Roman"/>
          <w:bCs/>
        </w:rPr>
        <w:t xml:space="preserve"> </w:t>
      </w:r>
      <w:r w:rsidR="00415262">
        <w:rPr>
          <w:rFonts w:ascii="Times New Roman" w:hAnsi="Times New Roman" w:cs="Times New Roman"/>
          <w:bCs/>
        </w:rPr>
        <w:lastRenderedPageBreak/>
        <w:t xml:space="preserve">following a specified </w:t>
      </w:r>
      <w:r w:rsidR="00D16F6D" w:rsidRPr="00A36ECE">
        <w:rPr>
          <w:rFonts w:ascii="Times New Roman" w:hAnsi="Times New Roman" w:cs="Times New Roman"/>
          <w:bCs/>
        </w:rPr>
        <w:t>sequential ordering</w:t>
      </w:r>
      <w:r w:rsidR="00D358E9">
        <w:rPr>
          <w:rStyle w:val="FootnoteReference"/>
          <w:rFonts w:ascii="Times New Roman" w:eastAsia="Calibri" w:hAnsi="Times New Roman" w:cs="Times New Roman"/>
        </w:rPr>
        <w:footnoteReference w:id="2"/>
      </w:r>
      <w:r w:rsidR="00D16F6D" w:rsidRPr="00A36ECE">
        <w:rPr>
          <w:rFonts w:ascii="Times New Roman" w:hAnsi="Times New Roman" w:cs="Times New Roman"/>
          <w:bCs/>
        </w:rPr>
        <w:t xml:space="preserve">. </w:t>
      </w:r>
      <w:r w:rsidR="00415262">
        <w:rPr>
          <w:rFonts w:ascii="Times New Roman" w:hAnsi="Times New Roman" w:cs="Times New Roman"/>
          <w:bCs/>
        </w:rPr>
        <w:t xml:space="preserve">This </w:t>
      </w:r>
      <w:r w:rsidR="00D16F6D" w:rsidRPr="00A36ECE">
        <w:rPr>
          <w:rFonts w:ascii="Times New Roman" w:hAnsi="Times New Roman" w:cs="Times New Roman"/>
          <w:bCs/>
        </w:rPr>
        <w:t xml:space="preserve">ordering </w:t>
      </w:r>
      <w:r w:rsidR="00415262">
        <w:rPr>
          <w:rFonts w:ascii="Times New Roman" w:hAnsi="Times New Roman" w:cs="Times New Roman"/>
          <w:bCs/>
        </w:rPr>
        <w:t xml:space="preserve">corrects </w:t>
      </w:r>
      <w:r w:rsidR="00CA5C0C">
        <w:rPr>
          <w:rFonts w:ascii="Times New Roman" w:hAnsi="Times New Roman" w:cs="Times New Roman"/>
          <w:bCs/>
        </w:rPr>
        <w:t>for</w:t>
      </w:r>
      <w:r w:rsidR="00D16F6D" w:rsidRPr="00A36ECE">
        <w:rPr>
          <w:rFonts w:ascii="Times New Roman" w:hAnsi="Times New Roman" w:cs="Times New Roman"/>
          <w:bCs/>
        </w:rPr>
        <w:t xml:space="preserve"> overlap: power management at the </w:t>
      </w:r>
      <w:r w:rsidR="00CA5C0C">
        <w:rPr>
          <w:rFonts w:ascii="Times New Roman" w:hAnsi="Times New Roman" w:cs="Times New Roman"/>
          <w:bCs/>
        </w:rPr>
        <w:t>facility</w:t>
      </w:r>
      <w:r w:rsidR="00CA5C0C" w:rsidRPr="00A36ECE">
        <w:rPr>
          <w:rFonts w:ascii="Times New Roman" w:hAnsi="Times New Roman" w:cs="Times New Roman"/>
          <w:bCs/>
        </w:rPr>
        <w:t xml:space="preserve"> </w:t>
      </w:r>
      <w:r w:rsidR="00CA5C0C">
        <w:rPr>
          <w:rFonts w:ascii="Times New Roman" w:hAnsi="Times New Roman" w:cs="Times New Roman"/>
          <w:bCs/>
        </w:rPr>
        <w:t xml:space="preserve">can </w:t>
      </w:r>
      <w:r w:rsidR="00D16F6D" w:rsidRPr="00A36ECE">
        <w:rPr>
          <w:rFonts w:ascii="Times New Roman" w:hAnsi="Times New Roman" w:cs="Times New Roman"/>
          <w:bCs/>
        </w:rPr>
        <w:t xml:space="preserve">partially substitute for deferral when work </w:t>
      </w:r>
      <w:r w:rsidR="00CA5C0C">
        <w:rPr>
          <w:rFonts w:ascii="Times New Roman" w:hAnsi="Times New Roman" w:cs="Times New Roman"/>
          <w:bCs/>
        </w:rPr>
        <w:t xml:space="preserve">resumes after an </w:t>
      </w:r>
      <w:r w:rsidR="00D16F6D" w:rsidRPr="00A36ECE">
        <w:rPr>
          <w:rFonts w:ascii="Times New Roman" w:hAnsi="Times New Roman" w:cs="Times New Roman"/>
          <w:bCs/>
        </w:rPr>
        <w:t xml:space="preserve">event, so </w:t>
      </w:r>
      <w:r w:rsidR="00CA5C0C">
        <w:rPr>
          <w:rFonts w:ascii="Times New Roman" w:hAnsi="Times New Roman" w:cs="Times New Roman"/>
          <w:bCs/>
        </w:rPr>
        <w:t>a given</w:t>
      </w:r>
      <w:r w:rsidR="00D16F6D" w:rsidRPr="00A36ECE">
        <w:rPr>
          <w:rFonts w:ascii="Times New Roman" w:hAnsi="Times New Roman" w:cs="Times New Roman"/>
          <w:bCs/>
        </w:rPr>
        <w:t xml:space="preserve"> megawatt of non-interactive compute cannot be </w:t>
      </w:r>
      <w:r w:rsidR="00CA5C0C">
        <w:rPr>
          <w:rFonts w:ascii="Times New Roman" w:hAnsi="Times New Roman" w:cs="Times New Roman"/>
          <w:bCs/>
        </w:rPr>
        <w:t>double-</w:t>
      </w:r>
      <w:r w:rsidR="00D16F6D" w:rsidRPr="00A36ECE">
        <w:rPr>
          <w:rFonts w:ascii="Times New Roman" w:hAnsi="Times New Roman" w:cs="Times New Roman"/>
          <w:bCs/>
        </w:rPr>
        <w:t>counted</w:t>
      </w:r>
      <w:r w:rsidR="00CA5C0C">
        <w:rPr>
          <w:rFonts w:ascii="Times New Roman" w:hAnsi="Times New Roman" w:cs="Times New Roman"/>
          <w:bCs/>
        </w:rPr>
        <w:t xml:space="preserve"> as</w:t>
      </w:r>
      <w:r w:rsidR="00D16F6D" w:rsidRPr="00A36ECE">
        <w:rPr>
          <w:rFonts w:ascii="Times New Roman" w:hAnsi="Times New Roman" w:cs="Times New Roman"/>
          <w:bCs/>
        </w:rPr>
        <w:t xml:space="preserve"> both deferred and DVFS-reduced.</w:t>
      </w:r>
    </w:p>
    <w:p w14:paraId="64F8616E" w14:textId="5A3E5D71"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framework is </w:t>
      </w:r>
      <w:r w:rsidR="00CA5C0C">
        <w:rPr>
          <w:rFonts w:ascii="Times New Roman" w:hAnsi="Times New Roman" w:cs="Times New Roman"/>
          <w:bCs/>
        </w:rPr>
        <w:t>applied to</w:t>
      </w:r>
      <w:r w:rsidRPr="001D6E1E">
        <w:rPr>
          <w:rFonts w:ascii="Times New Roman" w:hAnsi="Times New Roman" w:cs="Times New Roman"/>
          <w:bCs/>
        </w:rPr>
        <w:t xml:space="preserve"> two scenarios </w:t>
      </w:r>
      <w:r w:rsidR="00CA5C0C">
        <w:rPr>
          <w:rFonts w:ascii="Times New Roman" w:hAnsi="Times New Roman" w:cs="Times New Roman"/>
          <w:bCs/>
        </w:rPr>
        <w:t>that reflect</w:t>
      </w:r>
      <w:r w:rsidRPr="001D6E1E">
        <w:rPr>
          <w:rFonts w:ascii="Times New Roman" w:hAnsi="Times New Roman" w:cs="Times New Roman"/>
          <w:bCs/>
        </w:rPr>
        <w:t xml:space="preserve"> the bimodal heterogeneity of the projected 2030 data center fleet. The mixed-use scenario</w:t>
      </w:r>
      <w:r w:rsidR="0097330A">
        <w:rPr>
          <w:rFonts w:ascii="Times New Roman" w:hAnsi="Times New Roman" w:cs="Times New Roman"/>
          <w:bCs/>
        </w:rPr>
        <w:t xml:space="preserve"> </w:t>
      </w:r>
      <w:r w:rsidRPr="001D6E1E">
        <w:rPr>
          <w:rFonts w:ascii="Times New Roman" w:hAnsi="Times New Roman" w:cs="Times New Roman"/>
          <w:bCs/>
        </w:rPr>
        <w:t xml:space="preserve">applies the </w:t>
      </w:r>
      <w:r w:rsidR="00CA5C0C">
        <w:rPr>
          <w:rFonts w:ascii="Times New Roman" w:hAnsi="Times New Roman" w:cs="Times New Roman"/>
          <w:bCs/>
        </w:rPr>
        <w:t>model</w:t>
      </w:r>
      <w:r w:rsidR="00CA5C0C" w:rsidRPr="001D6E1E">
        <w:rPr>
          <w:rFonts w:ascii="Times New Roman" w:hAnsi="Times New Roman" w:cs="Times New Roman"/>
          <w:bCs/>
        </w:rPr>
        <w:t xml:space="preserve"> </w:t>
      </w:r>
      <w:r w:rsidRPr="001D6E1E">
        <w:rPr>
          <w:rFonts w:ascii="Times New Roman" w:hAnsi="Times New Roman" w:cs="Times New Roman"/>
          <w:bCs/>
        </w:rPr>
        <w:t>to typical hyperscaler colocation facilit</w:t>
      </w:r>
      <w:r w:rsidR="0097330A">
        <w:rPr>
          <w:rFonts w:ascii="Times New Roman" w:hAnsi="Times New Roman" w:cs="Times New Roman"/>
          <w:bCs/>
        </w:rPr>
        <w:t>ies</w:t>
      </w:r>
      <w:r w:rsidR="00CA5C0C">
        <w:rPr>
          <w:rFonts w:ascii="Times New Roman" w:hAnsi="Times New Roman" w:cs="Times New Roman"/>
          <w:bCs/>
        </w:rPr>
        <w:t>, where</w:t>
      </w:r>
      <w:r w:rsidRPr="001D6E1E">
        <w:rPr>
          <w:rFonts w:ascii="Times New Roman" w:hAnsi="Times New Roman" w:cs="Times New Roman"/>
          <w:bCs/>
        </w:rPr>
        <w:t xml:space="preserve"> inference </w:t>
      </w:r>
      <w:r w:rsidR="00CA5C0C">
        <w:rPr>
          <w:rFonts w:ascii="Times New Roman" w:hAnsi="Times New Roman" w:cs="Times New Roman"/>
          <w:bCs/>
        </w:rPr>
        <w:t>makes up about</w:t>
      </w:r>
      <w:r w:rsidRPr="001D6E1E">
        <w:rPr>
          <w:rFonts w:ascii="Times New Roman" w:hAnsi="Times New Roman" w:cs="Times New Roman"/>
          <w:bCs/>
        </w:rPr>
        <w:t xml:space="preserve"> 43% of IT compute</w:t>
      </w:r>
      <w:r w:rsidR="00CA5C0C">
        <w:rPr>
          <w:rFonts w:ascii="Times New Roman" w:hAnsi="Times New Roman" w:cs="Times New Roman"/>
          <w:bCs/>
        </w:rPr>
        <w:t xml:space="preserve"> </w:t>
      </w:r>
      <w:r w:rsidR="002908BD">
        <w:rPr>
          <w:rFonts w:ascii="Times New Roman" w:hAnsi="Times New Roman" w:cs="Times New Roman"/>
          <w:bCs/>
        </w:rPr>
        <w:t>—</w:t>
      </w:r>
      <w:r w:rsidR="00CA5C0C">
        <w:rPr>
          <w:rFonts w:ascii="Times New Roman" w:hAnsi="Times New Roman" w:cs="Times New Roman"/>
          <w:bCs/>
        </w:rPr>
        <w:t xml:space="preserve"> based on</w:t>
      </w:r>
      <w:r w:rsidRPr="001D6E1E">
        <w:rPr>
          <w:rFonts w:ascii="Times New Roman" w:hAnsi="Times New Roman" w:cs="Times New Roman"/>
          <w:bCs/>
        </w:rPr>
        <w:t xml:space="preserve"> McKinsey's December 2025 </w:t>
      </w:r>
      <w:r w:rsidR="00CA5C0C">
        <w:rPr>
          <w:rFonts w:ascii="Times New Roman" w:hAnsi="Times New Roman" w:cs="Times New Roman"/>
          <w:bCs/>
        </w:rPr>
        <w:t>estimate</w:t>
      </w:r>
      <w:r w:rsidR="00CA5C0C" w:rsidRPr="001D6E1E">
        <w:rPr>
          <w:rFonts w:ascii="Times New Roman" w:hAnsi="Times New Roman" w:cs="Times New Roman"/>
          <w:bCs/>
        </w:rPr>
        <w:t xml:space="preserve"> </w:t>
      </w:r>
      <w:r w:rsidRPr="001D6E1E">
        <w:rPr>
          <w:rFonts w:ascii="Times New Roman" w:hAnsi="Times New Roman" w:cs="Times New Roman"/>
          <w:bCs/>
        </w:rPr>
        <w:t xml:space="preserve">that inference workloads will </w:t>
      </w:r>
      <w:r w:rsidR="00CA5C0C">
        <w:rPr>
          <w:rFonts w:ascii="Times New Roman" w:hAnsi="Times New Roman" w:cs="Times New Roman"/>
          <w:bCs/>
        </w:rPr>
        <w:t>account for over</w:t>
      </w:r>
      <w:r w:rsidRPr="001D6E1E">
        <w:rPr>
          <w:rFonts w:ascii="Times New Roman" w:hAnsi="Times New Roman" w:cs="Times New Roman"/>
          <w:bCs/>
        </w:rPr>
        <w:t xml:space="preserve"> 40% of total datacenter demand</w:t>
      </w:r>
      <w:r w:rsidR="00A36ECE">
        <w:rPr>
          <w:rFonts w:ascii="Times New Roman" w:hAnsi="Times New Roman" w:cs="Times New Roman"/>
          <w:bCs/>
        </w:rPr>
        <w:t>[9]</w:t>
      </w:r>
      <w:r w:rsidR="00114017">
        <w:rPr>
          <w:rFonts w:ascii="Times New Roman" w:hAnsi="Times New Roman" w:cs="Times New Roman"/>
          <w:bCs/>
        </w:rPr>
        <w:t>.</w:t>
      </w:r>
      <w:r w:rsidR="00A36ECE" w:rsidRPr="001D6E1E">
        <w:rPr>
          <w:rFonts w:ascii="Times New Roman" w:hAnsi="Times New Roman" w:cs="Times New Roman"/>
          <w:bCs/>
        </w:rPr>
        <w:t xml:space="preserve"> </w:t>
      </w:r>
      <w:r w:rsidRPr="001D6E1E">
        <w:rPr>
          <w:rFonts w:ascii="Times New Roman" w:hAnsi="Times New Roman" w:cs="Times New Roman"/>
          <w:bCs/>
        </w:rPr>
        <w:t xml:space="preserve">The inference-dominant scenario applies the </w:t>
      </w:r>
      <w:r w:rsidR="00CA5C0C">
        <w:rPr>
          <w:rFonts w:ascii="Times New Roman" w:hAnsi="Times New Roman" w:cs="Times New Roman"/>
          <w:bCs/>
        </w:rPr>
        <w:t>model</w:t>
      </w:r>
      <w:r w:rsidR="00CA5C0C" w:rsidRPr="001D6E1E">
        <w:rPr>
          <w:rFonts w:ascii="Times New Roman" w:hAnsi="Times New Roman" w:cs="Times New Roman"/>
          <w:bCs/>
        </w:rPr>
        <w:t xml:space="preserve"> </w:t>
      </w:r>
      <w:r w:rsidRPr="001D6E1E">
        <w:rPr>
          <w:rFonts w:ascii="Times New Roman" w:hAnsi="Times New Roman" w:cs="Times New Roman"/>
          <w:bCs/>
        </w:rPr>
        <w:t>to purpose-built AI campuses</w:t>
      </w:r>
      <w:r w:rsidR="00CA5C0C">
        <w:rPr>
          <w:rFonts w:ascii="Times New Roman" w:hAnsi="Times New Roman" w:cs="Times New Roman"/>
          <w:bCs/>
        </w:rPr>
        <w:t>, where</w:t>
      </w:r>
      <w:r w:rsidRPr="001D6E1E">
        <w:rPr>
          <w:rFonts w:ascii="Times New Roman" w:hAnsi="Times New Roman" w:cs="Times New Roman"/>
          <w:bCs/>
        </w:rPr>
        <w:t xml:space="preserve"> inference exceeds 70% of IT compute</w:t>
      </w:r>
      <w:r w:rsidR="00CA5C0C">
        <w:rPr>
          <w:rFonts w:ascii="Times New Roman" w:hAnsi="Times New Roman" w:cs="Times New Roman"/>
          <w:bCs/>
        </w:rPr>
        <w:t xml:space="preserve"> </w:t>
      </w:r>
      <w:r w:rsidR="002908BD">
        <w:rPr>
          <w:rFonts w:ascii="Times New Roman" w:hAnsi="Times New Roman" w:cs="Times New Roman"/>
          <w:bCs/>
        </w:rPr>
        <w:t>—</w:t>
      </w:r>
      <w:r w:rsidR="00CA5C0C">
        <w:rPr>
          <w:rFonts w:ascii="Times New Roman" w:hAnsi="Times New Roman" w:cs="Times New Roman"/>
          <w:bCs/>
        </w:rPr>
        <w:t xml:space="preserve"> a facility type that is becoming more prominent and is analyzed in both</w:t>
      </w:r>
      <w:r w:rsidRPr="001D6E1E">
        <w:rPr>
          <w:rFonts w:ascii="Times New Roman" w:hAnsi="Times New Roman" w:cs="Times New Roman"/>
          <w:bCs/>
        </w:rPr>
        <w:t xml:space="preserve"> the IEA's 2025 </w:t>
      </w:r>
      <w:r w:rsidRPr="0005619B">
        <w:rPr>
          <w:rFonts w:ascii="Times New Roman" w:hAnsi="Times New Roman" w:cs="Times New Roman"/>
          <w:bCs/>
        </w:rPr>
        <w:t>Energy and AI</w:t>
      </w:r>
      <w:r w:rsidRPr="001D6E1E">
        <w:rPr>
          <w:rFonts w:ascii="Times New Roman" w:hAnsi="Times New Roman" w:cs="Times New Roman"/>
          <w:bCs/>
        </w:rPr>
        <w:t xml:space="preserve"> report</w:t>
      </w:r>
      <w:r w:rsidR="00A36ECE">
        <w:rPr>
          <w:rFonts w:ascii="Times New Roman" w:hAnsi="Times New Roman" w:cs="Times New Roman"/>
          <w:bCs/>
        </w:rPr>
        <w:t>[4]</w:t>
      </w:r>
      <w:r w:rsidRPr="001D6E1E">
        <w:rPr>
          <w:rFonts w:ascii="Times New Roman" w:hAnsi="Times New Roman" w:cs="Times New Roman"/>
          <w:bCs/>
        </w:rPr>
        <w:t xml:space="preserve"> and Zhou et al.'s 2024 </w:t>
      </w:r>
      <w:r w:rsidR="00CA5C0C">
        <w:rPr>
          <w:rFonts w:ascii="Times New Roman" w:hAnsi="Times New Roman" w:cs="Times New Roman"/>
          <w:bCs/>
        </w:rPr>
        <w:t>study</w:t>
      </w:r>
      <w:r w:rsidR="00CA5C0C" w:rsidRPr="001D6E1E">
        <w:rPr>
          <w:rFonts w:ascii="Times New Roman" w:hAnsi="Times New Roman" w:cs="Times New Roman"/>
          <w:bCs/>
        </w:rPr>
        <w:t xml:space="preserve"> </w:t>
      </w:r>
      <w:r w:rsidRPr="001D6E1E">
        <w:rPr>
          <w:rFonts w:ascii="Times New Roman" w:hAnsi="Times New Roman" w:cs="Times New Roman"/>
          <w:bCs/>
        </w:rPr>
        <w:t xml:space="preserve">of AI-focused </w:t>
      </w:r>
      <w:r w:rsidR="00501678">
        <w:rPr>
          <w:rFonts w:ascii="Times New Roman" w:hAnsi="Times New Roman" w:cs="Times New Roman"/>
          <w:bCs/>
        </w:rPr>
        <w:t>high-performance computing</w:t>
      </w:r>
      <w:r w:rsidR="00CA5C0C">
        <w:rPr>
          <w:rFonts w:ascii="Times New Roman" w:hAnsi="Times New Roman" w:cs="Times New Roman"/>
          <w:bCs/>
        </w:rPr>
        <w:t xml:space="preserve"> (HPC)</w:t>
      </w:r>
      <w:r w:rsidR="00A36ECE">
        <w:rPr>
          <w:rFonts w:ascii="Times New Roman" w:hAnsi="Times New Roman" w:cs="Times New Roman"/>
          <w:bCs/>
        </w:rPr>
        <w:t>[10]</w:t>
      </w:r>
      <w:r w:rsidR="00114017">
        <w:rPr>
          <w:rFonts w:ascii="Times New Roman" w:hAnsi="Times New Roman" w:cs="Times New Roman"/>
          <w:bCs/>
        </w:rPr>
        <w:t>.</w:t>
      </w:r>
      <w:r w:rsidRPr="001D6E1E">
        <w:rPr>
          <w:rFonts w:ascii="Times New Roman" w:hAnsi="Times New Roman" w:cs="Times New Roman"/>
          <w:bCs/>
        </w:rPr>
        <w:t xml:space="preserve"> </w:t>
      </w:r>
      <w:r w:rsidR="00CA5C0C">
        <w:rPr>
          <w:rFonts w:ascii="Times New Roman" w:hAnsi="Times New Roman" w:cs="Times New Roman"/>
          <w:bCs/>
        </w:rPr>
        <w:t xml:space="preserve">I report results for both </w:t>
      </w:r>
      <w:r w:rsidRPr="001D6E1E">
        <w:rPr>
          <w:rFonts w:ascii="Times New Roman" w:hAnsi="Times New Roman" w:cs="Times New Roman"/>
          <w:bCs/>
        </w:rPr>
        <w:t>scenarios in parallel</w:t>
      </w:r>
      <w:r w:rsidR="00CA5C0C">
        <w:rPr>
          <w:rFonts w:ascii="Times New Roman" w:hAnsi="Times New Roman" w:cs="Times New Roman"/>
          <w:bCs/>
        </w:rPr>
        <w:t>, since</w:t>
      </w:r>
      <w:r w:rsidRPr="001D6E1E">
        <w:rPr>
          <w:rFonts w:ascii="Times New Roman" w:hAnsi="Times New Roman" w:cs="Times New Roman"/>
          <w:bCs/>
        </w:rPr>
        <w:t xml:space="preserve"> the actual 2030 </w:t>
      </w:r>
      <w:r w:rsidR="00CA5C0C">
        <w:rPr>
          <w:rFonts w:ascii="Times New Roman" w:hAnsi="Times New Roman" w:cs="Times New Roman"/>
          <w:bCs/>
        </w:rPr>
        <w:t xml:space="preserve">datacenter </w:t>
      </w:r>
      <w:r w:rsidRPr="001D6E1E">
        <w:rPr>
          <w:rFonts w:ascii="Times New Roman" w:hAnsi="Times New Roman" w:cs="Times New Roman"/>
          <w:bCs/>
        </w:rPr>
        <w:t>fleet will include both</w:t>
      </w:r>
      <w:r w:rsidR="00CA5C0C">
        <w:rPr>
          <w:rFonts w:ascii="Times New Roman" w:hAnsi="Times New Roman" w:cs="Times New Roman"/>
          <w:bCs/>
        </w:rPr>
        <w:t xml:space="preserve"> types.</w:t>
      </w:r>
      <w:r w:rsidRPr="001D6E1E">
        <w:rPr>
          <w:rFonts w:ascii="Times New Roman" w:hAnsi="Times New Roman" w:cs="Times New Roman"/>
          <w:bCs/>
        </w:rPr>
        <w:t xml:space="preserve"> </w:t>
      </w:r>
      <w:r w:rsidR="00CA5C0C">
        <w:rPr>
          <w:rFonts w:ascii="Times New Roman" w:hAnsi="Times New Roman" w:cs="Times New Roman"/>
          <w:bCs/>
        </w:rPr>
        <w:t xml:space="preserve">The distinction in commitment depth </w:t>
      </w:r>
      <w:r w:rsidRPr="001D6E1E">
        <w:rPr>
          <w:rFonts w:ascii="Times New Roman" w:hAnsi="Times New Roman" w:cs="Times New Roman"/>
          <w:bCs/>
        </w:rPr>
        <w:t xml:space="preserve">between </w:t>
      </w:r>
      <w:r w:rsidR="00CA5C0C" w:rsidRPr="001D6E1E">
        <w:rPr>
          <w:rFonts w:ascii="Times New Roman" w:hAnsi="Times New Roman" w:cs="Times New Roman"/>
          <w:bCs/>
        </w:rPr>
        <w:t>the</w:t>
      </w:r>
      <w:r w:rsidR="00CA5C0C">
        <w:rPr>
          <w:rFonts w:ascii="Times New Roman" w:hAnsi="Times New Roman" w:cs="Times New Roman"/>
          <w:bCs/>
        </w:rPr>
        <w:t xml:space="preserve"> two is</w:t>
      </w:r>
      <w:r w:rsidR="00CA5C0C" w:rsidRPr="001D6E1E">
        <w:rPr>
          <w:rFonts w:ascii="Times New Roman" w:hAnsi="Times New Roman" w:cs="Times New Roman"/>
          <w:bCs/>
        </w:rPr>
        <w:t xml:space="preserve"> </w:t>
      </w:r>
      <w:r w:rsidR="00CA5C0C">
        <w:rPr>
          <w:rFonts w:ascii="Times New Roman" w:hAnsi="Times New Roman" w:cs="Times New Roman"/>
          <w:bCs/>
        </w:rPr>
        <w:t>significant</w:t>
      </w:r>
      <w:r w:rsidRPr="001D6E1E">
        <w:rPr>
          <w:rFonts w:ascii="Times New Roman" w:hAnsi="Times New Roman" w:cs="Times New Roman"/>
          <w:bCs/>
        </w:rPr>
        <w:t xml:space="preserve">: the marginal flexibility </w:t>
      </w:r>
      <w:r w:rsidR="00CA5C0C">
        <w:rPr>
          <w:rFonts w:ascii="Times New Roman" w:hAnsi="Times New Roman" w:cs="Times New Roman"/>
          <w:bCs/>
        </w:rPr>
        <w:t>benefit</w:t>
      </w:r>
      <w:r w:rsidR="00CA5C0C" w:rsidRPr="001D6E1E">
        <w:rPr>
          <w:rFonts w:ascii="Times New Roman" w:hAnsi="Times New Roman" w:cs="Times New Roman"/>
          <w:bCs/>
        </w:rPr>
        <w:t xml:space="preserve"> </w:t>
      </w:r>
      <w:r w:rsidRPr="001D6E1E">
        <w:rPr>
          <w:rFonts w:ascii="Times New Roman" w:hAnsi="Times New Roman" w:cs="Times New Roman"/>
          <w:bCs/>
        </w:rPr>
        <w:t xml:space="preserve">from purpose-built siting </w:t>
      </w:r>
      <w:r w:rsidR="00CA5C0C">
        <w:rPr>
          <w:rFonts w:ascii="Times New Roman" w:hAnsi="Times New Roman" w:cs="Times New Roman"/>
          <w:bCs/>
        </w:rPr>
        <w:t>can be quantified</w:t>
      </w:r>
      <w:r w:rsidRPr="001D6E1E">
        <w:rPr>
          <w:rFonts w:ascii="Times New Roman" w:hAnsi="Times New Roman" w:cs="Times New Roman"/>
          <w:bCs/>
        </w:rPr>
        <w:t>.</w:t>
      </w:r>
    </w:p>
    <w:p w14:paraId="5B4B2CE7" w14:textId="147D6BB9" w:rsidR="0065765A" w:rsidRPr="00257069" w:rsidRDefault="00DE288D" w:rsidP="00271730">
      <w:pPr>
        <w:rPr>
          <w:rFonts w:ascii="Times New Roman" w:hAnsi="Times New Roman" w:cs="Times New Roman"/>
          <w:bCs/>
          <w:sz w:val="22"/>
          <w:szCs w:val="22"/>
        </w:rPr>
      </w:pPr>
      <w:r w:rsidRPr="005D1770">
        <w:rPr>
          <w:rFonts w:ascii="Times New Roman" w:hAnsi="Times New Roman" w:cs="Times New Roman"/>
          <w:b/>
        </w:rPr>
        <w:t xml:space="preserve">Cross-region </w:t>
      </w:r>
      <w:r w:rsidR="00520030">
        <w:rPr>
          <w:rFonts w:ascii="Times New Roman" w:hAnsi="Times New Roman" w:cs="Times New Roman"/>
          <w:b/>
        </w:rPr>
        <w:t>S</w:t>
      </w:r>
      <w:r w:rsidRPr="005D1770">
        <w:rPr>
          <w:rFonts w:ascii="Times New Roman" w:hAnsi="Times New Roman" w:cs="Times New Roman"/>
          <w:b/>
        </w:rPr>
        <w:t xml:space="preserve">tress </w:t>
      </w:r>
      <w:r w:rsidR="00520030">
        <w:rPr>
          <w:rFonts w:ascii="Times New Roman" w:hAnsi="Times New Roman" w:cs="Times New Roman"/>
          <w:b/>
        </w:rPr>
        <w:t>D</w:t>
      </w:r>
      <w:r w:rsidRPr="005D1770">
        <w:rPr>
          <w:rFonts w:ascii="Times New Roman" w:hAnsi="Times New Roman" w:cs="Times New Roman"/>
          <w:b/>
        </w:rPr>
        <w:t>ecorrelation</w:t>
      </w:r>
    </w:p>
    <w:p w14:paraId="39C32ED4" w14:textId="7CD2E71D"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xml:space="preserve">. </w:t>
      </w:r>
      <w:r w:rsidR="002908BD">
        <w:rPr>
          <w:rFonts w:ascii="Times New Roman" w:hAnsi="Times New Roman" w:cs="Times New Roman"/>
          <w:bCs/>
        </w:rPr>
        <w:t>I</w:t>
      </w:r>
      <w:r w:rsidR="00300E1F" w:rsidRPr="00300E1F">
        <w:rPr>
          <w:rFonts w:ascii="Times New Roman" w:hAnsi="Times New Roman" w:cs="Times New Roman"/>
          <w:bCs/>
        </w:rPr>
        <w:t xml:space="preserve"> test this condition empirically using 35,060 hours of day-ahead locational marginal pricing (DA LMP)</w:t>
      </w:r>
      <w:r w:rsidR="002908BD">
        <w:rPr>
          <w:rStyle w:val="FootnoteReference"/>
          <w:rFonts w:ascii="Times New Roman" w:hAnsi="Times New Roman" w:cs="Times New Roman"/>
          <w:bCs/>
        </w:rPr>
        <w:footnoteReference w:id="3"/>
      </w:r>
      <w:r w:rsidR="00300E1F" w:rsidRPr="00300E1F">
        <w:rPr>
          <w:rFonts w:ascii="Times New Roman" w:hAnsi="Times New Roman" w:cs="Times New Roman"/>
          <w:bCs/>
        </w:rPr>
        <w:t xml:space="preserve"> data from January 2022 through December 2025, spanning five U.S. Regional Transmission Organizations (RTOs): PJM, ERCOT, CAISO, MISO, and NYISO</w:t>
      </w:r>
      <w:r w:rsidR="00DF211F">
        <w:rPr>
          <w:rFonts w:ascii="Times New Roman" w:hAnsi="Times New Roman" w:cs="Times New Roman"/>
          <w:bCs/>
        </w:rPr>
        <w:t xml:space="preserve"> — covering the mid-Atlantic, Texas, California, Midwest, and New York respectively</w:t>
      </w:r>
      <w:r w:rsidR="00300E1F" w:rsidRPr="00300E1F">
        <w:rPr>
          <w:rFonts w:ascii="Times New Roman" w:hAnsi="Times New Roman" w:cs="Times New Roman"/>
          <w:bCs/>
        </w:rPr>
        <w:t>, which together coordinate roughly two-thirds of U.S. electricity demand.</w:t>
      </w:r>
      <w:r w:rsidR="003A0B79">
        <w:rPr>
          <w:rFonts w:ascii="Times New Roman" w:hAnsi="Times New Roman" w:cs="Times New Roman"/>
          <w:bCs/>
        </w:rPr>
        <w:t xml:space="preserve"> </w:t>
      </w:r>
      <w:r w:rsidR="00F30CDA" w:rsidRPr="00F30CDA">
        <w:rPr>
          <w:rFonts w:ascii="Times New Roman" w:hAnsi="Times New Roman" w:cs="Times New Roman"/>
          <w:bCs/>
        </w:rPr>
        <w:t xml:space="preserve">Within each region </w:t>
      </w:r>
      <w:r w:rsidR="00661543">
        <w:rPr>
          <w:rFonts w:ascii="Times New Roman" w:hAnsi="Times New Roman" w:cs="Times New Roman"/>
          <w:bCs/>
        </w:rPr>
        <w:t>I</w:t>
      </w:r>
      <w:r w:rsidR="00F30CDA" w:rsidRPr="00F30CDA">
        <w:rPr>
          <w:rFonts w:ascii="Times New Roman" w:hAnsi="Times New Roman" w:cs="Times New Roman"/>
          <w:bCs/>
        </w:rPr>
        <w:t xml:space="preserve"> identify destination pricing zones co-located with data center facilities using county-level capacity data from the U.S. Department of Energy / National Renewable Energy Laboratory Accelerating Speed to Power Data Viewer</w:t>
      </w:r>
      <w:r w:rsidR="00A36ECE">
        <w:rPr>
          <w:rFonts w:ascii="Times New Roman" w:hAnsi="Times New Roman" w:cs="Times New Roman"/>
          <w:bCs/>
        </w:rPr>
        <w:t>[11]</w:t>
      </w:r>
      <w:r w:rsidR="00114017">
        <w:rPr>
          <w:rFonts w:ascii="Times New Roman" w:hAnsi="Times New Roman" w:cs="Times New Roman"/>
          <w:bCs/>
        </w:rPr>
        <w:t>.</w:t>
      </w:r>
      <w:r w:rsidR="00F30CDA">
        <w:rPr>
          <w:rFonts w:ascii="Times New Roman" w:hAnsi="Times New Roman" w:cs="Times New Roman"/>
          <w:bCs/>
        </w:rPr>
        <w:t xml:space="preserve"> </w:t>
      </w:r>
      <w:r w:rsidR="003A0B79">
        <w:rPr>
          <w:rFonts w:ascii="Times New Roman" w:hAnsi="Times New Roman" w:cs="Times New Roman"/>
          <w:bCs/>
        </w:rPr>
        <w:t xml:space="preserve">Stress hours are defined as </w:t>
      </w:r>
      <w:r w:rsidR="00ED5841">
        <w:rPr>
          <w:rFonts w:ascii="Times New Roman" w:hAnsi="Times New Roman" w:cs="Times New Roman"/>
          <w:bCs/>
        </w:rPr>
        <w:t xml:space="preserve">the top 200 </w:t>
      </w:r>
      <w:r w:rsidR="003A0B79">
        <w:rPr>
          <w:rFonts w:ascii="Times New Roman" w:hAnsi="Times New Roman" w:cs="Times New Roman"/>
          <w:bCs/>
        </w:rPr>
        <w:t xml:space="preserve">DA LMP </w:t>
      </w:r>
      <w:r w:rsidR="00ED5841">
        <w:rPr>
          <w:rFonts w:ascii="Times New Roman" w:hAnsi="Times New Roman" w:cs="Times New Roman"/>
          <w:bCs/>
        </w:rPr>
        <w:t>hours per zone over the four-year window (the 99.4</w:t>
      </w:r>
      <w:r w:rsidR="00ED5841" w:rsidRPr="00ED5841">
        <w:rPr>
          <w:rFonts w:ascii="Times New Roman" w:hAnsi="Times New Roman" w:cs="Times New Roman"/>
          <w:bCs/>
          <w:vertAlign w:val="superscript"/>
        </w:rPr>
        <w:t>th</w:t>
      </w:r>
      <w:r w:rsidR="00ED5841">
        <w:rPr>
          <w:rFonts w:ascii="Times New Roman" w:hAnsi="Times New Roman" w:cs="Times New Roman"/>
          <w:bCs/>
        </w:rPr>
        <w:t xml:space="preserve"> percentile; see Methods for threshold sensitivity).</w:t>
      </w:r>
    </w:p>
    <w:p w14:paraId="67938F06" w14:textId="20757C5B" w:rsidR="00C12FA3"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t>
      </w:r>
      <w:r w:rsidR="00661543">
        <w:rPr>
          <w:rFonts w:ascii="Times New Roman" w:hAnsi="Times New Roman" w:cs="Times New Roman"/>
          <w:bCs/>
        </w:rPr>
        <w:t>I</w:t>
      </w:r>
      <w:r>
        <w:rPr>
          <w:rFonts w:ascii="Times New Roman" w:hAnsi="Times New Roman" w:cs="Times New Roman"/>
          <w:bCs/>
        </w:rPr>
        <w:t xml:space="preserv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 xml:space="preserve">was available in 198, corresponding to a dynamic availability of 99.0%. The two </w:t>
      </w:r>
      <w:r w:rsidR="00B117B8">
        <w:rPr>
          <w:rFonts w:ascii="Times New Roman" w:hAnsi="Times New Roman" w:cs="Times New Roman"/>
          <w:bCs/>
        </w:rPr>
        <w:lastRenderedPageBreak/>
        <w:t>failure hours occurred during the January 2024 Arctic Blast</w:t>
      </w:r>
      <w:r w:rsidR="00EE45B6">
        <w:rPr>
          <w:rStyle w:val="FootnoteReference"/>
          <w:rFonts w:ascii="Times New Roman" w:hAnsi="Times New Roman" w:cs="Times New Roman"/>
          <w:bCs/>
        </w:rPr>
        <w:footnoteReference w:id="4"/>
      </w:r>
      <w:r w:rsidR="00774BA4">
        <w:rPr>
          <w:rFonts w:ascii="Times New Roman" w:hAnsi="Times New Roman" w:cs="Times New Roman"/>
          <w:bCs/>
        </w:rPr>
        <w:t>. The decorrelation reflects the electrical topology of the North American transmission system</w:t>
      </w:r>
      <w:r w:rsidR="007D01A7">
        <w:rPr>
          <w:rFonts w:ascii="Times New Roman" w:hAnsi="Times New Roman" w:cs="Times New Roman"/>
          <w:bCs/>
        </w:rPr>
        <w:t>:</w:t>
      </w:r>
      <w:r w:rsidR="00774BA4">
        <w:rPr>
          <w:rFonts w:ascii="Times New Roman" w:hAnsi="Times New Roman" w:cs="Times New Roman"/>
          <w:bCs/>
        </w:rPr>
        <w:t xml:space="preserve"> ERCOT operates as an electrically isolated interconnection</w:t>
      </w:r>
      <w:r w:rsidR="007D01A7">
        <w:rPr>
          <w:rFonts w:ascii="Times New Roman" w:hAnsi="Times New Roman" w:cs="Times New Roman"/>
          <w:bCs/>
        </w:rPr>
        <w:t xml:space="preserve">, and </w:t>
      </w:r>
      <w:r w:rsidR="00774BA4">
        <w:rPr>
          <w:rFonts w:ascii="Times New Roman" w:hAnsi="Times New Roman" w:cs="Times New Roman"/>
          <w:bCs/>
        </w:rPr>
        <w:t>CAISO</w:t>
      </w:r>
      <w:r w:rsidR="007D01A7">
        <w:rPr>
          <w:rFonts w:ascii="Times New Roman" w:hAnsi="Times New Roman" w:cs="Times New Roman"/>
          <w:bCs/>
        </w:rPr>
        <w:t xml:space="preserve">’s </w:t>
      </w:r>
      <w:r w:rsidR="00AB44AF">
        <w:rPr>
          <w:rFonts w:ascii="Times New Roman" w:hAnsi="Times New Roman" w:cs="Times New Roman"/>
          <w:bCs/>
        </w:rPr>
        <w:t xml:space="preserve">temporal offset and weather patterns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NYISO zones from 29% to 41%, consistent with shared exposure to regional weather systems and partial electrical coupling.</w:t>
      </w:r>
      <w:r w:rsidR="008833BA">
        <w:rPr>
          <w:rFonts w:ascii="Times New Roman" w:hAnsi="Times New Roman" w:cs="Times New Roman"/>
          <w:bCs/>
        </w:rPr>
        <w:t xml:space="preserve"> </w:t>
      </w:r>
      <w:r w:rsidR="008833BA" w:rsidRPr="008833BA">
        <w:rPr>
          <w:rFonts w:ascii="Times New Roman" w:hAnsi="Times New Roman" w:cs="Times New Roman"/>
          <w:bCs/>
        </w:rPr>
        <w:t>The decorrelation finding generalizes across source zones: dynamic availability is 99.5% from PJM-DOM</w:t>
      </w:r>
      <w:r w:rsidR="00E529AC">
        <w:rPr>
          <w:rFonts w:ascii="Times New Roman" w:hAnsi="Times New Roman" w:cs="Times New Roman"/>
          <w:bCs/>
        </w:rPr>
        <w:t xml:space="preserve"> (Northern Virginia)</w:t>
      </w:r>
      <w:r w:rsidR="008833BA" w:rsidRPr="008833BA">
        <w:rPr>
          <w:rFonts w:ascii="Times New Roman" w:hAnsi="Times New Roman" w:cs="Times New Roman"/>
          <w:bCs/>
        </w:rPr>
        <w:t>, 100% from ERCOT-LZ-NORTH</w:t>
      </w:r>
      <w:r w:rsidR="00E529AC">
        <w:rPr>
          <w:rFonts w:ascii="Times New Roman" w:hAnsi="Times New Roman" w:cs="Times New Roman"/>
          <w:bCs/>
        </w:rPr>
        <w:t xml:space="preserve"> (Dallas-Fort Worth)</w:t>
      </w:r>
      <w:r w:rsidR="008833BA" w:rsidRPr="008833BA">
        <w:rPr>
          <w:rFonts w:ascii="Times New Roman" w:hAnsi="Times New Roman" w:cs="Times New Roman"/>
          <w:bCs/>
        </w:rPr>
        <w:t>, and 100% from CAISO-NP15</w:t>
      </w:r>
      <w:r w:rsidR="00E529AC">
        <w:rPr>
          <w:rFonts w:ascii="Times New Roman" w:hAnsi="Times New Roman" w:cs="Times New Roman"/>
          <w:bCs/>
        </w:rPr>
        <w:t xml:space="preserve"> (Northern California)</w:t>
      </w:r>
      <w:r w:rsidR="008833BA" w:rsidRPr="008833BA">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Stress overlap between ComEd and 17 cross-BA destination zones by year, 2022–2025. Each cell shows the percentage of ComEd's 50 annual stress hours in which the destination zone was simultaneously stressed. Cross-interconnection destinations (ERCOT, CAISO) exhibit overlap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51DB6B" w14:textId="2CCA6B12" w:rsidR="003229E9" w:rsidRPr="00257069" w:rsidRDefault="003229E9" w:rsidP="00271730">
      <w:pPr>
        <w:rPr>
          <w:rFonts w:ascii="Times New Roman" w:hAnsi="Times New Roman" w:cs="Times New Roman"/>
          <w:b/>
          <w:sz w:val="28"/>
          <w:szCs w:val="28"/>
        </w:rPr>
      </w:pPr>
      <w:r w:rsidRPr="005D1770">
        <w:rPr>
          <w:rFonts w:ascii="Times New Roman" w:hAnsi="Times New Roman" w:cs="Times New Roman"/>
          <w:b/>
        </w:rPr>
        <w:lastRenderedPageBreak/>
        <w:t xml:space="preserve">Workload </w:t>
      </w:r>
      <w:r w:rsidR="00520030">
        <w:rPr>
          <w:rFonts w:ascii="Times New Roman" w:hAnsi="Times New Roman" w:cs="Times New Roman"/>
          <w:b/>
        </w:rPr>
        <w:t>C</w:t>
      </w:r>
      <w:r w:rsidR="00520030" w:rsidRPr="005D1770">
        <w:rPr>
          <w:rFonts w:ascii="Times New Roman" w:hAnsi="Times New Roman" w:cs="Times New Roman"/>
          <w:b/>
        </w:rPr>
        <w:t>haracterization</w:t>
      </w:r>
    </w:p>
    <w:p w14:paraId="559469EF" w14:textId="42B3DD73" w:rsidR="004B51CA" w:rsidRPr="006A1A7E" w:rsidRDefault="001D6E1E" w:rsidP="006A1A7E">
      <w:pPr>
        <w:rPr>
          <w:rFonts w:ascii="Times New Roman" w:hAnsi="Times New Roman" w:cs="Times New Roman"/>
          <w:bCs/>
        </w:rPr>
      </w:pPr>
      <w:r w:rsidRPr="001D6E1E">
        <w:rPr>
          <w:rFonts w:ascii="Times New Roman" w:hAnsi="Times New Roman" w:cs="Times New Roman"/>
          <w:bCs/>
        </w:rPr>
        <w:t>The drain-within-window parameter (DRAIN</w:t>
      </w:r>
      <w:r w:rsidRPr="005D1770">
        <w:rPr>
          <w:rFonts w:ascii="Times New Roman" w:hAnsi="Times New Roman" w:cs="Times New Roman"/>
          <w:bCs/>
          <w:vertAlign w:val="subscript"/>
        </w:rPr>
        <w:t>ok</w:t>
      </w:r>
      <w:r w:rsidRPr="001D6E1E">
        <w:rPr>
          <w:rFonts w:ascii="Times New Roman" w:hAnsi="Times New Roman" w:cs="Times New Roman"/>
          <w:bCs/>
        </w:rPr>
        <w:t xml:space="preserve">) </w:t>
      </w:r>
      <w:r w:rsidR="006E465E">
        <w:rPr>
          <w:rFonts w:ascii="Times New Roman" w:hAnsi="Times New Roman" w:cs="Times New Roman"/>
          <w:bCs/>
        </w:rPr>
        <w:t>measures</w:t>
      </w:r>
      <w:r w:rsidR="006E465E" w:rsidRPr="001D6E1E">
        <w:rPr>
          <w:rFonts w:ascii="Times New Roman" w:hAnsi="Times New Roman" w:cs="Times New Roman"/>
          <w:bCs/>
        </w:rPr>
        <w:t xml:space="preserve"> </w:t>
      </w:r>
      <w:r w:rsidRPr="001D6E1E">
        <w:rPr>
          <w:rFonts w:ascii="Times New Roman" w:hAnsi="Times New Roman" w:cs="Times New Roman"/>
          <w:bCs/>
        </w:rPr>
        <w:t xml:space="preserve">whether active inference requests at a facility can </w:t>
      </w:r>
      <w:r w:rsidR="006E465E">
        <w:rPr>
          <w:rFonts w:ascii="Times New Roman" w:hAnsi="Times New Roman" w:cs="Times New Roman"/>
          <w:bCs/>
        </w:rPr>
        <w:t xml:space="preserve">finish </w:t>
      </w:r>
      <w:r w:rsidRPr="001D6E1E">
        <w:rPr>
          <w:rFonts w:ascii="Times New Roman" w:hAnsi="Times New Roman" w:cs="Times New Roman"/>
          <w:bCs/>
        </w:rPr>
        <w:t xml:space="preserve">within the grid operator's emergency dispatch window. </w:t>
      </w:r>
      <w:r w:rsidR="006E465E">
        <w:rPr>
          <w:rFonts w:ascii="Times New Roman" w:hAnsi="Times New Roman" w:cs="Times New Roman"/>
          <w:bCs/>
        </w:rPr>
        <w:t>I</w:t>
      </w:r>
      <w:r w:rsidR="006E465E" w:rsidRPr="001D6E1E">
        <w:rPr>
          <w:rFonts w:ascii="Times New Roman" w:hAnsi="Times New Roman" w:cs="Times New Roman"/>
          <w:bCs/>
        </w:rPr>
        <w:t xml:space="preserve"> </w:t>
      </w:r>
      <w:r w:rsidRPr="001D6E1E">
        <w:rPr>
          <w:rFonts w:ascii="Times New Roman" w:hAnsi="Times New Roman" w:cs="Times New Roman"/>
          <w:bCs/>
        </w:rPr>
        <w:t>validate</w:t>
      </w:r>
      <w:r w:rsidR="006E465E">
        <w:rPr>
          <w:rFonts w:ascii="Times New Roman" w:hAnsi="Times New Roman" w:cs="Times New Roman"/>
          <w:bCs/>
        </w:rPr>
        <w:t>d</w:t>
      </w:r>
      <w:r w:rsidRPr="001D6E1E">
        <w:rPr>
          <w:rFonts w:ascii="Times New Roman" w:hAnsi="Times New Roman" w:cs="Times New Roman"/>
          <w:bCs/>
        </w:rPr>
        <w:t xml:space="preserve"> drain time using two independent production datasets</w:t>
      </w:r>
      <w:r w:rsidR="006E465E">
        <w:rPr>
          <w:rFonts w:ascii="Times New Roman" w:hAnsi="Times New Roman" w:cs="Times New Roman"/>
          <w:bCs/>
        </w:rPr>
        <w:t>,</w:t>
      </w:r>
      <w:r w:rsidRPr="001D6E1E">
        <w:rPr>
          <w:rFonts w:ascii="Times New Roman" w:hAnsi="Times New Roman" w:cs="Times New Roman"/>
          <w:bCs/>
        </w:rPr>
        <w:t xml:space="preserve"> totaling 49.4 million </w:t>
      </w:r>
      <w:r w:rsidR="006E465E">
        <w:rPr>
          <w:rFonts w:ascii="Times New Roman" w:hAnsi="Times New Roman" w:cs="Times New Roman"/>
          <w:bCs/>
        </w:rPr>
        <w:t xml:space="preserve">inference </w:t>
      </w:r>
      <w:r w:rsidRPr="001D6E1E">
        <w:rPr>
          <w:rFonts w:ascii="Times New Roman" w:hAnsi="Times New Roman" w:cs="Times New Roman"/>
          <w:bCs/>
        </w:rPr>
        <w:t xml:space="preserve">requests </w:t>
      </w:r>
      <w:r w:rsidR="006E465E">
        <w:rPr>
          <w:rFonts w:ascii="Times New Roman" w:hAnsi="Times New Roman" w:cs="Times New Roman"/>
          <w:bCs/>
        </w:rPr>
        <w:t>across</w:t>
      </w:r>
      <w:r w:rsidRPr="001D6E1E">
        <w:rPr>
          <w:rFonts w:ascii="Times New Roman" w:hAnsi="Times New Roman" w:cs="Times New Roman"/>
          <w:bCs/>
        </w:rPr>
        <w:t xml:space="preserve"> 128 days (see Methods for dataset </w:t>
      </w:r>
      <w:r w:rsidR="006E465E">
        <w:rPr>
          <w:rFonts w:ascii="Times New Roman" w:hAnsi="Times New Roman" w:cs="Times New Roman"/>
          <w:bCs/>
        </w:rPr>
        <w:t>details</w:t>
      </w:r>
      <w:r w:rsidRPr="001D6E1E">
        <w:rPr>
          <w:rFonts w:ascii="Times New Roman" w:hAnsi="Times New Roman" w:cs="Times New Roman"/>
          <w:bCs/>
        </w:rPr>
        <w:t xml:space="preserve">). </w:t>
      </w:r>
      <w:r w:rsidR="006E465E">
        <w:rPr>
          <w:rFonts w:ascii="Times New Roman" w:hAnsi="Times New Roman" w:cs="Times New Roman"/>
          <w:bCs/>
        </w:rPr>
        <w:t xml:space="preserve">Across all model configurations and datasets, the </w:t>
      </w:r>
      <w:r w:rsidR="00300E1F">
        <w:rPr>
          <w:rFonts w:ascii="Times New Roman" w:hAnsi="Times New Roman" w:cs="Times New Roman"/>
          <w:bCs/>
        </w:rPr>
        <w:t>99</w:t>
      </w:r>
      <w:r w:rsidR="00300E1F" w:rsidRPr="005D1770">
        <w:rPr>
          <w:rFonts w:ascii="Times New Roman" w:hAnsi="Times New Roman" w:cs="Times New Roman"/>
          <w:bCs/>
          <w:vertAlign w:val="superscript"/>
        </w:rPr>
        <w:t>th</w:t>
      </w:r>
      <w:r w:rsidR="00300E1F">
        <w:rPr>
          <w:rFonts w:ascii="Times New Roman" w:hAnsi="Times New Roman" w:cs="Times New Roman"/>
          <w:bCs/>
        </w:rPr>
        <w:t>-percentile (</w:t>
      </w:r>
      <w:r w:rsidRPr="001D6E1E">
        <w:rPr>
          <w:rFonts w:ascii="Times New Roman" w:hAnsi="Times New Roman" w:cs="Times New Roman"/>
          <w:bCs/>
        </w:rPr>
        <w:t>P99</w:t>
      </w:r>
      <w:r w:rsidR="00300E1F">
        <w:rPr>
          <w:rFonts w:ascii="Times New Roman" w:hAnsi="Times New Roman" w:cs="Times New Roman"/>
          <w:bCs/>
        </w:rPr>
        <w:t>)</w:t>
      </w:r>
      <w:r w:rsidRPr="001D6E1E">
        <w:rPr>
          <w:rFonts w:ascii="Times New Roman" w:hAnsi="Times New Roman" w:cs="Times New Roman"/>
          <w:bCs/>
        </w:rPr>
        <w:t xml:space="preserve"> drain times range from 4.5 to 12.12 seconds</w:t>
      </w:r>
      <w:r w:rsidR="006E465E">
        <w:rPr>
          <w:rFonts w:ascii="Times New Roman" w:hAnsi="Times New Roman" w:cs="Times New Roman"/>
          <w:bCs/>
        </w:rPr>
        <w:t xml:space="preserve"> </w:t>
      </w:r>
      <w:r w:rsidR="00FD31FB">
        <w:rPr>
          <w:rFonts w:ascii="Times New Roman" w:hAnsi="Times New Roman" w:cs="Times New Roman"/>
          <w:bCs/>
        </w:rPr>
        <w:t>—</w:t>
      </w:r>
      <w:r w:rsidR="006E465E">
        <w:rPr>
          <w:rFonts w:ascii="Times New Roman" w:hAnsi="Times New Roman" w:cs="Times New Roman"/>
          <w:bCs/>
        </w:rPr>
        <w:t xml:space="preserve"> nearly</w:t>
      </w:r>
      <w:r w:rsidRPr="001D6E1E">
        <w:rPr>
          <w:rFonts w:ascii="Times New Roman" w:hAnsi="Times New Roman" w:cs="Times New Roman"/>
          <w:bCs/>
        </w:rPr>
        <w:t xml:space="preserve"> two orders of magnitude </w:t>
      </w:r>
      <w:r w:rsidR="006E465E">
        <w:rPr>
          <w:rFonts w:ascii="Times New Roman" w:hAnsi="Times New Roman" w:cs="Times New Roman"/>
          <w:bCs/>
        </w:rPr>
        <w:t xml:space="preserve">faster than </w:t>
      </w:r>
      <w:r w:rsidRPr="001D6E1E">
        <w:rPr>
          <w:rFonts w:ascii="Times New Roman" w:hAnsi="Times New Roman" w:cs="Times New Roman"/>
          <w:bCs/>
        </w:rPr>
        <w:t>PJM's minimum dispatch window of 10 minutes</w:t>
      </w:r>
      <w:r w:rsidR="00A36ECE">
        <w:rPr>
          <w:rFonts w:ascii="Times New Roman" w:hAnsi="Times New Roman" w:cs="Times New Roman"/>
          <w:bCs/>
        </w:rPr>
        <w:t>[12</w:t>
      </w:r>
      <w:r w:rsidR="006E465E">
        <w:rPr>
          <w:rFonts w:ascii="Times New Roman" w:hAnsi="Times New Roman" w:cs="Times New Roman"/>
          <w:bCs/>
        </w:rPr>
        <w:t>]. This supports setting</w:t>
      </w:r>
      <w:r w:rsidRPr="001D6E1E">
        <w:rPr>
          <w:rFonts w:ascii="Times New Roman" w:hAnsi="Times New Roman" w:cs="Times New Roman"/>
          <w:bCs/>
        </w:rPr>
        <w:t xml:space="preserve"> DRAIN</w:t>
      </w:r>
      <w:r w:rsidRPr="005D1770">
        <w:rPr>
          <w:rFonts w:ascii="Times New Roman" w:hAnsi="Times New Roman" w:cs="Times New Roman"/>
          <w:bCs/>
          <w:vertAlign w:val="subscript"/>
        </w:rPr>
        <w:t>ok</w:t>
      </w:r>
      <w:r w:rsidRPr="001D6E1E">
        <w:rPr>
          <w:rFonts w:ascii="Times New Roman" w:hAnsi="Times New Roman" w:cs="Times New Roman"/>
          <w:bCs/>
        </w:rPr>
        <w:t xml:space="preserve"> = 0.95 </w:t>
      </w:r>
      <w:r w:rsidR="006E465E">
        <w:rPr>
          <w:rFonts w:ascii="Times New Roman" w:hAnsi="Times New Roman" w:cs="Times New Roman"/>
          <w:bCs/>
        </w:rPr>
        <w:t>as</w:t>
      </w:r>
      <w:r w:rsidR="006E465E" w:rsidRPr="001D6E1E">
        <w:rPr>
          <w:rFonts w:ascii="Times New Roman" w:hAnsi="Times New Roman" w:cs="Times New Roman"/>
          <w:bCs/>
        </w:rPr>
        <w:t xml:space="preserve"> </w:t>
      </w:r>
      <w:r w:rsidRPr="001D6E1E">
        <w:rPr>
          <w:rFonts w:ascii="Times New Roman" w:hAnsi="Times New Roman" w:cs="Times New Roman"/>
          <w:bCs/>
        </w:rPr>
        <w:t xml:space="preserve">a conservative </w:t>
      </w:r>
      <w:r w:rsidR="006E465E">
        <w:rPr>
          <w:rFonts w:ascii="Times New Roman" w:hAnsi="Times New Roman" w:cs="Times New Roman"/>
          <w:bCs/>
        </w:rPr>
        <w:t>estimate.</w:t>
      </w:r>
      <w:r w:rsidRPr="001D6E1E">
        <w:rPr>
          <w:rFonts w:ascii="Times New Roman" w:hAnsi="Times New Roman" w:cs="Times New Roman"/>
          <w:bCs/>
        </w:rPr>
        <w:t xml:space="preserve"> The</w:t>
      </w:r>
      <w:r w:rsidR="006E465E">
        <w:rPr>
          <w:rFonts w:ascii="Times New Roman" w:hAnsi="Times New Roman" w:cs="Times New Roman"/>
          <w:bCs/>
        </w:rPr>
        <w:t xml:space="preserve"> remaining</w:t>
      </w:r>
      <w:r w:rsidRPr="001D6E1E">
        <w:rPr>
          <w:rFonts w:ascii="Times New Roman" w:hAnsi="Times New Roman" w:cs="Times New Roman"/>
          <w:bCs/>
        </w:rPr>
        <w:t xml:space="preserve"> 5% </w:t>
      </w:r>
      <w:r w:rsidR="006E465E">
        <w:rPr>
          <w:rFonts w:ascii="Times New Roman" w:hAnsi="Times New Roman" w:cs="Times New Roman"/>
          <w:bCs/>
        </w:rPr>
        <w:t>not included</w:t>
      </w:r>
      <w:r w:rsidR="006E465E" w:rsidRPr="001D6E1E">
        <w:rPr>
          <w:rFonts w:ascii="Times New Roman" w:hAnsi="Times New Roman" w:cs="Times New Roman"/>
          <w:bCs/>
        </w:rPr>
        <w:t xml:space="preserve"> </w:t>
      </w:r>
      <w:r w:rsidR="006E465E">
        <w:rPr>
          <w:rFonts w:ascii="Times New Roman" w:hAnsi="Times New Roman" w:cs="Times New Roman"/>
          <w:bCs/>
        </w:rPr>
        <w:t>in</w:t>
      </w:r>
      <w:r w:rsidR="006E465E" w:rsidRPr="001D6E1E">
        <w:rPr>
          <w:rFonts w:ascii="Times New Roman" w:hAnsi="Times New Roman" w:cs="Times New Roman"/>
          <w:bCs/>
        </w:rPr>
        <w:t xml:space="preserve"> </w:t>
      </w:r>
      <w:r w:rsidRPr="001D6E1E">
        <w:rPr>
          <w:rFonts w:ascii="Times New Roman" w:hAnsi="Times New Roman" w:cs="Times New Roman"/>
          <w:bCs/>
        </w:rPr>
        <w:t>DRAIN</w:t>
      </w:r>
      <w:r w:rsidRPr="005D1770">
        <w:rPr>
          <w:rFonts w:ascii="Times New Roman" w:hAnsi="Times New Roman" w:cs="Times New Roman"/>
          <w:bCs/>
          <w:vertAlign w:val="subscript"/>
        </w:rPr>
        <w:t>ok</w:t>
      </w:r>
      <w:r w:rsidRPr="001D6E1E">
        <w:rPr>
          <w:rFonts w:ascii="Times New Roman" w:hAnsi="Times New Roman" w:cs="Times New Roman"/>
          <w:bCs/>
        </w:rPr>
        <w:t xml:space="preserve"> </w:t>
      </w:r>
      <w:r w:rsidR="006E465E">
        <w:rPr>
          <w:rFonts w:ascii="Times New Roman" w:hAnsi="Times New Roman" w:cs="Times New Roman"/>
          <w:bCs/>
        </w:rPr>
        <w:t>accounts for</w:t>
      </w:r>
      <w:r w:rsidR="006E465E" w:rsidRPr="001D6E1E">
        <w:rPr>
          <w:rFonts w:ascii="Times New Roman" w:hAnsi="Times New Roman" w:cs="Times New Roman"/>
          <w:bCs/>
        </w:rPr>
        <w:t xml:space="preserve"> </w:t>
      </w:r>
      <w:r w:rsidRPr="001D6E1E">
        <w:rPr>
          <w:rFonts w:ascii="Times New Roman" w:hAnsi="Times New Roman" w:cs="Times New Roman"/>
          <w:bCs/>
        </w:rPr>
        <w:t>long-running or batch inference requests, multi-turn conversational sessions with persistent state, and potential future workload</w:t>
      </w:r>
      <w:r w:rsidR="006E465E">
        <w:rPr>
          <w:rFonts w:ascii="Times New Roman" w:hAnsi="Times New Roman" w:cs="Times New Roman"/>
          <w:bCs/>
        </w:rPr>
        <w:t>s</w:t>
      </w:r>
      <w:r w:rsidRPr="001D6E1E">
        <w:rPr>
          <w:rFonts w:ascii="Times New Roman" w:hAnsi="Times New Roman" w:cs="Times New Roman"/>
          <w:bCs/>
        </w:rPr>
        <w:t xml:space="preserve"> </w:t>
      </w:r>
      <w:r w:rsidR="006E465E">
        <w:rPr>
          <w:rFonts w:ascii="Times New Roman" w:hAnsi="Times New Roman" w:cs="Times New Roman"/>
          <w:bCs/>
        </w:rPr>
        <w:t>that may require</w:t>
      </w:r>
      <w:r w:rsidRPr="001D6E1E">
        <w:rPr>
          <w:rFonts w:ascii="Times New Roman" w:hAnsi="Times New Roman" w:cs="Times New Roman"/>
          <w:bCs/>
        </w:rPr>
        <w:t xml:space="preserve"> longer completion times.</w:t>
      </w:r>
      <w:r w:rsidR="00394EB6">
        <w:rPr>
          <w:rFonts w:ascii="Times New Roman" w:hAnsi="Times New Roman" w:cs="Times New Roman"/>
          <w:bCs/>
        </w:rPr>
        <w:t xml:space="preserve"> </w:t>
      </w:r>
    </w:p>
    <w:p w14:paraId="181282BB" w14:textId="77A5EFAC" w:rsidR="006A1A7E" w:rsidRPr="005D1770" w:rsidRDefault="006A1A7E" w:rsidP="00271730">
      <w:pPr>
        <w:rPr>
          <w:rFonts w:ascii="Times New Roman" w:hAnsi="Times New Roman" w:cs="Times New Roman"/>
          <w:b/>
        </w:rPr>
      </w:pPr>
      <w:r w:rsidRPr="005D1770">
        <w:rPr>
          <w:rFonts w:ascii="Times New Roman" w:hAnsi="Times New Roman" w:cs="Times New Roman"/>
          <w:b/>
        </w:rPr>
        <w:t xml:space="preserve">Conditional Monte Carlo </w:t>
      </w:r>
      <w:r w:rsidR="00520030">
        <w:rPr>
          <w:rFonts w:ascii="Times New Roman" w:hAnsi="Times New Roman" w:cs="Times New Roman"/>
          <w:b/>
        </w:rPr>
        <w:t>V</w:t>
      </w:r>
      <w:r w:rsidRPr="005D1770">
        <w:rPr>
          <w:rFonts w:ascii="Times New Roman" w:hAnsi="Times New Roman" w:cs="Times New Roman"/>
          <w:b/>
        </w:rPr>
        <w:t>alidation</w:t>
      </w:r>
    </w:p>
    <w:p w14:paraId="372DCF96" w14:textId="756D279A" w:rsidR="001D6E1E" w:rsidRPr="001D6E1E" w:rsidRDefault="004D5A8D" w:rsidP="001D6E1E">
      <w:pPr>
        <w:rPr>
          <w:rFonts w:ascii="Times New Roman" w:hAnsi="Times New Roman" w:cs="Times New Roman"/>
          <w:bCs/>
        </w:rPr>
      </w:pPr>
      <w:r>
        <w:rPr>
          <w:rFonts w:ascii="Times New Roman" w:hAnsi="Times New Roman" w:cs="Times New Roman"/>
          <w:bCs/>
        </w:rPr>
        <w:t>I designed</w:t>
      </w:r>
      <w:r w:rsidR="001D6E1E" w:rsidRPr="001D6E1E">
        <w:rPr>
          <w:rFonts w:ascii="Times New Roman" w:hAnsi="Times New Roman" w:cs="Times New Roman"/>
          <w:bCs/>
        </w:rPr>
        <w:t xml:space="preserve"> a conditional Monte Carlo simulation that </w:t>
      </w:r>
      <w:r>
        <w:rPr>
          <w:rFonts w:ascii="Times New Roman" w:hAnsi="Times New Roman" w:cs="Times New Roman"/>
          <w:bCs/>
        </w:rPr>
        <w:t>uses</w:t>
      </w:r>
      <w:r w:rsidR="001D6E1E" w:rsidRPr="001D6E1E">
        <w:rPr>
          <w:rFonts w:ascii="Times New Roman" w:hAnsi="Times New Roman" w:cs="Times New Roman"/>
          <w:bCs/>
        </w:rPr>
        <w:t xml:space="preserve"> observed per-hour grid states to </w:t>
      </w:r>
      <w:r>
        <w:rPr>
          <w:rFonts w:ascii="Times New Roman" w:hAnsi="Times New Roman" w:cs="Times New Roman"/>
          <w:bCs/>
        </w:rPr>
        <w:t xml:space="preserve">analyze </w:t>
      </w:r>
      <w:r w:rsidR="001D6E1E" w:rsidRPr="001D6E1E">
        <w:rPr>
          <w:rFonts w:ascii="Times New Roman" w:hAnsi="Times New Roman" w:cs="Times New Roman"/>
          <w:bCs/>
        </w:rPr>
        <w:t xml:space="preserve">how commitment depth </w:t>
      </w:r>
      <w:r>
        <w:rPr>
          <w:rFonts w:ascii="Times New Roman" w:hAnsi="Times New Roman" w:cs="Times New Roman"/>
          <w:bCs/>
        </w:rPr>
        <w:t>is affected by</w:t>
      </w:r>
      <w:r w:rsidR="001D6E1E" w:rsidRPr="001D6E1E">
        <w:rPr>
          <w:rFonts w:ascii="Times New Roman" w:hAnsi="Times New Roman" w:cs="Times New Roman"/>
          <w:bCs/>
        </w:rPr>
        <w:t xml:space="preserve"> fleet size, destination contention, and post-stress recovery saturation during specific stress events. The simulation is </w:t>
      </w:r>
      <w:r>
        <w:rPr>
          <w:rFonts w:ascii="Times New Roman" w:hAnsi="Times New Roman" w:cs="Times New Roman"/>
          <w:bCs/>
        </w:rPr>
        <w:t>conducted</w:t>
      </w:r>
      <w:r w:rsidRPr="001D6E1E">
        <w:rPr>
          <w:rFonts w:ascii="Times New Roman" w:hAnsi="Times New Roman" w:cs="Times New Roman"/>
          <w:bCs/>
        </w:rPr>
        <w:t xml:space="preserve"> </w:t>
      </w:r>
      <w:r w:rsidR="001D6E1E" w:rsidRPr="001D6E1E">
        <w:rPr>
          <w:rFonts w:ascii="Times New Roman" w:hAnsi="Times New Roman" w:cs="Times New Roman"/>
          <w:bCs/>
        </w:rPr>
        <w:t xml:space="preserve">separately </w:t>
      </w:r>
      <w:r>
        <w:rPr>
          <w:rFonts w:ascii="Times New Roman" w:hAnsi="Times New Roman" w:cs="Times New Roman"/>
          <w:bCs/>
        </w:rPr>
        <w:t>for</w:t>
      </w:r>
      <w:r w:rsidRPr="001D6E1E">
        <w:rPr>
          <w:rFonts w:ascii="Times New Roman" w:hAnsi="Times New Roman" w:cs="Times New Roman"/>
          <w:bCs/>
        </w:rPr>
        <w:t xml:space="preserve"> </w:t>
      </w:r>
      <w:r w:rsidR="001D6E1E" w:rsidRPr="001D6E1E">
        <w:rPr>
          <w:rFonts w:ascii="Times New Roman" w:hAnsi="Times New Roman" w:cs="Times New Roman"/>
          <w:bCs/>
        </w:rPr>
        <w:t>each of the two scope scenarios</w:t>
      </w:r>
      <w:r>
        <w:rPr>
          <w:rFonts w:ascii="Times New Roman" w:hAnsi="Times New Roman" w:cs="Times New Roman"/>
          <w:bCs/>
        </w:rPr>
        <w:t>, and</w:t>
      </w:r>
      <w:r w:rsidRPr="001D6E1E">
        <w:rPr>
          <w:rFonts w:ascii="Times New Roman" w:hAnsi="Times New Roman" w:cs="Times New Roman"/>
          <w:bCs/>
        </w:rPr>
        <w:t xml:space="preserve"> </w:t>
      </w:r>
      <w:r w:rsidR="001D6E1E" w:rsidRPr="001D6E1E">
        <w:rPr>
          <w:rFonts w:ascii="Times New Roman" w:hAnsi="Times New Roman" w:cs="Times New Roman"/>
          <w:bCs/>
        </w:rPr>
        <w:t xml:space="preserve">results are reported </w:t>
      </w:r>
      <w:r>
        <w:rPr>
          <w:rFonts w:ascii="Times New Roman" w:hAnsi="Times New Roman" w:cs="Times New Roman"/>
          <w:bCs/>
        </w:rPr>
        <w:t>side by side</w:t>
      </w:r>
      <w:r w:rsidR="001D6E1E" w:rsidRPr="001D6E1E">
        <w:rPr>
          <w:rFonts w:ascii="Times New Roman" w:hAnsi="Times New Roman" w:cs="Times New Roman"/>
          <w:bCs/>
        </w:rPr>
        <w:t>.</w:t>
      </w:r>
    </w:p>
    <w:p w14:paraId="4DBFBBBB" w14:textId="1CDFBE66" w:rsidR="00C60DCD" w:rsidRDefault="004D41B9" w:rsidP="001D6E1E">
      <w:pPr>
        <w:rPr>
          <w:rFonts w:ascii="Times New Roman" w:hAnsi="Times New Roman" w:cs="Times New Roman"/>
          <w:bCs/>
        </w:rPr>
      </w:pPr>
      <w:r w:rsidRPr="004D41B9">
        <w:rPr>
          <w:rFonts w:ascii="Times New Roman" w:hAnsi="Times New Roman" w:cs="Times New Roman"/>
          <w:bCs/>
        </w:rPr>
        <w:t xml:space="preserve">For a </w:t>
      </w:r>
      <w:r w:rsidR="004D5A8D">
        <w:rPr>
          <w:rFonts w:ascii="Times New Roman" w:hAnsi="Times New Roman" w:cs="Times New Roman"/>
          <w:bCs/>
        </w:rPr>
        <w:t>typical</w:t>
      </w:r>
      <w:r w:rsidR="004D5A8D" w:rsidRPr="004D41B9">
        <w:rPr>
          <w:rFonts w:ascii="Times New Roman" w:hAnsi="Times New Roman" w:cs="Times New Roman"/>
          <w:bCs/>
        </w:rPr>
        <w:t xml:space="preserve"> </w:t>
      </w:r>
      <w:r w:rsidRPr="004D41B9">
        <w:rPr>
          <w:rFonts w:ascii="Times New Roman" w:hAnsi="Times New Roman" w:cs="Times New Roman"/>
          <w:bCs/>
        </w:rPr>
        <w:t xml:space="preserve">500 MW inference-dominant facility, the </w:t>
      </w:r>
      <w:r w:rsidR="004D5A8D">
        <w:rPr>
          <w:rFonts w:ascii="Times New Roman" w:hAnsi="Times New Roman" w:cs="Times New Roman"/>
          <w:bCs/>
        </w:rPr>
        <w:t>simulation</w:t>
      </w:r>
      <w:r w:rsidRPr="004D41B9">
        <w:rPr>
          <w:rFonts w:ascii="Times New Roman" w:hAnsi="Times New Roman" w:cs="Times New Roman"/>
          <w:bCs/>
        </w:rPr>
        <w:t xml:space="preserve"> </w:t>
      </w:r>
      <w:r w:rsidR="004D5A8D">
        <w:rPr>
          <w:rFonts w:ascii="Times New Roman" w:hAnsi="Times New Roman" w:cs="Times New Roman"/>
          <w:bCs/>
        </w:rPr>
        <w:t>produces</w:t>
      </w:r>
      <w:r w:rsidR="004D5A8D" w:rsidRPr="004D41B9">
        <w:rPr>
          <w:rFonts w:ascii="Times New Roman" w:hAnsi="Times New Roman" w:cs="Times New Roman"/>
          <w:bCs/>
        </w:rPr>
        <w:t xml:space="preserve"> </w:t>
      </w:r>
      <w:r w:rsidRPr="004D41B9">
        <w:rPr>
          <w:rFonts w:ascii="Times New Roman" w:hAnsi="Times New Roman" w:cs="Times New Roman"/>
          <w:bCs/>
        </w:rPr>
        <w:t xml:space="preserve">a mean commitment depth of 40.0% under the inference-dominant </w:t>
      </w:r>
      <w:r w:rsidR="004D5A8D">
        <w:rPr>
          <w:rFonts w:ascii="Times New Roman" w:hAnsi="Times New Roman" w:cs="Times New Roman"/>
          <w:bCs/>
        </w:rPr>
        <w:t>scenario</w:t>
      </w:r>
      <w:r w:rsidRPr="004D41B9">
        <w:rPr>
          <w:rFonts w:ascii="Times New Roman" w:hAnsi="Times New Roman" w:cs="Times New Roman"/>
          <w:bCs/>
        </w:rPr>
        <w:t xml:space="preserve"> (φ</w:t>
      </w:r>
      <w:r w:rsidRPr="005D1770">
        <w:rPr>
          <w:rFonts w:ascii="Times New Roman" w:hAnsi="Times New Roman" w:cs="Times New Roman"/>
          <w:bCs/>
          <w:vertAlign w:val="subscript"/>
        </w:rPr>
        <w:t>inf</w:t>
      </w:r>
      <w:r w:rsidRPr="004D41B9">
        <w:rPr>
          <w:rFonts w:ascii="Times New Roman" w:hAnsi="Times New Roman" w:cs="Times New Roman"/>
          <w:bCs/>
        </w:rPr>
        <w:t xml:space="preserve"> = 0.70), with</w:t>
      </w:r>
      <w:r w:rsidR="004D5A8D">
        <w:rPr>
          <w:rFonts w:ascii="Times New Roman" w:hAnsi="Times New Roman" w:cs="Times New Roman"/>
          <w:bCs/>
        </w:rPr>
        <w:t xml:space="preserve"> a</w:t>
      </w:r>
      <w:r w:rsidRPr="004D41B9">
        <w:rPr>
          <w:rFonts w:ascii="Times New Roman" w:hAnsi="Times New Roman" w:cs="Times New Roman"/>
          <w:bCs/>
        </w:rPr>
        <w:t xml:space="preserve"> 5th percentile</w:t>
      </w:r>
      <w:r w:rsidR="004D5A8D">
        <w:rPr>
          <w:rFonts w:ascii="Times New Roman" w:hAnsi="Times New Roman" w:cs="Times New Roman"/>
          <w:bCs/>
        </w:rPr>
        <w:t xml:space="preserve"> value</w:t>
      </w:r>
      <w:r w:rsidRPr="004D41B9">
        <w:rPr>
          <w:rFonts w:ascii="Times New Roman" w:hAnsi="Times New Roman" w:cs="Times New Roman"/>
          <w:bCs/>
        </w:rPr>
        <w:t xml:space="preserve"> of 38.5% and </w:t>
      </w:r>
      <w:r w:rsidR="004D5A8D">
        <w:rPr>
          <w:rFonts w:ascii="Times New Roman" w:hAnsi="Times New Roman" w:cs="Times New Roman"/>
          <w:bCs/>
        </w:rPr>
        <w:t xml:space="preserve">a </w:t>
      </w:r>
      <w:r w:rsidRPr="004D41B9">
        <w:rPr>
          <w:rFonts w:ascii="Times New Roman" w:hAnsi="Times New Roman" w:cs="Times New Roman"/>
          <w:bCs/>
        </w:rPr>
        <w:t xml:space="preserve">conditional expected shortfall below the 5th percentile of 33.1%. </w:t>
      </w:r>
      <w:r w:rsidR="00C60DCD">
        <w:rPr>
          <w:rFonts w:ascii="Times New Roman" w:hAnsi="Times New Roman" w:cs="Times New Roman"/>
          <w:bCs/>
        </w:rPr>
        <w:t>In</w:t>
      </w:r>
      <w:r w:rsidR="00C60DCD" w:rsidRPr="004D41B9">
        <w:rPr>
          <w:rFonts w:ascii="Times New Roman" w:hAnsi="Times New Roman" w:cs="Times New Roman"/>
          <w:bCs/>
        </w:rPr>
        <w:t xml:space="preserve"> </w:t>
      </w:r>
      <w:r w:rsidRPr="004D41B9">
        <w:rPr>
          <w:rFonts w:ascii="Times New Roman" w:hAnsi="Times New Roman" w:cs="Times New Roman"/>
          <w:bCs/>
        </w:rPr>
        <w:t xml:space="preserve">the mixed-use </w:t>
      </w:r>
      <w:r w:rsidR="00C60DCD">
        <w:rPr>
          <w:rFonts w:ascii="Times New Roman" w:hAnsi="Times New Roman" w:cs="Times New Roman"/>
          <w:bCs/>
        </w:rPr>
        <w:t>scenario</w:t>
      </w:r>
      <w:r w:rsidRPr="004D41B9">
        <w:rPr>
          <w:rFonts w:ascii="Times New Roman" w:hAnsi="Times New Roman" w:cs="Times New Roman"/>
          <w:bCs/>
        </w:rPr>
        <w:t xml:space="preserve"> (φ</w:t>
      </w:r>
      <w:r w:rsidRPr="005D1770">
        <w:rPr>
          <w:rFonts w:ascii="Times New Roman" w:hAnsi="Times New Roman" w:cs="Times New Roman"/>
          <w:bCs/>
          <w:vertAlign w:val="subscript"/>
        </w:rPr>
        <w:t>inf</w:t>
      </w:r>
      <w:r w:rsidRPr="004D41B9">
        <w:rPr>
          <w:rFonts w:ascii="Times New Roman" w:hAnsi="Times New Roman" w:cs="Times New Roman"/>
          <w:bCs/>
        </w:rPr>
        <w:t xml:space="preserve"> = 0.43), the mean</w:t>
      </w:r>
      <w:r w:rsidR="00C60DCD">
        <w:rPr>
          <w:rFonts w:ascii="Times New Roman" w:hAnsi="Times New Roman" w:cs="Times New Roman"/>
          <w:bCs/>
        </w:rPr>
        <w:t xml:space="preserve"> commitment depth is</w:t>
      </w:r>
      <w:r w:rsidRPr="004D41B9">
        <w:rPr>
          <w:rFonts w:ascii="Times New Roman" w:hAnsi="Times New Roman" w:cs="Times New Roman"/>
          <w:bCs/>
        </w:rPr>
        <w:t xml:space="preserve"> 24.6%,</w:t>
      </w:r>
      <w:r w:rsidR="00C60DCD">
        <w:rPr>
          <w:rFonts w:ascii="Times New Roman" w:hAnsi="Times New Roman" w:cs="Times New Roman"/>
          <w:bCs/>
        </w:rPr>
        <w:t xml:space="preserve"> the 5th percentile is </w:t>
      </w:r>
      <w:r w:rsidRPr="004D41B9">
        <w:rPr>
          <w:rFonts w:ascii="Times New Roman" w:hAnsi="Times New Roman" w:cs="Times New Roman"/>
          <w:bCs/>
        </w:rPr>
        <w:t xml:space="preserve">23.7%, and </w:t>
      </w:r>
      <w:r w:rsidR="00C60DCD">
        <w:rPr>
          <w:rFonts w:ascii="Times New Roman" w:hAnsi="Times New Roman" w:cs="Times New Roman"/>
          <w:bCs/>
        </w:rPr>
        <w:t xml:space="preserve">the </w:t>
      </w:r>
      <w:r w:rsidR="00D87871">
        <w:rPr>
          <w:rFonts w:ascii="Times New Roman" w:hAnsi="Times New Roman" w:cs="Times New Roman"/>
          <w:bCs/>
        </w:rPr>
        <w:t>conditional expected shortfall</w:t>
      </w:r>
      <w:r w:rsidR="00C60DCD">
        <w:rPr>
          <w:rFonts w:ascii="Times New Roman" w:hAnsi="Times New Roman" w:cs="Times New Roman"/>
          <w:bCs/>
        </w:rPr>
        <w:t xml:space="preserve"> is</w:t>
      </w:r>
      <w:r w:rsidRPr="004D41B9">
        <w:rPr>
          <w:rFonts w:ascii="Times New Roman" w:hAnsi="Times New Roman" w:cs="Times New Roman"/>
          <w:bCs/>
        </w:rPr>
        <w:t xml:space="preserve"> 20.6%. </w:t>
      </w:r>
    </w:p>
    <w:p w14:paraId="64181462" w14:textId="6FC5260C" w:rsidR="004D41B9" w:rsidRDefault="004D41B9" w:rsidP="001D6E1E">
      <w:pPr>
        <w:rPr>
          <w:rFonts w:ascii="Times New Roman" w:hAnsi="Times New Roman" w:cs="Times New Roman"/>
          <w:bCs/>
        </w:rPr>
      </w:pPr>
      <w:r w:rsidRPr="004D41B9">
        <w:rPr>
          <w:rFonts w:ascii="Times New Roman" w:hAnsi="Times New Roman" w:cs="Times New Roman"/>
          <w:bCs/>
        </w:rPr>
        <w:t xml:space="preserve">The framework's conservatism at </w:t>
      </w:r>
      <w:r w:rsidR="00C60DCD">
        <w:rPr>
          <w:rFonts w:ascii="Times New Roman" w:hAnsi="Times New Roman" w:cs="Times New Roman"/>
          <w:bCs/>
        </w:rPr>
        <w:t xml:space="preserve">the </w:t>
      </w:r>
      <w:r w:rsidRPr="004D41B9">
        <w:rPr>
          <w:rFonts w:ascii="Times New Roman" w:hAnsi="Times New Roman" w:cs="Times New Roman"/>
          <w:bCs/>
        </w:rPr>
        <w:t xml:space="preserve">single-facility </w:t>
      </w:r>
      <w:r w:rsidR="00C60DCD">
        <w:rPr>
          <w:rFonts w:ascii="Times New Roman" w:hAnsi="Times New Roman" w:cs="Times New Roman"/>
          <w:bCs/>
        </w:rPr>
        <w:t>level</w:t>
      </w:r>
      <w:r w:rsidR="00C60DCD" w:rsidRPr="004D41B9">
        <w:rPr>
          <w:rFonts w:ascii="Times New Roman" w:hAnsi="Times New Roman" w:cs="Times New Roman"/>
          <w:bCs/>
        </w:rPr>
        <w:t xml:space="preserve"> </w:t>
      </w:r>
      <w:r w:rsidR="00C60DCD">
        <w:rPr>
          <w:rFonts w:ascii="Times New Roman" w:hAnsi="Times New Roman" w:cs="Times New Roman"/>
          <w:bCs/>
        </w:rPr>
        <w:t>comes</w:t>
      </w:r>
      <w:r w:rsidR="00C60DCD" w:rsidRPr="004D41B9">
        <w:rPr>
          <w:rFonts w:ascii="Times New Roman" w:hAnsi="Times New Roman" w:cs="Times New Roman"/>
          <w:bCs/>
        </w:rPr>
        <w:t xml:space="preserve"> </w:t>
      </w:r>
      <w:r w:rsidRPr="004D41B9">
        <w:rPr>
          <w:rFonts w:ascii="Times New Roman" w:hAnsi="Times New Roman" w:cs="Times New Roman"/>
          <w:bCs/>
        </w:rPr>
        <w:t xml:space="preserve">from a ratio effect: </w:t>
      </w:r>
      <w:r w:rsidR="00C60DCD">
        <w:rPr>
          <w:rFonts w:ascii="Times New Roman" w:hAnsi="Times New Roman" w:cs="Times New Roman"/>
          <w:bCs/>
        </w:rPr>
        <w:t xml:space="preserve">during most stress hours, the combined </w:t>
      </w:r>
      <w:r w:rsidRPr="004D41B9">
        <w:rPr>
          <w:rFonts w:ascii="Times New Roman" w:hAnsi="Times New Roman" w:cs="Times New Roman"/>
          <w:bCs/>
        </w:rPr>
        <w:t xml:space="preserve">available headroom across unstressed destinations </w:t>
      </w:r>
      <w:r w:rsidR="00C60DCD">
        <w:rPr>
          <w:rFonts w:ascii="Times New Roman" w:hAnsi="Times New Roman" w:cs="Times New Roman"/>
          <w:bCs/>
        </w:rPr>
        <w:t>greatly</w:t>
      </w:r>
      <w:r w:rsidR="00C60DCD" w:rsidRPr="004D41B9">
        <w:rPr>
          <w:rFonts w:ascii="Times New Roman" w:hAnsi="Times New Roman" w:cs="Times New Roman"/>
          <w:bCs/>
        </w:rPr>
        <w:t xml:space="preserve"> </w:t>
      </w:r>
      <w:r w:rsidRPr="004D41B9">
        <w:rPr>
          <w:rFonts w:ascii="Times New Roman" w:hAnsi="Times New Roman" w:cs="Times New Roman"/>
          <w:bCs/>
        </w:rPr>
        <w:t>exceeds the demand from a single migrating facility</w:t>
      </w:r>
      <w:r w:rsidR="00C60DCD">
        <w:rPr>
          <w:rFonts w:ascii="Times New Roman" w:hAnsi="Times New Roman" w:cs="Times New Roman"/>
          <w:bCs/>
        </w:rPr>
        <w:t>.</w:t>
      </w:r>
      <w:r w:rsidRPr="004D41B9">
        <w:rPr>
          <w:rFonts w:ascii="Times New Roman" w:hAnsi="Times New Roman" w:cs="Times New Roman"/>
          <w:bCs/>
        </w:rPr>
        <w:t xml:space="preserve"> </w:t>
      </w:r>
      <w:r w:rsidR="00C60DCD">
        <w:rPr>
          <w:rFonts w:ascii="Times New Roman" w:hAnsi="Times New Roman" w:cs="Times New Roman"/>
          <w:bCs/>
        </w:rPr>
        <w:t xml:space="preserve">Additionally, </w:t>
      </w:r>
      <w:r w:rsidRPr="004D41B9">
        <w:rPr>
          <w:rFonts w:ascii="Times New Roman" w:hAnsi="Times New Roman" w:cs="Times New Roman"/>
          <w:bCs/>
        </w:rPr>
        <w:t xml:space="preserve">the deferral and DVFS mechanisms </w:t>
      </w:r>
      <w:r w:rsidR="00C60DCD">
        <w:rPr>
          <w:rFonts w:ascii="Times New Roman" w:hAnsi="Times New Roman" w:cs="Times New Roman"/>
          <w:bCs/>
        </w:rPr>
        <w:t>function</w:t>
      </w:r>
      <w:r w:rsidR="00C60DCD" w:rsidRPr="004D41B9">
        <w:rPr>
          <w:rFonts w:ascii="Times New Roman" w:hAnsi="Times New Roman" w:cs="Times New Roman"/>
          <w:bCs/>
        </w:rPr>
        <w:t xml:space="preserve"> </w:t>
      </w:r>
      <w:r w:rsidRPr="004D41B9">
        <w:rPr>
          <w:rFonts w:ascii="Times New Roman" w:hAnsi="Times New Roman" w:cs="Times New Roman"/>
          <w:bCs/>
        </w:rPr>
        <w:t>independently of destination contention.</w:t>
      </w:r>
    </w:p>
    <w:p w14:paraId="728EA163" w14:textId="50310147" w:rsidR="00D87871" w:rsidRDefault="00597009" w:rsidP="00D87871">
      <w:pPr>
        <w:keepNext/>
        <w:jc w:val="center"/>
      </w:pPr>
      <w:r>
        <w:rPr>
          <w:noProof/>
        </w:rPr>
        <w:lastRenderedPageBreak/>
        <w:drawing>
          <wp:inline distT="0" distB="0" distL="0" distR="0" wp14:anchorId="030AE4E7" wp14:editId="05B5837E">
            <wp:extent cx="3977746" cy="2965036"/>
            <wp:effectExtent l="0" t="0" r="3810" b="6985"/>
            <wp:docPr id="17534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7330" name="Picture 17534673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7933" cy="2987538"/>
                    </a:xfrm>
                    <a:prstGeom prst="rect">
                      <a:avLst/>
                    </a:prstGeom>
                  </pic:spPr>
                </pic:pic>
              </a:graphicData>
            </a:graphic>
          </wp:inline>
        </w:drawing>
      </w:r>
    </w:p>
    <w:p w14:paraId="64D243E1" w14:textId="7D00F8CC" w:rsidR="00D87871" w:rsidRDefault="00D87871" w:rsidP="00D87871">
      <w:pPr>
        <w:rPr>
          <w:i/>
          <w:iCs/>
          <w:color w:val="0E2841" w:themeColor="text2"/>
          <w:sz w:val="18"/>
          <w:szCs w:val="18"/>
        </w:rPr>
      </w:pPr>
      <w:r w:rsidRPr="00380C0E">
        <w:rPr>
          <w:i/>
          <w:iCs/>
          <w:color w:val="0E2841" w:themeColor="text2"/>
          <w:sz w:val="18"/>
          <w:szCs w:val="18"/>
        </w:rPr>
        <w:t xml:space="preserve">Fig. 2. Conditional Monte Carlo commitment depth distributions and scale dependence, ComEd source zone, 2022–2025. (a) Single-facility (500 MW) commitment depth distribution under inference-dominant </w:t>
      </w:r>
      <w:r w:rsidR="0060691A">
        <w:rPr>
          <w:i/>
          <w:iCs/>
          <w:color w:val="0E2841" w:themeColor="text2"/>
          <w:sz w:val="18"/>
          <w:szCs w:val="18"/>
        </w:rPr>
        <w:t>scenario</w:t>
      </w:r>
      <w:r w:rsidRPr="00380C0E">
        <w:rPr>
          <w:i/>
          <w:iCs/>
          <w:color w:val="0E2841" w:themeColor="text2"/>
          <w:sz w:val="18"/>
          <w:szCs w:val="18"/>
        </w:rPr>
        <w:t xml:space="preserve"> (φ</w:t>
      </w:r>
      <w:r w:rsidRPr="005D1770">
        <w:rPr>
          <w:i/>
          <w:iCs/>
          <w:color w:val="0E2841" w:themeColor="text2"/>
          <w:sz w:val="18"/>
          <w:szCs w:val="18"/>
          <w:vertAlign w:val="subscript"/>
        </w:rPr>
        <w:t>inf</w:t>
      </w:r>
      <w:r w:rsidRPr="00380C0E">
        <w:rPr>
          <w:i/>
          <w:iCs/>
          <w:color w:val="0E2841" w:themeColor="text2"/>
          <w:sz w:val="18"/>
          <w:szCs w:val="18"/>
        </w:rPr>
        <w:t xml:space="preserve"> = 0.70, primary distribution) with mixed-use s</w:t>
      </w:r>
      <w:r w:rsidR="0060691A">
        <w:rPr>
          <w:i/>
          <w:iCs/>
          <w:color w:val="0E2841" w:themeColor="text2"/>
          <w:sz w:val="18"/>
          <w:szCs w:val="18"/>
        </w:rPr>
        <w:t>cenario</w:t>
      </w:r>
      <w:r w:rsidRPr="00380C0E">
        <w:rPr>
          <w:i/>
          <w:iCs/>
          <w:color w:val="0E2841" w:themeColor="text2"/>
          <w:sz w:val="18"/>
          <w:szCs w:val="18"/>
        </w:rPr>
        <w:t xml:space="preserve"> (φ</w:t>
      </w:r>
      <w:r w:rsidRPr="005D1770">
        <w:rPr>
          <w:i/>
          <w:iCs/>
          <w:color w:val="0E2841" w:themeColor="text2"/>
          <w:sz w:val="18"/>
          <w:szCs w:val="18"/>
          <w:vertAlign w:val="subscript"/>
        </w:rPr>
        <w:t>inf</w:t>
      </w:r>
      <w:r w:rsidRPr="00380C0E">
        <w:rPr>
          <w:i/>
          <w:iCs/>
          <w:color w:val="0E2841" w:themeColor="text2"/>
          <w:sz w:val="18"/>
          <w:szCs w:val="18"/>
        </w:rPr>
        <w:t xml:space="preserve"> = 0.43) overlaid in lower opacity. Mean 40.0% inference-dominant, 24.6% mixed-use; 5th percentiles 38.5% and 23.7%. </w:t>
      </w:r>
    </w:p>
    <w:p w14:paraId="60297A19" w14:textId="7BE066E7" w:rsidR="005D1F39" w:rsidRDefault="004D41B9" w:rsidP="001D6E1E">
      <w:pPr>
        <w:rPr>
          <w:rFonts w:ascii="Times New Roman" w:hAnsi="Times New Roman" w:cs="Times New Roman"/>
          <w:bCs/>
        </w:rPr>
      </w:pPr>
      <w:r w:rsidRPr="004D41B9">
        <w:rPr>
          <w:rFonts w:ascii="Times New Roman" w:hAnsi="Times New Roman" w:cs="Times New Roman"/>
          <w:bCs/>
        </w:rPr>
        <w:t xml:space="preserve">When </w:t>
      </w:r>
      <w:r w:rsidR="005D1F39">
        <w:rPr>
          <w:rFonts w:ascii="Times New Roman" w:hAnsi="Times New Roman" w:cs="Times New Roman"/>
          <w:bCs/>
        </w:rPr>
        <w:t>expanded</w:t>
      </w:r>
      <w:r w:rsidR="005D1F39" w:rsidRPr="004D41B9">
        <w:rPr>
          <w:rFonts w:ascii="Times New Roman" w:hAnsi="Times New Roman" w:cs="Times New Roman"/>
          <w:bCs/>
        </w:rPr>
        <w:t xml:space="preserve"> </w:t>
      </w:r>
      <w:r w:rsidRPr="004D41B9">
        <w:rPr>
          <w:rFonts w:ascii="Times New Roman" w:hAnsi="Times New Roman" w:cs="Times New Roman"/>
          <w:bCs/>
        </w:rPr>
        <w:t xml:space="preserve">to </w:t>
      </w:r>
      <w:r w:rsidR="005D1F39">
        <w:rPr>
          <w:rFonts w:ascii="Times New Roman" w:hAnsi="Times New Roman" w:cs="Times New Roman"/>
          <w:bCs/>
        </w:rPr>
        <w:t xml:space="preserve">include </w:t>
      </w:r>
      <w:r w:rsidRPr="004D41B9">
        <w:rPr>
          <w:rFonts w:ascii="Times New Roman" w:hAnsi="Times New Roman" w:cs="Times New Roman"/>
          <w:bCs/>
        </w:rPr>
        <w:t>simultaneous migration by geographically distributed facilities, commitment depth becomes dependent</w:t>
      </w:r>
      <w:r w:rsidR="005D1F39">
        <w:rPr>
          <w:rFonts w:ascii="Times New Roman" w:hAnsi="Times New Roman" w:cs="Times New Roman"/>
          <w:bCs/>
        </w:rPr>
        <w:t xml:space="preserve"> on scale</w:t>
      </w:r>
      <w:r w:rsidRPr="004D41B9">
        <w:rPr>
          <w:rFonts w:ascii="Times New Roman" w:hAnsi="Times New Roman" w:cs="Times New Roman"/>
          <w:bCs/>
        </w:rPr>
        <w:t xml:space="preserve">. </w:t>
      </w:r>
      <w:r w:rsidR="005D1F39">
        <w:rPr>
          <w:rFonts w:ascii="Times New Roman" w:hAnsi="Times New Roman" w:cs="Times New Roman"/>
          <w:bCs/>
        </w:rPr>
        <w:t>I</w:t>
      </w:r>
      <w:r w:rsidR="005D1F39" w:rsidRPr="004D41B9">
        <w:rPr>
          <w:rFonts w:ascii="Times New Roman" w:hAnsi="Times New Roman" w:cs="Times New Roman"/>
          <w:bCs/>
        </w:rPr>
        <w:t xml:space="preserve"> </w:t>
      </w:r>
      <w:r w:rsidRPr="004D41B9">
        <w:rPr>
          <w:rFonts w:ascii="Times New Roman" w:hAnsi="Times New Roman" w:cs="Times New Roman"/>
          <w:bCs/>
        </w:rPr>
        <w:t xml:space="preserve">first </w:t>
      </w:r>
      <w:r w:rsidR="005D1F39">
        <w:rPr>
          <w:rFonts w:ascii="Times New Roman" w:hAnsi="Times New Roman" w:cs="Times New Roman"/>
          <w:bCs/>
        </w:rPr>
        <w:t>analyze</w:t>
      </w:r>
      <w:r w:rsidR="005D1F39" w:rsidRPr="004D41B9">
        <w:rPr>
          <w:rFonts w:ascii="Times New Roman" w:hAnsi="Times New Roman" w:cs="Times New Roman"/>
          <w:bCs/>
        </w:rPr>
        <w:t xml:space="preserve"> </w:t>
      </w:r>
      <w:r w:rsidRPr="004D41B9">
        <w:rPr>
          <w:rFonts w:ascii="Times New Roman" w:hAnsi="Times New Roman" w:cs="Times New Roman"/>
          <w:bCs/>
        </w:rPr>
        <w:t xml:space="preserve">an empirical fleet </w:t>
      </w:r>
      <w:r w:rsidR="005D1F39">
        <w:rPr>
          <w:rFonts w:ascii="Times New Roman" w:hAnsi="Times New Roman" w:cs="Times New Roman"/>
          <w:bCs/>
        </w:rPr>
        <w:t>based on</w:t>
      </w:r>
      <w:r w:rsidRPr="004D41B9">
        <w:rPr>
          <w:rFonts w:ascii="Times New Roman" w:hAnsi="Times New Roman" w:cs="Times New Roman"/>
          <w:bCs/>
        </w:rPr>
        <w:t xml:space="preserve"> the geographic distribution of PJM data center capacity across load zones, </w:t>
      </w:r>
      <w:r w:rsidR="005D1F39">
        <w:rPr>
          <w:rFonts w:ascii="Times New Roman" w:hAnsi="Times New Roman" w:cs="Times New Roman"/>
          <w:bCs/>
        </w:rPr>
        <w:t>identifying</w:t>
      </w:r>
      <w:r w:rsidR="005D1F39" w:rsidRPr="004D41B9">
        <w:rPr>
          <w:rFonts w:ascii="Times New Roman" w:hAnsi="Times New Roman" w:cs="Times New Roman"/>
          <w:bCs/>
        </w:rPr>
        <w:t xml:space="preserve"> </w:t>
      </w:r>
      <w:r w:rsidRPr="004D41B9">
        <w:rPr>
          <w:rFonts w:ascii="Times New Roman" w:hAnsi="Times New Roman" w:cs="Times New Roman"/>
          <w:bCs/>
        </w:rPr>
        <w:t xml:space="preserve">per-hour co-stress </w:t>
      </w:r>
      <w:r w:rsidR="005D1F39">
        <w:rPr>
          <w:rFonts w:ascii="Times New Roman" w:hAnsi="Times New Roman" w:cs="Times New Roman"/>
          <w:bCs/>
        </w:rPr>
        <w:t>using</w:t>
      </w:r>
      <w:r w:rsidRPr="004D41B9">
        <w:rPr>
          <w:rFonts w:ascii="Times New Roman" w:hAnsi="Times New Roman" w:cs="Times New Roman"/>
          <w:bCs/>
        </w:rPr>
        <w:t xml:space="preserve"> the intra-PJM coincidence matrix described in Section 3. </w:t>
      </w:r>
      <w:r w:rsidR="005D1F39">
        <w:rPr>
          <w:rFonts w:ascii="Times New Roman" w:hAnsi="Times New Roman" w:cs="Times New Roman"/>
          <w:bCs/>
        </w:rPr>
        <w:t>During</w:t>
      </w:r>
      <w:r w:rsidR="005D1F39" w:rsidRPr="004D41B9">
        <w:rPr>
          <w:rFonts w:ascii="Times New Roman" w:hAnsi="Times New Roman" w:cs="Times New Roman"/>
          <w:bCs/>
        </w:rPr>
        <w:t xml:space="preserve"> </w:t>
      </w:r>
      <w:r w:rsidRPr="004D41B9">
        <w:rPr>
          <w:rFonts w:ascii="Times New Roman" w:hAnsi="Times New Roman" w:cs="Times New Roman"/>
          <w:bCs/>
        </w:rPr>
        <w:t xml:space="preserve">the 30 ComEd stress hours </w:t>
      </w:r>
      <w:r w:rsidR="005D1F39" w:rsidRPr="004D41B9">
        <w:rPr>
          <w:rFonts w:ascii="Times New Roman" w:hAnsi="Times New Roman" w:cs="Times New Roman"/>
          <w:bCs/>
        </w:rPr>
        <w:t>whe</w:t>
      </w:r>
      <w:r w:rsidR="005D1F39">
        <w:rPr>
          <w:rFonts w:ascii="Times New Roman" w:hAnsi="Times New Roman" w:cs="Times New Roman"/>
          <w:bCs/>
        </w:rPr>
        <w:t>n</w:t>
      </w:r>
      <w:r w:rsidR="005D1F39" w:rsidRPr="004D41B9">
        <w:rPr>
          <w:rFonts w:ascii="Times New Roman" w:hAnsi="Times New Roman" w:cs="Times New Roman"/>
          <w:bCs/>
        </w:rPr>
        <w:t xml:space="preserve"> </w:t>
      </w:r>
      <w:r w:rsidRPr="004D41B9">
        <w:rPr>
          <w:rFonts w:ascii="Times New Roman" w:hAnsi="Times New Roman" w:cs="Times New Roman"/>
          <w:bCs/>
        </w:rPr>
        <w:t>at least one other PJM zone is also stressed, the migrating fleet averages 4,729 MW (</w:t>
      </w:r>
      <w:r w:rsidR="005D1F39" w:rsidRPr="004D41B9">
        <w:rPr>
          <w:rFonts w:ascii="Times New Roman" w:hAnsi="Times New Roman" w:cs="Times New Roman"/>
          <w:bCs/>
        </w:rPr>
        <w:t>rang</w:t>
      </w:r>
      <w:r w:rsidR="005D1F39">
        <w:rPr>
          <w:rFonts w:ascii="Times New Roman" w:hAnsi="Times New Roman" w:cs="Times New Roman"/>
          <w:bCs/>
        </w:rPr>
        <w:t>ing from</w:t>
      </w:r>
      <w:r w:rsidR="005D1F39" w:rsidRPr="004D41B9">
        <w:rPr>
          <w:rFonts w:ascii="Times New Roman" w:hAnsi="Times New Roman" w:cs="Times New Roman"/>
          <w:bCs/>
        </w:rPr>
        <w:t xml:space="preserve"> </w:t>
      </w:r>
      <w:r w:rsidRPr="004D41B9">
        <w:rPr>
          <w:rFonts w:ascii="Times New Roman" w:hAnsi="Times New Roman" w:cs="Times New Roman"/>
          <w:bCs/>
        </w:rPr>
        <w:t>747</w:t>
      </w:r>
      <w:r w:rsidR="005D1F39">
        <w:rPr>
          <w:rFonts w:ascii="Times New Roman" w:hAnsi="Times New Roman" w:cs="Times New Roman"/>
          <w:bCs/>
        </w:rPr>
        <w:t xml:space="preserve"> MW to </w:t>
      </w:r>
      <w:r w:rsidRPr="004D41B9">
        <w:rPr>
          <w:rFonts w:ascii="Times New Roman" w:hAnsi="Times New Roman" w:cs="Times New Roman"/>
          <w:bCs/>
        </w:rPr>
        <w:t xml:space="preserve">14,379 MW), with substantial </w:t>
      </w:r>
      <w:r w:rsidR="005D1F39">
        <w:rPr>
          <w:rFonts w:ascii="Times New Roman" w:hAnsi="Times New Roman" w:cs="Times New Roman"/>
          <w:bCs/>
        </w:rPr>
        <w:t>variability</w:t>
      </w:r>
      <w:r w:rsidR="005D1F39" w:rsidRPr="004D41B9">
        <w:rPr>
          <w:rFonts w:ascii="Times New Roman" w:hAnsi="Times New Roman" w:cs="Times New Roman"/>
          <w:bCs/>
        </w:rPr>
        <w:t xml:space="preserve"> </w:t>
      </w:r>
      <w:r w:rsidRPr="004D41B9">
        <w:rPr>
          <w:rFonts w:ascii="Times New Roman" w:hAnsi="Times New Roman" w:cs="Times New Roman"/>
          <w:bCs/>
        </w:rPr>
        <w:t>driven by whether the Dominion zone in Northern Virginia (</w:t>
      </w:r>
      <w:r w:rsidR="005D1F39">
        <w:rPr>
          <w:rFonts w:ascii="Times New Roman" w:hAnsi="Times New Roman" w:cs="Times New Roman"/>
          <w:bCs/>
        </w:rPr>
        <w:t xml:space="preserve">which has </w:t>
      </w:r>
      <w:r w:rsidRPr="004D41B9">
        <w:rPr>
          <w:rFonts w:ascii="Times New Roman" w:hAnsi="Times New Roman" w:cs="Times New Roman"/>
          <w:bCs/>
        </w:rPr>
        <w:t>9,431 MW of data center capacity)</w:t>
      </w:r>
      <w:r w:rsidR="00D87871">
        <w:rPr>
          <w:rFonts w:ascii="Times New Roman" w:hAnsi="Times New Roman" w:cs="Times New Roman"/>
          <w:bCs/>
        </w:rPr>
        <w:t>[13]</w:t>
      </w:r>
      <w:r w:rsidRPr="004D41B9">
        <w:rPr>
          <w:rFonts w:ascii="Times New Roman" w:hAnsi="Times New Roman" w:cs="Times New Roman"/>
          <w:bCs/>
        </w:rPr>
        <w:t xml:space="preserve"> </w:t>
      </w:r>
      <w:r w:rsidR="005D1F39">
        <w:rPr>
          <w:rFonts w:ascii="Times New Roman" w:hAnsi="Times New Roman" w:cs="Times New Roman"/>
          <w:bCs/>
        </w:rPr>
        <w:t>experiences</w:t>
      </w:r>
      <w:r w:rsidR="005D1F39" w:rsidRPr="004D41B9">
        <w:rPr>
          <w:rFonts w:ascii="Times New Roman" w:hAnsi="Times New Roman" w:cs="Times New Roman"/>
          <w:bCs/>
        </w:rPr>
        <w:t xml:space="preserve"> </w:t>
      </w:r>
      <w:r w:rsidRPr="004D41B9">
        <w:rPr>
          <w:rFonts w:ascii="Times New Roman" w:hAnsi="Times New Roman" w:cs="Times New Roman"/>
          <w:bCs/>
        </w:rPr>
        <w:t xml:space="preserve">co-stress with ComEd. </w:t>
      </w:r>
    </w:p>
    <w:p w14:paraId="3E8F5CA6" w14:textId="1E9328F7" w:rsidR="00D87871" w:rsidRDefault="005D1F39" w:rsidP="001D6E1E">
      <w:pPr>
        <w:rPr>
          <w:rFonts w:ascii="Times New Roman" w:hAnsi="Times New Roman" w:cs="Times New Roman"/>
          <w:bCs/>
        </w:rPr>
      </w:pPr>
      <w:r>
        <w:rPr>
          <w:rFonts w:ascii="Times New Roman" w:hAnsi="Times New Roman" w:cs="Times New Roman"/>
          <w:bCs/>
        </w:rPr>
        <w:t>For t</w:t>
      </w:r>
      <w:r w:rsidRPr="004D41B9">
        <w:rPr>
          <w:rFonts w:ascii="Times New Roman" w:hAnsi="Times New Roman" w:cs="Times New Roman"/>
          <w:bCs/>
        </w:rPr>
        <w:t xml:space="preserve">his </w:t>
      </w:r>
      <w:r w:rsidR="004D41B9" w:rsidRPr="004D41B9">
        <w:rPr>
          <w:rFonts w:ascii="Times New Roman" w:hAnsi="Times New Roman" w:cs="Times New Roman"/>
          <w:bCs/>
        </w:rPr>
        <w:t>empirical fleet</w:t>
      </w:r>
      <w:r>
        <w:rPr>
          <w:rFonts w:ascii="Times New Roman" w:hAnsi="Times New Roman" w:cs="Times New Roman"/>
          <w:bCs/>
        </w:rPr>
        <w:t>, the</w:t>
      </w:r>
      <w:r w:rsidR="004D41B9" w:rsidRPr="004D41B9">
        <w:rPr>
          <w:rFonts w:ascii="Times New Roman" w:hAnsi="Times New Roman" w:cs="Times New Roman"/>
          <w:bCs/>
        </w:rPr>
        <w:t xml:space="preserve"> mean commitment depth </w:t>
      </w:r>
      <w:r>
        <w:rPr>
          <w:rFonts w:ascii="Times New Roman" w:hAnsi="Times New Roman" w:cs="Times New Roman"/>
          <w:bCs/>
        </w:rPr>
        <w:t>is</w:t>
      </w:r>
      <w:r w:rsidRPr="004D41B9">
        <w:rPr>
          <w:rFonts w:ascii="Times New Roman" w:hAnsi="Times New Roman" w:cs="Times New Roman"/>
          <w:bCs/>
        </w:rPr>
        <w:t xml:space="preserve"> </w:t>
      </w:r>
      <w:r w:rsidR="004D41B9" w:rsidRPr="004D41B9">
        <w:rPr>
          <w:rFonts w:ascii="Times New Roman" w:hAnsi="Times New Roman" w:cs="Times New Roman"/>
          <w:bCs/>
        </w:rPr>
        <w:t xml:space="preserve">33.6% under </w:t>
      </w:r>
      <w:r>
        <w:rPr>
          <w:rFonts w:ascii="Times New Roman" w:hAnsi="Times New Roman" w:cs="Times New Roman"/>
          <w:bCs/>
        </w:rPr>
        <w:t xml:space="preserve">the </w:t>
      </w:r>
      <w:r w:rsidR="004D41B9" w:rsidRPr="004D41B9">
        <w:rPr>
          <w:rFonts w:ascii="Times New Roman" w:hAnsi="Times New Roman" w:cs="Times New Roman"/>
          <w:bCs/>
        </w:rPr>
        <w:t xml:space="preserve">inference-dominant </w:t>
      </w:r>
      <w:r w:rsidRPr="004D41B9">
        <w:rPr>
          <w:rFonts w:ascii="Times New Roman" w:hAnsi="Times New Roman" w:cs="Times New Roman"/>
          <w:bCs/>
        </w:rPr>
        <w:t>sc</w:t>
      </w:r>
      <w:r>
        <w:rPr>
          <w:rFonts w:ascii="Times New Roman" w:hAnsi="Times New Roman" w:cs="Times New Roman"/>
          <w:bCs/>
        </w:rPr>
        <w:t>enario</w:t>
      </w:r>
      <w:r w:rsidRPr="004D41B9">
        <w:rPr>
          <w:rFonts w:ascii="Times New Roman" w:hAnsi="Times New Roman" w:cs="Times New Roman"/>
          <w:bCs/>
        </w:rPr>
        <w:t xml:space="preserve"> </w:t>
      </w:r>
      <w:r w:rsidR="004D41B9" w:rsidRPr="004D41B9">
        <w:rPr>
          <w:rFonts w:ascii="Times New Roman" w:hAnsi="Times New Roman" w:cs="Times New Roman"/>
          <w:bCs/>
        </w:rPr>
        <w:t>and 21.1% under</w:t>
      </w:r>
      <w:r>
        <w:rPr>
          <w:rFonts w:ascii="Times New Roman" w:hAnsi="Times New Roman" w:cs="Times New Roman"/>
          <w:bCs/>
        </w:rPr>
        <w:t xml:space="preserve"> the</w:t>
      </w:r>
      <w:r w:rsidR="004D41B9" w:rsidRPr="004D41B9">
        <w:rPr>
          <w:rFonts w:ascii="Times New Roman" w:hAnsi="Times New Roman" w:cs="Times New Roman"/>
          <w:bCs/>
        </w:rPr>
        <w:t xml:space="preserve"> mixed-use</w:t>
      </w:r>
      <w:r>
        <w:rPr>
          <w:rFonts w:ascii="Times New Roman" w:hAnsi="Times New Roman" w:cs="Times New Roman"/>
          <w:bCs/>
        </w:rPr>
        <w:t xml:space="preserve"> scenario. The</w:t>
      </w:r>
      <w:r w:rsidR="004D41B9" w:rsidRPr="004D41B9">
        <w:rPr>
          <w:rFonts w:ascii="Times New Roman" w:hAnsi="Times New Roman" w:cs="Times New Roman"/>
          <w:bCs/>
        </w:rPr>
        <w:t xml:space="preserve"> conditional expected shortfall below the 5th percentile </w:t>
      </w:r>
      <w:r>
        <w:rPr>
          <w:rFonts w:ascii="Times New Roman" w:hAnsi="Times New Roman" w:cs="Times New Roman"/>
          <w:bCs/>
        </w:rPr>
        <w:t>is</w:t>
      </w:r>
      <w:r w:rsidRPr="004D41B9">
        <w:rPr>
          <w:rFonts w:ascii="Times New Roman" w:hAnsi="Times New Roman" w:cs="Times New Roman"/>
          <w:bCs/>
        </w:rPr>
        <w:t xml:space="preserve"> </w:t>
      </w:r>
      <w:r w:rsidR="004D41B9" w:rsidRPr="004D41B9">
        <w:rPr>
          <w:rFonts w:ascii="Times New Roman" w:hAnsi="Times New Roman" w:cs="Times New Roman"/>
          <w:bCs/>
        </w:rPr>
        <w:t>19.8% and 12.3%</w:t>
      </w:r>
      <w:r>
        <w:rPr>
          <w:rFonts w:ascii="Times New Roman" w:hAnsi="Times New Roman" w:cs="Times New Roman"/>
          <w:bCs/>
        </w:rPr>
        <w:t>,</w:t>
      </w:r>
      <w:r w:rsidR="004D41B9" w:rsidRPr="004D41B9">
        <w:rPr>
          <w:rFonts w:ascii="Times New Roman" w:hAnsi="Times New Roman" w:cs="Times New Roman"/>
          <w:bCs/>
        </w:rPr>
        <w:t xml:space="preserve"> respectively. </w:t>
      </w:r>
      <w:r>
        <w:rPr>
          <w:rFonts w:ascii="Times New Roman" w:hAnsi="Times New Roman" w:cs="Times New Roman"/>
          <w:bCs/>
        </w:rPr>
        <w:t>Applying PJM’s</w:t>
      </w:r>
      <w:r w:rsidR="004D41B9" w:rsidRPr="004D41B9">
        <w:rPr>
          <w:rFonts w:ascii="Times New Roman" w:hAnsi="Times New Roman" w:cs="Times New Roman"/>
          <w:bCs/>
        </w:rPr>
        <w:t xml:space="preserve"> 92% </w:t>
      </w:r>
      <w:r>
        <w:rPr>
          <w:rFonts w:ascii="Times New Roman" w:hAnsi="Times New Roman" w:cs="Times New Roman"/>
          <w:bCs/>
        </w:rPr>
        <w:t>Effective Load Carrying Capability (ELCC)</w:t>
      </w:r>
      <w:r w:rsidR="00FD31FB">
        <w:rPr>
          <w:rStyle w:val="FootnoteReference"/>
          <w:rFonts w:ascii="Times New Roman" w:hAnsi="Times New Roman" w:cs="Times New Roman"/>
          <w:bCs/>
        </w:rPr>
        <w:footnoteReference w:id="5"/>
      </w:r>
      <w:r>
        <w:rPr>
          <w:rFonts w:ascii="Times New Roman" w:hAnsi="Times New Roman" w:cs="Times New Roman"/>
          <w:bCs/>
        </w:rPr>
        <w:t xml:space="preserve"> for </w:t>
      </w:r>
      <w:r w:rsidR="004D41B9" w:rsidRPr="004D41B9">
        <w:rPr>
          <w:rFonts w:ascii="Times New Roman" w:hAnsi="Times New Roman" w:cs="Times New Roman"/>
          <w:bCs/>
        </w:rPr>
        <w:t>demand-response</w:t>
      </w:r>
      <w:r>
        <w:rPr>
          <w:rFonts w:ascii="Times New Roman" w:hAnsi="Times New Roman" w:cs="Times New Roman"/>
          <w:bCs/>
        </w:rPr>
        <w:t>,</w:t>
      </w:r>
      <w:r w:rsidR="004D41B9" w:rsidRPr="004D41B9">
        <w:rPr>
          <w:rFonts w:ascii="Times New Roman" w:hAnsi="Times New Roman" w:cs="Times New Roman"/>
          <w:bCs/>
        </w:rPr>
        <w:t xml:space="preserve"> this fleet</w:t>
      </w:r>
      <w:r w:rsidR="00DA4458">
        <w:rPr>
          <w:rFonts w:ascii="Times New Roman" w:hAnsi="Times New Roman" w:cs="Times New Roman"/>
          <w:bCs/>
        </w:rPr>
        <w:t xml:space="preserve"> would </w:t>
      </w:r>
      <w:r>
        <w:rPr>
          <w:rFonts w:ascii="Times New Roman" w:hAnsi="Times New Roman" w:cs="Times New Roman"/>
          <w:bCs/>
        </w:rPr>
        <w:t>receive accredited capacity of roughly</w:t>
      </w:r>
      <w:r w:rsidR="004D41B9" w:rsidRPr="004D41B9">
        <w:rPr>
          <w:rFonts w:ascii="Times New Roman" w:hAnsi="Times New Roman" w:cs="Times New Roman"/>
          <w:bCs/>
        </w:rPr>
        <w:t xml:space="preserve"> 19.4% (inference-dominant) or 12.1% (mixed-use) </w:t>
      </w:r>
      <w:r>
        <w:rPr>
          <w:rFonts w:ascii="Times New Roman" w:hAnsi="Times New Roman" w:cs="Times New Roman"/>
          <w:bCs/>
        </w:rPr>
        <w:t xml:space="preserve">per megawatt </w:t>
      </w:r>
      <w:r w:rsidR="004D41B9" w:rsidRPr="004D41B9">
        <w:rPr>
          <w:rFonts w:ascii="Times New Roman" w:hAnsi="Times New Roman" w:cs="Times New Roman"/>
          <w:bCs/>
        </w:rPr>
        <w:t xml:space="preserve">of </w:t>
      </w:r>
      <w:r>
        <w:rPr>
          <w:rFonts w:ascii="Times New Roman" w:hAnsi="Times New Roman" w:cs="Times New Roman"/>
          <w:bCs/>
        </w:rPr>
        <w:t>fleet</w:t>
      </w:r>
      <w:r w:rsidRPr="004D41B9">
        <w:rPr>
          <w:rFonts w:ascii="Times New Roman" w:hAnsi="Times New Roman" w:cs="Times New Roman"/>
          <w:bCs/>
        </w:rPr>
        <w:t xml:space="preserve"> </w:t>
      </w:r>
      <w:r w:rsidR="004D41B9" w:rsidRPr="004D41B9">
        <w:rPr>
          <w:rFonts w:ascii="Times New Roman" w:hAnsi="Times New Roman" w:cs="Times New Roman"/>
          <w:bCs/>
        </w:rPr>
        <w:t>capacity.</w:t>
      </w:r>
    </w:p>
    <w:p w14:paraId="414AE97F" w14:textId="6BDB82AD" w:rsidR="0016044D" w:rsidRDefault="001A463B" w:rsidP="005D1770">
      <w:pPr>
        <w:keepNext/>
      </w:pPr>
      <w:r>
        <w:rPr>
          <w:noProof/>
        </w:rPr>
        <w:lastRenderedPageBreak/>
        <w:drawing>
          <wp:inline distT="0" distB="0" distL="0" distR="0" wp14:anchorId="5F312493" wp14:editId="0A2B0AF8">
            <wp:extent cx="5943600" cy="1705610"/>
            <wp:effectExtent l="0" t="0" r="0" b="8890"/>
            <wp:docPr id="1950074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4382" name="Picture 19500743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inline>
        </w:drawing>
      </w:r>
    </w:p>
    <w:p w14:paraId="2B93FA4E" w14:textId="52E7A0C7" w:rsidR="0016044D" w:rsidRDefault="0016044D" w:rsidP="005D1770">
      <w:pPr>
        <w:pStyle w:val="Caption"/>
        <w:rPr>
          <w:rFonts w:ascii="Times New Roman" w:hAnsi="Times New Roman" w:cs="Times New Roman"/>
          <w:bCs/>
        </w:rPr>
      </w:pPr>
      <w:r>
        <w:t xml:space="preserve">Figure 3: </w:t>
      </w:r>
      <w:r w:rsidRPr="00380C0E">
        <w:t>(</w:t>
      </w:r>
      <w:r>
        <w:t>a</w:t>
      </w:r>
      <w:r w:rsidRPr="00380C0E">
        <w:t>)Empirical fleet commitment depth distribution across 30 ComEd stress hours where at least one other PJM zone is also stressed; migrating fleet ranges 747–14,379 MW. Mean 33.6% inference-dominant, 21.1% mixed-use. (</w:t>
      </w:r>
      <w:r>
        <w:t>b</w:t>
      </w:r>
      <w:r w:rsidRPr="00380C0E">
        <w:t>) Per-GW commitment depth sweep from 0.5 to 15 GW under both sc</w:t>
      </w:r>
      <w:r>
        <w:rPr>
          <w:i w:val="0"/>
          <w:iCs w:val="0"/>
        </w:rPr>
        <w:t>enario</w:t>
      </w:r>
      <w:r w:rsidRPr="00380C0E">
        <w:t xml:space="preserve">s, with mean curves and P5–P95 bands; </w:t>
      </w:r>
      <w:r>
        <w:t>(c)</w:t>
      </w:r>
      <w:r w:rsidRPr="00380C0E">
        <w:t xml:space="preserve"> shows the percentage of Monte Carlo draws destination-constrained, rising from 4.9% at 1 GW to 25.7% at 10 GW under the inference-dominant </w:t>
      </w:r>
      <w:r>
        <w:rPr>
          <w:i w:val="0"/>
          <w:iCs w:val="0"/>
        </w:rPr>
        <w:t>scenario</w:t>
      </w:r>
      <w:r w:rsidRPr="00380C0E">
        <w:t>. 2,000 draws per stress hour; full parameter specification in Methods Table M1</w:t>
      </w:r>
      <w:r w:rsidR="00DB604F">
        <w:t>.</w:t>
      </w:r>
    </w:p>
    <w:p w14:paraId="7C8908F5" w14:textId="7FF42774" w:rsidR="00A20E5B" w:rsidRDefault="005D1F39" w:rsidP="001D6E1E">
      <w:pPr>
        <w:rPr>
          <w:rFonts w:ascii="Times New Roman" w:hAnsi="Times New Roman" w:cs="Times New Roman"/>
          <w:bCs/>
        </w:rPr>
      </w:pPr>
      <w:r>
        <w:rPr>
          <w:rFonts w:ascii="Times New Roman" w:hAnsi="Times New Roman" w:cs="Times New Roman"/>
          <w:bCs/>
        </w:rPr>
        <w:t>Next, I assess</w:t>
      </w:r>
      <w:r w:rsidR="007F0115" w:rsidRPr="007F0115">
        <w:rPr>
          <w:rFonts w:ascii="Times New Roman" w:hAnsi="Times New Roman" w:cs="Times New Roman"/>
          <w:bCs/>
        </w:rPr>
        <w:t xml:space="preserve"> commitment depth as a continuous function of fleet size</w:t>
      </w:r>
      <w:r>
        <w:rPr>
          <w:rFonts w:ascii="Times New Roman" w:hAnsi="Times New Roman" w:cs="Times New Roman"/>
          <w:bCs/>
        </w:rPr>
        <w:t>, conducting</w:t>
      </w:r>
      <w:r w:rsidR="007F0115" w:rsidRPr="007F0115">
        <w:rPr>
          <w:rFonts w:ascii="Times New Roman" w:hAnsi="Times New Roman" w:cs="Times New Roman"/>
          <w:bCs/>
        </w:rPr>
        <w:t xml:space="preserve"> a parametric sweep from 0.5 </w:t>
      </w:r>
      <w:r>
        <w:rPr>
          <w:rFonts w:ascii="Times New Roman" w:hAnsi="Times New Roman" w:cs="Times New Roman"/>
          <w:bCs/>
        </w:rPr>
        <w:t xml:space="preserve">GW </w:t>
      </w:r>
      <w:r w:rsidR="007F0115" w:rsidRPr="007F0115">
        <w:rPr>
          <w:rFonts w:ascii="Times New Roman" w:hAnsi="Times New Roman" w:cs="Times New Roman"/>
          <w:bCs/>
        </w:rPr>
        <w:t xml:space="preserve">to 15 GW. </w:t>
      </w:r>
      <w:r>
        <w:rPr>
          <w:rFonts w:ascii="Times New Roman" w:hAnsi="Times New Roman" w:cs="Times New Roman"/>
          <w:bCs/>
        </w:rPr>
        <w:t>In</w:t>
      </w:r>
      <w:r w:rsidRPr="007F0115">
        <w:rPr>
          <w:rFonts w:ascii="Times New Roman" w:hAnsi="Times New Roman" w:cs="Times New Roman"/>
          <w:bCs/>
        </w:rPr>
        <w:t xml:space="preserve"> </w:t>
      </w:r>
      <w:r w:rsidR="007F0115" w:rsidRPr="007F0115">
        <w:rPr>
          <w:rFonts w:ascii="Times New Roman" w:hAnsi="Times New Roman" w:cs="Times New Roman"/>
          <w:bCs/>
        </w:rPr>
        <w:t xml:space="preserve">the inference-dominant </w:t>
      </w:r>
      <w:r w:rsidRPr="007F0115">
        <w:rPr>
          <w:rFonts w:ascii="Times New Roman" w:hAnsi="Times New Roman" w:cs="Times New Roman"/>
          <w:bCs/>
        </w:rPr>
        <w:t>sc</w:t>
      </w:r>
      <w:r>
        <w:rPr>
          <w:rFonts w:ascii="Times New Roman" w:hAnsi="Times New Roman" w:cs="Times New Roman"/>
          <w:bCs/>
        </w:rPr>
        <w:t>enario</w:t>
      </w:r>
      <w:r w:rsidR="007F0115" w:rsidRPr="007F0115">
        <w:rPr>
          <w:rFonts w:ascii="Times New Roman" w:hAnsi="Times New Roman" w:cs="Times New Roman"/>
          <w:bCs/>
        </w:rPr>
        <w:t xml:space="preserve">, commitment depth </w:t>
      </w:r>
      <w:r>
        <w:rPr>
          <w:rFonts w:ascii="Times New Roman" w:hAnsi="Times New Roman" w:cs="Times New Roman"/>
          <w:bCs/>
        </w:rPr>
        <w:t>decreases</w:t>
      </w:r>
      <w:r w:rsidRPr="007F0115">
        <w:rPr>
          <w:rFonts w:ascii="Times New Roman" w:hAnsi="Times New Roman" w:cs="Times New Roman"/>
          <w:bCs/>
        </w:rPr>
        <w:t xml:space="preserve"> </w:t>
      </w:r>
      <w:r w:rsidR="007F0115" w:rsidRPr="007F0115">
        <w:rPr>
          <w:rFonts w:ascii="Times New Roman" w:hAnsi="Times New Roman" w:cs="Times New Roman"/>
          <w:bCs/>
        </w:rPr>
        <w:t>from 39.8% at 1 GW to 38.5% at 10 GW</w:t>
      </w:r>
      <w:r w:rsidR="00DA4458">
        <w:rPr>
          <w:rFonts w:ascii="Times New Roman" w:hAnsi="Times New Roman" w:cs="Times New Roman"/>
          <w:bCs/>
        </w:rPr>
        <w:t xml:space="preserve">; </w:t>
      </w:r>
      <w:r>
        <w:rPr>
          <w:rFonts w:ascii="Times New Roman" w:hAnsi="Times New Roman" w:cs="Times New Roman"/>
          <w:bCs/>
        </w:rPr>
        <w:t>in</w:t>
      </w:r>
      <w:r w:rsidRPr="007F0115">
        <w:rPr>
          <w:rFonts w:ascii="Times New Roman" w:hAnsi="Times New Roman" w:cs="Times New Roman"/>
          <w:bCs/>
        </w:rPr>
        <w:t xml:space="preserve"> </w:t>
      </w:r>
      <w:r w:rsidR="007F0115" w:rsidRPr="007F0115">
        <w:rPr>
          <w:rFonts w:ascii="Times New Roman" w:hAnsi="Times New Roman" w:cs="Times New Roman"/>
          <w:bCs/>
        </w:rPr>
        <w:t xml:space="preserve">the mixed-use </w:t>
      </w:r>
      <w:r w:rsidRPr="007F0115">
        <w:rPr>
          <w:rFonts w:ascii="Times New Roman" w:hAnsi="Times New Roman" w:cs="Times New Roman"/>
          <w:bCs/>
        </w:rPr>
        <w:t>sc</w:t>
      </w:r>
      <w:r>
        <w:rPr>
          <w:rFonts w:ascii="Times New Roman" w:hAnsi="Times New Roman" w:cs="Times New Roman"/>
          <w:bCs/>
        </w:rPr>
        <w:t>enario</w:t>
      </w:r>
      <w:r w:rsidR="007F0115" w:rsidRPr="007F0115">
        <w:rPr>
          <w:rFonts w:ascii="Times New Roman" w:hAnsi="Times New Roman" w:cs="Times New Roman"/>
          <w:bCs/>
        </w:rPr>
        <w:t>,</w:t>
      </w:r>
      <w:r>
        <w:rPr>
          <w:rFonts w:ascii="Times New Roman" w:hAnsi="Times New Roman" w:cs="Times New Roman"/>
          <w:bCs/>
        </w:rPr>
        <w:t xml:space="preserve"> it declines from</w:t>
      </w:r>
      <w:r w:rsidR="007F0115" w:rsidRPr="007F0115">
        <w:rPr>
          <w:rFonts w:ascii="Times New Roman" w:hAnsi="Times New Roman" w:cs="Times New Roman"/>
          <w:bCs/>
        </w:rPr>
        <w:t xml:space="preserve"> 24.6% at 1 GW to 24.1% at 10 GW. The </w:t>
      </w:r>
      <w:r>
        <w:rPr>
          <w:rFonts w:ascii="Times New Roman" w:hAnsi="Times New Roman" w:cs="Times New Roman"/>
          <w:bCs/>
        </w:rPr>
        <w:t>reduction</w:t>
      </w:r>
      <w:r w:rsidRPr="007F0115">
        <w:rPr>
          <w:rFonts w:ascii="Times New Roman" w:hAnsi="Times New Roman" w:cs="Times New Roman"/>
          <w:bCs/>
        </w:rPr>
        <w:t xml:space="preserve"> </w:t>
      </w:r>
      <w:r w:rsidR="007F0115" w:rsidRPr="007F0115">
        <w:rPr>
          <w:rFonts w:ascii="Times New Roman" w:hAnsi="Times New Roman" w:cs="Times New Roman"/>
          <w:bCs/>
        </w:rPr>
        <w:t xml:space="preserve">is </w:t>
      </w:r>
      <w:r w:rsidR="00A20E5B">
        <w:rPr>
          <w:rFonts w:ascii="Times New Roman" w:hAnsi="Times New Roman" w:cs="Times New Roman"/>
          <w:bCs/>
        </w:rPr>
        <w:t>mainly due to increased destination contention affecting spatial migration: the proportion of Monte Carlo draws constrained by destination</w:t>
      </w:r>
      <w:r w:rsidR="007F0115" w:rsidRPr="007F0115">
        <w:rPr>
          <w:rFonts w:ascii="Times New Roman" w:hAnsi="Times New Roman" w:cs="Times New Roman"/>
          <w:bCs/>
        </w:rPr>
        <w:t xml:space="preserve"> rises from 4.9% at 1 GW to 25.7% at 10 GW </w:t>
      </w:r>
      <w:r w:rsidR="00A20E5B">
        <w:rPr>
          <w:rFonts w:ascii="Times New Roman" w:hAnsi="Times New Roman" w:cs="Times New Roman"/>
          <w:bCs/>
        </w:rPr>
        <w:t>(</w:t>
      </w:r>
      <w:r w:rsidR="007F0115" w:rsidRPr="007F0115">
        <w:rPr>
          <w:rFonts w:ascii="Times New Roman" w:hAnsi="Times New Roman" w:cs="Times New Roman"/>
          <w:bCs/>
        </w:rPr>
        <w:t>inference-dominant</w:t>
      </w:r>
      <w:r w:rsidR="00A20E5B">
        <w:rPr>
          <w:rFonts w:ascii="Times New Roman" w:hAnsi="Times New Roman" w:cs="Times New Roman"/>
          <w:bCs/>
        </w:rPr>
        <w:t>)</w:t>
      </w:r>
      <w:r w:rsidR="007F0115" w:rsidRPr="007F0115">
        <w:rPr>
          <w:rFonts w:ascii="Times New Roman" w:hAnsi="Times New Roman" w:cs="Times New Roman"/>
          <w:bCs/>
        </w:rPr>
        <w:t xml:space="preserve">, and from 3.0% to 8.5% </w:t>
      </w:r>
      <w:r w:rsidR="00A20E5B">
        <w:rPr>
          <w:rFonts w:ascii="Times New Roman" w:hAnsi="Times New Roman" w:cs="Times New Roman"/>
          <w:bCs/>
        </w:rPr>
        <w:t>(</w:t>
      </w:r>
      <w:r w:rsidR="007F0115" w:rsidRPr="007F0115">
        <w:rPr>
          <w:rFonts w:ascii="Times New Roman" w:hAnsi="Times New Roman" w:cs="Times New Roman"/>
          <w:bCs/>
        </w:rPr>
        <w:t>mixed-use</w:t>
      </w:r>
      <w:r w:rsidR="00A20E5B">
        <w:rPr>
          <w:rFonts w:ascii="Times New Roman" w:hAnsi="Times New Roman" w:cs="Times New Roman"/>
          <w:bCs/>
        </w:rPr>
        <w:t>)</w:t>
      </w:r>
      <w:r w:rsidR="007F0115" w:rsidRPr="007F0115">
        <w:rPr>
          <w:rFonts w:ascii="Times New Roman" w:hAnsi="Times New Roman" w:cs="Times New Roman"/>
          <w:bCs/>
        </w:rPr>
        <w:t xml:space="preserve">. Spatial contention </w:t>
      </w:r>
      <w:r w:rsidR="00A20E5B">
        <w:rPr>
          <w:rFonts w:ascii="Times New Roman" w:hAnsi="Times New Roman" w:cs="Times New Roman"/>
          <w:bCs/>
        </w:rPr>
        <w:t>remains below</w:t>
      </w:r>
      <w:r w:rsidR="007F0115" w:rsidRPr="007F0115">
        <w:rPr>
          <w:rFonts w:ascii="Times New Roman" w:hAnsi="Times New Roman" w:cs="Times New Roman"/>
          <w:bCs/>
        </w:rPr>
        <w:t xml:space="preserve"> 50% </w:t>
      </w:r>
      <w:r w:rsidR="00A20E5B">
        <w:rPr>
          <w:rFonts w:ascii="Times New Roman" w:hAnsi="Times New Roman" w:cs="Times New Roman"/>
          <w:bCs/>
        </w:rPr>
        <w:t>throughout</w:t>
      </w:r>
      <w:r w:rsidR="007F0115" w:rsidRPr="007F0115">
        <w:rPr>
          <w:rFonts w:ascii="Times New Roman" w:hAnsi="Times New Roman" w:cs="Times New Roman"/>
          <w:bCs/>
        </w:rPr>
        <w:t xml:space="preserve"> the </w:t>
      </w:r>
      <w:r w:rsidR="00A20E5B">
        <w:rPr>
          <w:rFonts w:ascii="Times New Roman" w:hAnsi="Times New Roman" w:cs="Times New Roman"/>
          <w:bCs/>
        </w:rPr>
        <w:t xml:space="preserve">sweep, </w:t>
      </w:r>
      <w:r w:rsidR="007F0115" w:rsidRPr="007F0115">
        <w:rPr>
          <w:rFonts w:ascii="Times New Roman" w:hAnsi="Times New Roman" w:cs="Times New Roman"/>
          <w:bCs/>
        </w:rPr>
        <w:t>with</w:t>
      </w:r>
      <w:r w:rsidR="00A20E5B">
        <w:rPr>
          <w:rFonts w:ascii="Times New Roman" w:hAnsi="Times New Roman" w:cs="Times New Roman"/>
          <w:bCs/>
        </w:rPr>
        <w:t xml:space="preserve"> greater contention</w:t>
      </w:r>
      <w:r w:rsidR="007F0115" w:rsidRPr="007F0115">
        <w:rPr>
          <w:rFonts w:ascii="Times New Roman" w:hAnsi="Times New Roman" w:cs="Times New Roman"/>
          <w:bCs/>
        </w:rPr>
        <w:t xml:space="preserve"> projected </w:t>
      </w:r>
      <w:r w:rsidR="00A20E5B">
        <w:rPr>
          <w:rFonts w:ascii="Times New Roman" w:hAnsi="Times New Roman" w:cs="Times New Roman"/>
          <w:bCs/>
        </w:rPr>
        <w:t>past</w:t>
      </w:r>
      <w:r w:rsidR="00A20E5B" w:rsidRPr="007F0115">
        <w:rPr>
          <w:rFonts w:ascii="Times New Roman" w:hAnsi="Times New Roman" w:cs="Times New Roman"/>
          <w:bCs/>
        </w:rPr>
        <w:t xml:space="preserve"> </w:t>
      </w:r>
      <w:r w:rsidR="007F0115" w:rsidRPr="007F0115">
        <w:rPr>
          <w:rFonts w:ascii="Times New Roman" w:hAnsi="Times New Roman" w:cs="Times New Roman"/>
          <w:bCs/>
        </w:rPr>
        <w:t xml:space="preserve">15 GW. </w:t>
      </w:r>
    </w:p>
    <w:p w14:paraId="2A8166F9" w14:textId="5B2209DF" w:rsidR="001D6E1E" w:rsidRPr="001D6E1E" w:rsidRDefault="007F0115" w:rsidP="001D6E1E">
      <w:pPr>
        <w:rPr>
          <w:rFonts w:ascii="Times New Roman" w:hAnsi="Times New Roman" w:cs="Times New Roman"/>
          <w:bCs/>
        </w:rPr>
      </w:pPr>
      <w:r w:rsidRPr="007F0115">
        <w:rPr>
          <w:rFonts w:ascii="Times New Roman" w:hAnsi="Times New Roman" w:cs="Times New Roman"/>
          <w:bCs/>
        </w:rPr>
        <w:t xml:space="preserve">The </w:t>
      </w:r>
      <w:r w:rsidR="00A20E5B" w:rsidRPr="007F0115">
        <w:rPr>
          <w:rFonts w:ascii="Times New Roman" w:hAnsi="Times New Roman" w:cs="Times New Roman"/>
          <w:bCs/>
        </w:rPr>
        <w:t>dec</w:t>
      </w:r>
      <w:r w:rsidR="00A20E5B">
        <w:rPr>
          <w:rFonts w:ascii="Times New Roman" w:hAnsi="Times New Roman" w:cs="Times New Roman"/>
          <w:bCs/>
        </w:rPr>
        <w:t>rease</w:t>
      </w:r>
      <w:r w:rsidR="00A20E5B" w:rsidRPr="007F0115">
        <w:rPr>
          <w:rFonts w:ascii="Times New Roman" w:hAnsi="Times New Roman" w:cs="Times New Roman"/>
          <w:bCs/>
        </w:rPr>
        <w:t xml:space="preserve"> </w:t>
      </w:r>
      <w:r w:rsidRPr="007F0115">
        <w:rPr>
          <w:rFonts w:ascii="Times New Roman" w:hAnsi="Times New Roman" w:cs="Times New Roman"/>
          <w:bCs/>
        </w:rPr>
        <w:t xml:space="preserve">in </w:t>
      </w:r>
      <w:r w:rsidR="00A20E5B">
        <w:rPr>
          <w:rFonts w:ascii="Times New Roman" w:hAnsi="Times New Roman" w:cs="Times New Roman"/>
          <w:bCs/>
        </w:rPr>
        <w:t>average</w:t>
      </w:r>
      <w:r w:rsidR="00A20E5B" w:rsidRPr="007F0115">
        <w:rPr>
          <w:rFonts w:ascii="Times New Roman" w:hAnsi="Times New Roman" w:cs="Times New Roman"/>
          <w:bCs/>
        </w:rPr>
        <w:t xml:space="preserve"> </w:t>
      </w:r>
      <w:r w:rsidRPr="007F0115">
        <w:rPr>
          <w:rFonts w:ascii="Times New Roman" w:hAnsi="Times New Roman" w:cs="Times New Roman"/>
          <w:bCs/>
        </w:rPr>
        <w:t xml:space="preserve">commitment depth is </w:t>
      </w:r>
      <w:r w:rsidR="00A20E5B" w:rsidRPr="007F0115">
        <w:rPr>
          <w:rFonts w:ascii="Times New Roman" w:hAnsi="Times New Roman" w:cs="Times New Roman"/>
          <w:bCs/>
        </w:rPr>
        <w:t>m</w:t>
      </w:r>
      <w:r w:rsidR="00A20E5B">
        <w:rPr>
          <w:rFonts w:ascii="Times New Roman" w:hAnsi="Times New Roman" w:cs="Times New Roman"/>
          <w:bCs/>
        </w:rPr>
        <w:t>odest</w:t>
      </w:r>
      <w:r w:rsidR="00A20E5B" w:rsidRPr="007F0115">
        <w:rPr>
          <w:rFonts w:ascii="Times New Roman" w:hAnsi="Times New Roman" w:cs="Times New Roman"/>
          <w:bCs/>
        </w:rPr>
        <w:t xml:space="preserve"> </w:t>
      </w:r>
      <w:r w:rsidRPr="007F0115">
        <w:rPr>
          <w:rFonts w:ascii="Times New Roman" w:hAnsi="Times New Roman" w:cs="Times New Roman"/>
          <w:bCs/>
        </w:rPr>
        <w:t xml:space="preserve">because deferral and DVFS </w:t>
      </w:r>
      <w:r w:rsidR="00A20E5B">
        <w:rPr>
          <w:rFonts w:ascii="Times New Roman" w:hAnsi="Times New Roman" w:cs="Times New Roman"/>
          <w:bCs/>
        </w:rPr>
        <w:t xml:space="preserve">mechanisms </w:t>
      </w:r>
      <w:r w:rsidRPr="007F0115">
        <w:rPr>
          <w:rFonts w:ascii="Times New Roman" w:hAnsi="Times New Roman" w:cs="Times New Roman"/>
          <w:bCs/>
        </w:rPr>
        <w:t>contribute additively across all fleet sizes and do not saturate within the evaluated</w:t>
      </w:r>
      <w:r w:rsidR="00A20E5B">
        <w:rPr>
          <w:rFonts w:ascii="Times New Roman" w:hAnsi="Times New Roman" w:cs="Times New Roman"/>
          <w:bCs/>
        </w:rPr>
        <w:t xml:space="preserve"> range</w:t>
      </w:r>
      <w:r w:rsidR="00DA4458">
        <w:rPr>
          <w:rFonts w:ascii="Times New Roman" w:hAnsi="Times New Roman" w:cs="Times New Roman"/>
          <w:bCs/>
        </w:rPr>
        <w:t xml:space="preserve">. </w:t>
      </w:r>
      <w:r w:rsidR="00A20E5B">
        <w:rPr>
          <w:rFonts w:ascii="Times New Roman" w:hAnsi="Times New Roman" w:cs="Times New Roman"/>
          <w:bCs/>
        </w:rPr>
        <w:t>However, the</w:t>
      </w:r>
      <w:r w:rsidRPr="007F0115">
        <w:rPr>
          <w:rFonts w:ascii="Times New Roman" w:hAnsi="Times New Roman" w:cs="Times New Roman"/>
          <w:bCs/>
        </w:rPr>
        <w:t xml:space="preserve"> 5th percentile </w:t>
      </w:r>
      <w:r w:rsidR="00A20E5B">
        <w:rPr>
          <w:rFonts w:ascii="Times New Roman" w:hAnsi="Times New Roman" w:cs="Times New Roman"/>
          <w:bCs/>
        </w:rPr>
        <w:t xml:space="preserve">drops more sharply </w:t>
      </w:r>
      <w:r w:rsidR="004468BA">
        <w:rPr>
          <w:rFonts w:ascii="Times New Roman" w:hAnsi="Times New Roman" w:cs="Times New Roman"/>
          <w:bCs/>
        </w:rPr>
        <w:t>—</w:t>
      </w:r>
      <w:r w:rsidR="00A20E5B">
        <w:rPr>
          <w:rFonts w:ascii="Times New Roman" w:hAnsi="Times New Roman" w:cs="Times New Roman"/>
          <w:bCs/>
        </w:rPr>
        <w:t xml:space="preserve"> from </w:t>
      </w:r>
      <w:r w:rsidRPr="007F0115">
        <w:rPr>
          <w:rFonts w:ascii="Times New Roman" w:hAnsi="Times New Roman" w:cs="Times New Roman"/>
          <w:bCs/>
        </w:rPr>
        <w:t xml:space="preserve">38.1% to 25.2% </w:t>
      </w:r>
      <w:r w:rsidR="00A20E5B">
        <w:rPr>
          <w:rFonts w:ascii="Times New Roman" w:hAnsi="Times New Roman" w:cs="Times New Roman"/>
          <w:bCs/>
        </w:rPr>
        <w:t xml:space="preserve">(inference-dominant) and </w:t>
      </w:r>
      <w:r w:rsidRPr="007F0115">
        <w:rPr>
          <w:rFonts w:ascii="Times New Roman" w:hAnsi="Times New Roman" w:cs="Times New Roman"/>
          <w:bCs/>
        </w:rPr>
        <w:t xml:space="preserve">from 23.6% to 16.1% </w:t>
      </w:r>
      <w:r w:rsidR="00A20E5B">
        <w:rPr>
          <w:rFonts w:ascii="Times New Roman" w:hAnsi="Times New Roman" w:cs="Times New Roman"/>
          <w:bCs/>
        </w:rPr>
        <w:t>(</w:t>
      </w:r>
      <w:r w:rsidRPr="007F0115">
        <w:rPr>
          <w:rFonts w:ascii="Times New Roman" w:hAnsi="Times New Roman" w:cs="Times New Roman"/>
          <w:bCs/>
        </w:rPr>
        <w:t>mixed-use)</w:t>
      </w:r>
      <w:r w:rsidR="00A20E5B">
        <w:rPr>
          <w:rFonts w:ascii="Times New Roman" w:hAnsi="Times New Roman" w:cs="Times New Roman"/>
          <w:bCs/>
        </w:rPr>
        <w:t xml:space="preserve"> </w:t>
      </w:r>
      <w:r w:rsidR="004468BA">
        <w:rPr>
          <w:rFonts w:ascii="Times New Roman" w:hAnsi="Times New Roman" w:cs="Times New Roman"/>
          <w:bCs/>
        </w:rPr>
        <w:t>—</w:t>
      </w:r>
      <w:r w:rsidR="00A20E5B">
        <w:rPr>
          <w:rFonts w:ascii="Times New Roman" w:hAnsi="Times New Roman" w:cs="Times New Roman"/>
          <w:bCs/>
        </w:rPr>
        <w:t xml:space="preserve"> indicating </w:t>
      </w:r>
      <w:r w:rsidRPr="007F0115">
        <w:rPr>
          <w:rFonts w:ascii="Times New Roman" w:hAnsi="Times New Roman" w:cs="Times New Roman"/>
          <w:bCs/>
        </w:rPr>
        <w:t xml:space="preserve">that destination contention </w:t>
      </w:r>
      <w:r w:rsidR="00A20E5B">
        <w:rPr>
          <w:rFonts w:ascii="Times New Roman" w:hAnsi="Times New Roman" w:cs="Times New Roman"/>
          <w:bCs/>
        </w:rPr>
        <w:t>strongly constrains performance during</w:t>
      </w:r>
      <w:r w:rsidRPr="007F0115">
        <w:rPr>
          <w:rFonts w:ascii="Times New Roman" w:hAnsi="Times New Roman" w:cs="Times New Roman"/>
          <w:bCs/>
        </w:rPr>
        <w:t xml:space="preserve"> the worst stress hours.</w:t>
      </w:r>
    </w:p>
    <w:p w14:paraId="1B126AF7" w14:textId="69BBCDA9" w:rsidR="00D81F26" w:rsidRPr="00257069" w:rsidRDefault="00453346" w:rsidP="00BF52C2">
      <w:pPr>
        <w:rPr>
          <w:rFonts w:ascii="Times New Roman" w:hAnsi="Times New Roman" w:cs="Times New Roman"/>
          <w:bCs/>
          <w:sz w:val="28"/>
          <w:szCs w:val="28"/>
        </w:rPr>
      </w:pPr>
      <w:r w:rsidRPr="005D1770">
        <w:rPr>
          <w:rFonts w:ascii="Times New Roman" w:hAnsi="Times New Roman" w:cs="Times New Roman"/>
          <w:b/>
        </w:rPr>
        <w:t>System</w:t>
      </w:r>
      <w:r w:rsidR="00A20E5B" w:rsidRPr="005D1770">
        <w:rPr>
          <w:rFonts w:ascii="Times New Roman" w:hAnsi="Times New Roman" w:cs="Times New Roman"/>
          <w:b/>
        </w:rPr>
        <w:t xml:space="preserve"> L</w:t>
      </w:r>
      <w:r w:rsidRPr="005D1770">
        <w:rPr>
          <w:rFonts w:ascii="Times New Roman" w:hAnsi="Times New Roman" w:cs="Times New Roman"/>
          <w:b/>
        </w:rPr>
        <w:t xml:space="preserve">evel </w:t>
      </w:r>
      <w:r w:rsidR="00A20E5B" w:rsidRPr="005D1770">
        <w:rPr>
          <w:rFonts w:ascii="Times New Roman" w:hAnsi="Times New Roman" w:cs="Times New Roman"/>
          <w:b/>
        </w:rPr>
        <w:t>Implications</w:t>
      </w:r>
    </w:p>
    <w:p w14:paraId="5D0C348E" w14:textId="74856DFC" w:rsidR="00144FCC" w:rsidRDefault="00FA0AC3" w:rsidP="001930CA">
      <w:pPr>
        <w:rPr>
          <w:rFonts w:ascii="Times New Roman" w:hAnsi="Times New Roman" w:cs="Times New Roman"/>
          <w:bCs/>
        </w:rPr>
      </w:pPr>
      <w:r w:rsidRPr="00FA0AC3">
        <w:rPr>
          <w:rFonts w:ascii="Times New Roman" w:hAnsi="Times New Roman" w:cs="Times New Roman"/>
          <w:bCs/>
        </w:rPr>
        <w:t xml:space="preserve">At PJM's 92% demand-response ELCC, a 1 GW inference-dominant facility </w:t>
      </w:r>
      <w:r w:rsidR="00A20E5B">
        <w:rPr>
          <w:rFonts w:ascii="Times New Roman" w:hAnsi="Times New Roman" w:cs="Times New Roman"/>
          <w:bCs/>
        </w:rPr>
        <w:t xml:space="preserve">with a </w:t>
      </w:r>
      <w:r w:rsidRPr="00FA0AC3">
        <w:rPr>
          <w:rFonts w:ascii="Times New Roman" w:hAnsi="Times New Roman" w:cs="Times New Roman"/>
          <w:bCs/>
        </w:rPr>
        <w:t xml:space="preserve">mean commitment depth of 39.8% </w:t>
      </w:r>
      <w:r w:rsidR="00A20E5B">
        <w:rPr>
          <w:rFonts w:ascii="Times New Roman" w:hAnsi="Times New Roman" w:cs="Times New Roman"/>
          <w:bCs/>
        </w:rPr>
        <w:t>would be accredited at</w:t>
      </w:r>
      <w:r w:rsidR="00A20E5B" w:rsidRPr="00FA0AC3">
        <w:rPr>
          <w:rFonts w:ascii="Times New Roman" w:hAnsi="Times New Roman" w:cs="Times New Roman"/>
          <w:bCs/>
        </w:rPr>
        <w:t xml:space="preserve"> </w:t>
      </w:r>
      <w:r w:rsidRPr="00FA0AC3">
        <w:rPr>
          <w:rFonts w:ascii="Times New Roman" w:hAnsi="Times New Roman" w:cs="Times New Roman"/>
          <w:bCs/>
        </w:rPr>
        <w:t>367 MW</w:t>
      </w:r>
      <w:r w:rsidR="00A20E5B">
        <w:rPr>
          <w:rFonts w:ascii="Times New Roman" w:hAnsi="Times New Roman" w:cs="Times New Roman"/>
          <w:bCs/>
        </w:rPr>
        <w:t>.</w:t>
      </w:r>
      <w:r w:rsidRPr="00FA0AC3">
        <w:rPr>
          <w:rFonts w:ascii="Times New Roman" w:hAnsi="Times New Roman" w:cs="Times New Roman"/>
          <w:bCs/>
        </w:rPr>
        <w:t xml:space="preserve"> </w:t>
      </w:r>
      <w:r w:rsidR="00A20E5B">
        <w:rPr>
          <w:rFonts w:ascii="Times New Roman" w:hAnsi="Times New Roman" w:cs="Times New Roman"/>
          <w:bCs/>
        </w:rPr>
        <w:t>For a</w:t>
      </w:r>
      <w:r w:rsidRPr="00FA0AC3">
        <w:rPr>
          <w:rFonts w:ascii="Times New Roman" w:hAnsi="Times New Roman" w:cs="Times New Roman"/>
          <w:bCs/>
        </w:rPr>
        <w:t xml:space="preserve"> 10 GW fleet, </w:t>
      </w:r>
      <w:r w:rsidR="00A20E5B">
        <w:rPr>
          <w:rFonts w:ascii="Times New Roman" w:hAnsi="Times New Roman" w:cs="Times New Roman"/>
          <w:bCs/>
        </w:rPr>
        <w:t xml:space="preserve">the mean commitment depth of </w:t>
      </w:r>
      <w:r w:rsidRPr="00FA0AC3">
        <w:rPr>
          <w:rFonts w:ascii="Times New Roman" w:hAnsi="Times New Roman" w:cs="Times New Roman"/>
          <w:bCs/>
        </w:rPr>
        <w:t xml:space="preserve">38.5% implies 3,546 MW. </w:t>
      </w:r>
      <w:r w:rsidR="00A20E5B">
        <w:rPr>
          <w:rFonts w:ascii="Times New Roman" w:hAnsi="Times New Roman" w:cs="Times New Roman"/>
          <w:bCs/>
        </w:rPr>
        <w:t>Facilities used for both inference and other workloads (“mixed-use”) would</w:t>
      </w:r>
      <w:r w:rsidRPr="00FA0AC3">
        <w:rPr>
          <w:rFonts w:ascii="Times New Roman" w:hAnsi="Times New Roman" w:cs="Times New Roman"/>
          <w:bCs/>
        </w:rPr>
        <w:t xml:space="preserve"> yield 226 MW </w:t>
      </w:r>
      <w:r w:rsidR="00A20E5B">
        <w:rPr>
          <w:rFonts w:ascii="Times New Roman" w:hAnsi="Times New Roman" w:cs="Times New Roman"/>
          <w:bCs/>
        </w:rPr>
        <w:t xml:space="preserve">(1 GW) </w:t>
      </w:r>
      <w:r w:rsidRPr="00FA0AC3">
        <w:rPr>
          <w:rFonts w:ascii="Times New Roman" w:hAnsi="Times New Roman" w:cs="Times New Roman"/>
          <w:bCs/>
        </w:rPr>
        <w:t xml:space="preserve">and 2,216 MW </w:t>
      </w:r>
      <w:r w:rsidR="00A20E5B">
        <w:rPr>
          <w:rFonts w:ascii="Times New Roman" w:hAnsi="Times New Roman" w:cs="Times New Roman"/>
          <w:bCs/>
        </w:rPr>
        <w:t xml:space="preserve">(10 GW) </w:t>
      </w:r>
      <w:r w:rsidRPr="00FA0AC3">
        <w:rPr>
          <w:rFonts w:ascii="Times New Roman" w:hAnsi="Times New Roman" w:cs="Times New Roman"/>
          <w:bCs/>
        </w:rPr>
        <w:t xml:space="preserve">respectively. </w:t>
      </w:r>
      <w:r w:rsidR="00A20E5B">
        <w:rPr>
          <w:rFonts w:ascii="Times New Roman" w:hAnsi="Times New Roman" w:cs="Times New Roman"/>
          <w:bCs/>
        </w:rPr>
        <w:t xml:space="preserve">Using a </w:t>
      </w:r>
      <w:r w:rsidRPr="00FA0AC3">
        <w:rPr>
          <w:rFonts w:ascii="Times New Roman" w:hAnsi="Times New Roman" w:cs="Times New Roman"/>
          <w:bCs/>
        </w:rPr>
        <w:t xml:space="preserve">P5-based accreditation </w:t>
      </w:r>
      <w:r w:rsidR="00A20E5B">
        <w:rPr>
          <w:rFonts w:ascii="Times New Roman" w:hAnsi="Times New Roman" w:cs="Times New Roman"/>
          <w:bCs/>
        </w:rPr>
        <w:t>method</w:t>
      </w:r>
      <w:r w:rsidR="004468BA">
        <w:rPr>
          <w:rFonts w:ascii="Times New Roman" w:hAnsi="Times New Roman" w:cs="Times New Roman"/>
          <w:bCs/>
        </w:rPr>
        <w:t xml:space="preserve"> — anchored on the 5th-percentile outcome rather than the mean, the level achieved during the worst 5% of stress hours —</w:t>
      </w:r>
      <w:r w:rsidR="00A20E5B">
        <w:rPr>
          <w:rFonts w:ascii="Times New Roman" w:hAnsi="Times New Roman" w:cs="Times New Roman"/>
          <w:bCs/>
        </w:rPr>
        <w:t xml:space="preserve"> the same facilities would be accredited at</w:t>
      </w:r>
      <w:r w:rsidR="00144FCC">
        <w:rPr>
          <w:rFonts w:ascii="Times New Roman" w:hAnsi="Times New Roman" w:cs="Times New Roman"/>
          <w:bCs/>
        </w:rPr>
        <w:t>:</w:t>
      </w:r>
    </w:p>
    <w:p w14:paraId="6C60914B" w14:textId="3DD9406D" w:rsidR="00144FCC" w:rsidRDefault="00FA0AC3" w:rsidP="00144FCC">
      <w:pPr>
        <w:pStyle w:val="ListParagraph"/>
        <w:numPr>
          <w:ilvl w:val="0"/>
          <w:numId w:val="4"/>
        </w:numPr>
        <w:rPr>
          <w:rFonts w:ascii="Times New Roman" w:hAnsi="Times New Roman" w:cs="Times New Roman"/>
          <w:bCs/>
        </w:rPr>
      </w:pPr>
      <w:r w:rsidRPr="005D1770">
        <w:rPr>
          <w:rFonts w:ascii="Times New Roman" w:hAnsi="Times New Roman" w:cs="Times New Roman"/>
          <w:bCs/>
        </w:rPr>
        <w:t>350 MW (1 GW inference-dominant)</w:t>
      </w:r>
    </w:p>
    <w:p w14:paraId="06D9E57D" w14:textId="52897462" w:rsidR="00144FCC" w:rsidRDefault="00FA0AC3" w:rsidP="00144FCC">
      <w:pPr>
        <w:pStyle w:val="ListParagraph"/>
        <w:numPr>
          <w:ilvl w:val="0"/>
          <w:numId w:val="4"/>
        </w:numPr>
        <w:rPr>
          <w:rFonts w:ascii="Times New Roman" w:hAnsi="Times New Roman" w:cs="Times New Roman"/>
          <w:bCs/>
        </w:rPr>
      </w:pPr>
      <w:r w:rsidRPr="005D1770">
        <w:rPr>
          <w:rFonts w:ascii="Times New Roman" w:hAnsi="Times New Roman" w:cs="Times New Roman"/>
          <w:bCs/>
        </w:rPr>
        <w:t>2,322 MW (10 GW inference-dominant)</w:t>
      </w:r>
    </w:p>
    <w:p w14:paraId="7F42CB32" w14:textId="7E42A4D2" w:rsidR="00144FCC" w:rsidRDefault="00FA0AC3" w:rsidP="00144FCC">
      <w:pPr>
        <w:pStyle w:val="ListParagraph"/>
        <w:numPr>
          <w:ilvl w:val="0"/>
          <w:numId w:val="4"/>
        </w:numPr>
        <w:rPr>
          <w:rFonts w:ascii="Times New Roman" w:hAnsi="Times New Roman" w:cs="Times New Roman"/>
          <w:bCs/>
        </w:rPr>
      </w:pPr>
      <w:r w:rsidRPr="005D1770">
        <w:rPr>
          <w:rFonts w:ascii="Times New Roman" w:hAnsi="Times New Roman" w:cs="Times New Roman"/>
          <w:bCs/>
        </w:rPr>
        <w:t>217 MW (1 GW mixed-use)</w:t>
      </w:r>
    </w:p>
    <w:p w14:paraId="453806C7" w14:textId="29D8BF5D" w:rsidR="00144FCC" w:rsidRDefault="00FA0AC3" w:rsidP="00144FCC">
      <w:pPr>
        <w:pStyle w:val="ListParagraph"/>
        <w:numPr>
          <w:ilvl w:val="0"/>
          <w:numId w:val="4"/>
        </w:numPr>
        <w:rPr>
          <w:rFonts w:ascii="Times New Roman" w:hAnsi="Times New Roman" w:cs="Times New Roman"/>
          <w:bCs/>
        </w:rPr>
      </w:pPr>
      <w:r w:rsidRPr="005D1770">
        <w:rPr>
          <w:rFonts w:ascii="Times New Roman" w:hAnsi="Times New Roman" w:cs="Times New Roman"/>
          <w:bCs/>
        </w:rPr>
        <w:t>1,483 MW (10 GW mixed-use</w:t>
      </w:r>
      <w:r w:rsidR="00144FCC" w:rsidRPr="005D1770">
        <w:rPr>
          <w:rFonts w:ascii="Times New Roman" w:hAnsi="Times New Roman" w:cs="Times New Roman"/>
          <w:bCs/>
        </w:rPr>
        <w:t xml:space="preserve">). </w:t>
      </w:r>
    </w:p>
    <w:p w14:paraId="23B07776" w14:textId="77777777" w:rsidR="00144FCC" w:rsidRDefault="00144FCC" w:rsidP="00144FCC">
      <w:pPr>
        <w:pStyle w:val="ListParagraph"/>
        <w:ind w:left="0"/>
        <w:rPr>
          <w:rFonts w:ascii="Times New Roman" w:hAnsi="Times New Roman" w:cs="Times New Roman"/>
          <w:bCs/>
        </w:rPr>
      </w:pPr>
    </w:p>
    <w:p w14:paraId="0F4CCB48" w14:textId="4C95EF1A" w:rsidR="00FA0AC3" w:rsidRPr="005D1770" w:rsidRDefault="00144FCC" w:rsidP="005D1770">
      <w:pPr>
        <w:pStyle w:val="ListParagraph"/>
        <w:ind w:left="0"/>
        <w:rPr>
          <w:rFonts w:ascii="Times New Roman" w:hAnsi="Times New Roman" w:cs="Times New Roman"/>
          <w:bCs/>
        </w:rPr>
      </w:pPr>
      <w:r w:rsidRPr="005D1770">
        <w:rPr>
          <w:rFonts w:ascii="Times New Roman" w:hAnsi="Times New Roman" w:cs="Times New Roman"/>
          <w:bCs/>
        </w:rPr>
        <w:t xml:space="preserve">The difference </w:t>
      </w:r>
      <w:r w:rsidR="00FA0AC3" w:rsidRPr="005D1770">
        <w:rPr>
          <w:rFonts w:ascii="Times New Roman" w:hAnsi="Times New Roman" w:cs="Times New Roman"/>
          <w:bCs/>
        </w:rPr>
        <w:t xml:space="preserve">between mean-based and P5-based accreditation is </w:t>
      </w:r>
      <w:r w:rsidRPr="005D1770">
        <w:rPr>
          <w:rFonts w:ascii="Times New Roman" w:hAnsi="Times New Roman" w:cs="Times New Roman"/>
          <w:bCs/>
        </w:rPr>
        <w:t xml:space="preserve">minor </w:t>
      </w:r>
      <w:r w:rsidR="00FA0AC3" w:rsidRPr="005D1770">
        <w:rPr>
          <w:rFonts w:ascii="Times New Roman" w:hAnsi="Times New Roman" w:cs="Times New Roman"/>
          <w:bCs/>
        </w:rPr>
        <w:t>at</w:t>
      </w:r>
      <w:r w:rsidRPr="005D1770">
        <w:rPr>
          <w:rFonts w:ascii="Times New Roman" w:hAnsi="Times New Roman" w:cs="Times New Roman"/>
          <w:bCs/>
        </w:rPr>
        <w:t xml:space="preserve"> the</w:t>
      </w:r>
      <w:r w:rsidR="00FA0AC3" w:rsidRPr="005D1770">
        <w:rPr>
          <w:rFonts w:ascii="Times New Roman" w:hAnsi="Times New Roman" w:cs="Times New Roman"/>
          <w:bCs/>
        </w:rPr>
        <w:t xml:space="preserve"> single-facility scale (16 MW </w:t>
      </w:r>
      <w:r w:rsidRPr="005D1770">
        <w:rPr>
          <w:rFonts w:ascii="Times New Roman" w:hAnsi="Times New Roman" w:cs="Times New Roman"/>
          <w:bCs/>
        </w:rPr>
        <w:t xml:space="preserve">gap for </w:t>
      </w:r>
      <w:r w:rsidR="00FA0AC3" w:rsidRPr="005D1770">
        <w:rPr>
          <w:rFonts w:ascii="Times New Roman" w:hAnsi="Times New Roman" w:cs="Times New Roman"/>
          <w:bCs/>
        </w:rPr>
        <w:t xml:space="preserve">inference-dominant) but </w:t>
      </w:r>
      <w:r w:rsidRPr="005D1770">
        <w:rPr>
          <w:rFonts w:ascii="Times New Roman" w:hAnsi="Times New Roman" w:cs="Times New Roman"/>
          <w:bCs/>
        </w:rPr>
        <w:t>becomes significant for a large</w:t>
      </w:r>
      <w:r w:rsidR="00FA0AC3" w:rsidRPr="005D1770">
        <w:rPr>
          <w:rFonts w:ascii="Times New Roman" w:hAnsi="Times New Roman" w:cs="Times New Roman"/>
          <w:bCs/>
        </w:rPr>
        <w:t xml:space="preserve"> fleet (1,224 MW </w:t>
      </w:r>
      <w:r w:rsidRPr="005D1770">
        <w:rPr>
          <w:rFonts w:ascii="Times New Roman" w:hAnsi="Times New Roman" w:cs="Times New Roman"/>
          <w:bCs/>
        </w:rPr>
        <w:t xml:space="preserve">gap </w:t>
      </w:r>
      <w:r w:rsidR="00FA0AC3" w:rsidRPr="005D1770">
        <w:rPr>
          <w:rFonts w:ascii="Times New Roman" w:hAnsi="Times New Roman" w:cs="Times New Roman"/>
          <w:bCs/>
        </w:rPr>
        <w:t>at 10 GW).</w:t>
      </w:r>
    </w:p>
    <w:p w14:paraId="31B65D3A" w14:textId="77777777" w:rsidR="00144FCC" w:rsidRDefault="00300E1F" w:rsidP="00F064BF">
      <w:pPr>
        <w:rPr>
          <w:rFonts w:ascii="Times New Roman" w:hAnsi="Times New Roman" w:cs="Times New Roman"/>
          <w:bCs/>
        </w:rPr>
      </w:pPr>
      <w:r w:rsidRPr="00300E1F">
        <w:rPr>
          <w:rFonts w:ascii="Times New Roman" w:hAnsi="Times New Roman" w:cs="Times New Roman"/>
          <w:bCs/>
        </w:rPr>
        <w:t>At E3's levelized combustion turbine (CT) cost of $180,000/MW-yr (2025 Resource Adequacy Study for Illinois)[14], the avoided capacity cost is approximately</w:t>
      </w:r>
      <w:r w:rsidR="00144FCC">
        <w:rPr>
          <w:rFonts w:ascii="Times New Roman" w:hAnsi="Times New Roman" w:cs="Times New Roman"/>
          <w:bCs/>
        </w:rPr>
        <w:t>:</w:t>
      </w:r>
    </w:p>
    <w:p w14:paraId="506CA14A" w14:textId="77777777" w:rsidR="00144FCC" w:rsidRDefault="00196806" w:rsidP="00F064BF">
      <w:pPr>
        <w:pStyle w:val="ListParagraph"/>
        <w:numPr>
          <w:ilvl w:val="0"/>
          <w:numId w:val="4"/>
        </w:numPr>
        <w:rPr>
          <w:rFonts w:ascii="Times New Roman" w:hAnsi="Times New Roman" w:cs="Times New Roman"/>
          <w:bCs/>
        </w:rPr>
      </w:pPr>
      <w:r w:rsidRPr="005D1770">
        <w:rPr>
          <w:rFonts w:ascii="Times New Roman" w:hAnsi="Times New Roman" w:cs="Times New Roman"/>
          <w:bCs/>
        </w:rPr>
        <w:t>$66M</w:t>
      </w:r>
      <w:r w:rsidR="00FA0AC3" w:rsidRPr="005D1770">
        <w:rPr>
          <w:rFonts w:ascii="Times New Roman" w:hAnsi="Times New Roman" w:cs="Times New Roman"/>
          <w:bCs/>
        </w:rPr>
        <w:t>/y</w:t>
      </w:r>
      <w:r w:rsidR="00144FCC" w:rsidRPr="005D1770">
        <w:rPr>
          <w:rFonts w:ascii="Times New Roman" w:hAnsi="Times New Roman" w:cs="Times New Roman"/>
          <w:bCs/>
        </w:rPr>
        <w:t>ea</w:t>
      </w:r>
      <w:r w:rsidR="00FA0AC3" w:rsidRPr="005D1770">
        <w:rPr>
          <w:rFonts w:ascii="Times New Roman" w:hAnsi="Times New Roman" w:cs="Times New Roman"/>
          <w:bCs/>
        </w:rPr>
        <w:t>r</w:t>
      </w:r>
      <w:r w:rsidRPr="005D1770">
        <w:rPr>
          <w:rFonts w:ascii="Times New Roman" w:hAnsi="Times New Roman" w:cs="Times New Roman"/>
          <w:bCs/>
        </w:rPr>
        <w:t xml:space="preserve"> for </w:t>
      </w:r>
      <w:r w:rsidR="00FA0AC3" w:rsidRPr="005D1770">
        <w:rPr>
          <w:rFonts w:ascii="Times New Roman" w:hAnsi="Times New Roman" w:cs="Times New Roman"/>
          <w:bCs/>
        </w:rPr>
        <w:t>a</w:t>
      </w:r>
      <w:r w:rsidRPr="005D1770">
        <w:rPr>
          <w:rFonts w:ascii="Times New Roman" w:hAnsi="Times New Roman" w:cs="Times New Roman"/>
          <w:bCs/>
        </w:rPr>
        <w:t xml:space="preserve"> 1 GW inference-dominant facility</w:t>
      </w:r>
    </w:p>
    <w:p w14:paraId="61219DC7" w14:textId="120BBCAD" w:rsidR="00144FCC" w:rsidRDefault="00196806" w:rsidP="00F064BF">
      <w:pPr>
        <w:pStyle w:val="ListParagraph"/>
        <w:numPr>
          <w:ilvl w:val="0"/>
          <w:numId w:val="4"/>
        </w:numPr>
        <w:rPr>
          <w:rFonts w:ascii="Times New Roman" w:hAnsi="Times New Roman" w:cs="Times New Roman"/>
          <w:bCs/>
        </w:rPr>
      </w:pPr>
      <w:r w:rsidRPr="005D1770">
        <w:rPr>
          <w:rFonts w:ascii="Times New Roman" w:hAnsi="Times New Roman" w:cs="Times New Roman"/>
          <w:bCs/>
        </w:rPr>
        <w:t>$638M</w:t>
      </w:r>
      <w:r w:rsidR="00FA0AC3" w:rsidRPr="005D1770">
        <w:rPr>
          <w:rFonts w:ascii="Times New Roman" w:hAnsi="Times New Roman" w:cs="Times New Roman"/>
          <w:bCs/>
        </w:rPr>
        <w:t>/y</w:t>
      </w:r>
      <w:r w:rsidR="00144FCC" w:rsidRPr="005D1770">
        <w:rPr>
          <w:rFonts w:ascii="Times New Roman" w:hAnsi="Times New Roman" w:cs="Times New Roman"/>
          <w:bCs/>
        </w:rPr>
        <w:t>ea</w:t>
      </w:r>
      <w:r w:rsidR="00FA0AC3" w:rsidRPr="005D1770">
        <w:rPr>
          <w:rFonts w:ascii="Times New Roman" w:hAnsi="Times New Roman" w:cs="Times New Roman"/>
          <w:bCs/>
        </w:rPr>
        <w:t>r</w:t>
      </w:r>
      <w:r w:rsidRPr="005D1770">
        <w:rPr>
          <w:rFonts w:ascii="Times New Roman" w:hAnsi="Times New Roman" w:cs="Times New Roman"/>
          <w:bCs/>
        </w:rPr>
        <w:t xml:space="preserve"> for a 10 GW fleet</w:t>
      </w:r>
    </w:p>
    <w:p w14:paraId="140D84D6" w14:textId="6B4E0F93" w:rsidR="00144FCC" w:rsidRDefault="00FA0AC3" w:rsidP="00F064BF">
      <w:pPr>
        <w:pStyle w:val="ListParagraph"/>
        <w:numPr>
          <w:ilvl w:val="0"/>
          <w:numId w:val="4"/>
        </w:numPr>
        <w:rPr>
          <w:rFonts w:ascii="Times New Roman" w:hAnsi="Times New Roman" w:cs="Times New Roman"/>
          <w:bCs/>
        </w:rPr>
      </w:pPr>
      <w:r w:rsidRPr="005D1770">
        <w:rPr>
          <w:rFonts w:ascii="Times New Roman" w:hAnsi="Times New Roman" w:cs="Times New Roman"/>
          <w:bCs/>
        </w:rPr>
        <w:t xml:space="preserve">$41M/$399M </w:t>
      </w:r>
      <w:r w:rsidR="00144FCC">
        <w:rPr>
          <w:rFonts w:ascii="Times New Roman" w:hAnsi="Times New Roman" w:cs="Times New Roman"/>
          <w:bCs/>
        </w:rPr>
        <w:t xml:space="preserve">pre year for </w:t>
      </w:r>
      <w:r w:rsidRPr="005D1770">
        <w:rPr>
          <w:rFonts w:ascii="Times New Roman" w:hAnsi="Times New Roman" w:cs="Times New Roman"/>
          <w:bCs/>
        </w:rPr>
        <w:t>mixed-use</w:t>
      </w:r>
      <w:r w:rsidR="00144FCC">
        <w:rPr>
          <w:rFonts w:ascii="Times New Roman" w:hAnsi="Times New Roman" w:cs="Times New Roman"/>
          <w:bCs/>
        </w:rPr>
        <w:t xml:space="preserve"> facilities (1 GW/10 GW)</w:t>
      </w:r>
      <w:r w:rsidRPr="005D1770">
        <w:rPr>
          <w:rFonts w:ascii="Times New Roman" w:hAnsi="Times New Roman" w:cs="Times New Roman"/>
          <w:bCs/>
        </w:rPr>
        <w:t>.</w:t>
      </w:r>
      <w:r w:rsidR="00196806" w:rsidRPr="005D1770">
        <w:rPr>
          <w:rFonts w:ascii="Times New Roman" w:hAnsi="Times New Roman" w:cs="Times New Roman"/>
          <w:bCs/>
        </w:rPr>
        <w:t xml:space="preserve"> </w:t>
      </w:r>
    </w:p>
    <w:p w14:paraId="670947A0" w14:textId="24493BD6" w:rsidR="00847A3F" w:rsidRPr="005D1770" w:rsidRDefault="00501678" w:rsidP="00144FCC">
      <w:pPr>
        <w:rPr>
          <w:rFonts w:ascii="Times New Roman" w:hAnsi="Times New Roman" w:cs="Times New Roman"/>
          <w:bCs/>
        </w:rPr>
      </w:pPr>
      <w:r w:rsidRPr="005D1770">
        <w:rPr>
          <w:rFonts w:ascii="Times New Roman" w:hAnsi="Times New Roman" w:cs="Times New Roman"/>
          <w:bCs/>
        </w:rPr>
        <w:t xml:space="preserve">From the operator's perspective, </w:t>
      </w:r>
      <w:r w:rsidR="00144FCC">
        <w:rPr>
          <w:rFonts w:ascii="Times New Roman" w:hAnsi="Times New Roman" w:cs="Times New Roman"/>
          <w:bCs/>
        </w:rPr>
        <w:t xml:space="preserve">accelerating </w:t>
      </w:r>
      <w:r w:rsidRPr="005D1770">
        <w:rPr>
          <w:rFonts w:ascii="Times New Roman" w:hAnsi="Times New Roman" w:cs="Times New Roman"/>
          <w:bCs/>
        </w:rPr>
        <w:t xml:space="preserve">interconnection </w:t>
      </w:r>
      <w:r w:rsidR="00144FCC">
        <w:rPr>
          <w:rFonts w:ascii="Times New Roman" w:hAnsi="Times New Roman" w:cs="Times New Roman"/>
          <w:bCs/>
        </w:rPr>
        <w:t xml:space="preserve">offers a much larger incentive. For a </w:t>
      </w:r>
      <w:r w:rsidRPr="005D1770">
        <w:rPr>
          <w:rFonts w:ascii="Times New Roman" w:hAnsi="Times New Roman" w:cs="Times New Roman"/>
          <w:bCs/>
        </w:rPr>
        <w:t xml:space="preserve">1 GW facility, </w:t>
      </w:r>
      <w:r w:rsidR="00144FCC">
        <w:rPr>
          <w:rFonts w:ascii="Times New Roman" w:hAnsi="Times New Roman" w:cs="Times New Roman"/>
          <w:bCs/>
        </w:rPr>
        <w:t xml:space="preserve">a three-year acceleration yields a </w:t>
      </w:r>
      <w:r w:rsidRPr="005D1770">
        <w:rPr>
          <w:rFonts w:ascii="Times New Roman" w:hAnsi="Times New Roman" w:cs="Times New Roman"/>
          <w:bCs/>
        </w:rPr>
        <w:t xml:space="preserve">central NPV </w:t>
      </w:r>
      <w:r w:rsidR="00144FCC">
        <w:rPr>
          <w:rFonts w:ascii="Times New Roman" w:hAnsi="Times New Roman" w:cs="Times New Roman"/>
          <w:bCs/>
        </w:rPr>
        <w:t>of about</w:t>
      </w:r>
      <w:r w:rsidRPr="005D1770">
        <w:rPr>
          <w:rFonts w:ascii="Times New Roman" w:hAnsi="Times New Roman" w:cs="Times New Roman"/>
          <w:bCs/>
        </w:rPr>
        <w:t xml:space="preserve"> $23.1B</w:t>
      </w:r>
      <w:r w:rsidR="00144FCC">
        <w:rPr>
          <w:rFonts w:ascii="Times New Roman" w:hAnsi="Times New Roman" w:cs="Times New Roman"/>
          <w:bCs/>
        </w:rPr>
        <w:t>, far exceeding</w:t>
      </w:r>
      <w:r w:rsidRPr="005D1770">
        <w:rPr>
          <w:rFonts w:ascii="Times New Roman" w:hAnsi="Times New Roman" w:cs="Times New Roman"/>
          <w:bCs/>
        </w:rPr>
        <w:t xml:space="preserve"> the present value of avoided capacity payments over a comparable horizon.</w:t>
      </w:r>
      <w:r w:rsidR="00A87BDC" w:rsidRPr="005D1770">
        <w:rPr>
          <w:rFonts w:ascii="Times New Roman" w:hAnsi="Times New Roman" w:cs="Times New Roman"/>
          <w:bCs/>
        </w:rPr>
        <w:t xml:space="preserve"> The do</w:t>
      </w:r>
      <w:r w:rsidR="00FA0AC3" w:rsidRPr="005D1770">
        <w:rPr>
          <w:rFonts w:ascii="Times New Roman" w:hAnsi="Times New Roman" w:cs="Times New Roman"/>
          <w:bCs/>
        </w:rPr>
        <w:t xml:space="preserve">minance ratio is robust across both </w:t>
      </w:r>
      <w:r w:rsidR="001F4BCB">
        <w:rPr>
          <w:rFonts w:ascii="Times New Roman" w:hAnsi="Times New Roman" w:cs="Times New Roman"/>
          <w:bCs/>
        </w:rPr>
        <w:t>scenarios</w:t>
      </w:r>
      <w:r w:rsidR="001F4BCB" w:rsidRPr="005D1770">
        <w:rPr>
          <w:rFonts w:ascii="Times New Roman" w:hAnsi="Times New Roman" w:cs="Times New Roman"/>
          <w:bCs/>
        </w:rPr>
        <w:t xml:space="preserve"> </w:t>
      </w:r>
      <w:r w:rsidR="00FA0AC3" w:rsidRPr="005D1770">
        <w:rPr>
          <w:rFonts w:ascii="Times New Roman" w:hAnsi="Times New Roman" w:cs="Times New Roman"/>
          <w:bCs/>
        </w:rPr>
        <w:t xml:space="preserve">because </w:t>
      </w:r>
      <w:r w:rsidR="00300E1F" w:rsidRPr="005D1770">
        <w:rPr>
          <w:rFonts w:ascii="Times New Roman" w:hAnsi="Times New Roman" w:cs="Times New Roman"/>
          <w:bCs/>
        </w:rPr>
        <w:t>interconnection acceleration</w:t>
      </w:r>
      <w:r w:rsidR="00FA0AC3" w:rsidRPr="005D1770">
        <w:rPr>
          <w:rFonts w:ascii="Times New Roman" w:hAnsi="Times New Roman" w:cs="Times New Roman"/>
          <w:bCs/>
        </w:rPr>
        <w:t xml:space="preserve"> NPV scales with foregone compute revenue while avoided capacity cost scales with commitment depth directly.</w:t>
      </w:r>
    </w:p>
    <w:p w14:paraId="228494D5" w14:textId="28894DFF" w:rsidR="003E7288" w:rsidRPr="00257069" w:rsidRDefault="003E7288" w:rsidP="00F064BF">
      <w:pPr>
        <w:rPr>
          <w:rFonts w:ascii="Times New Roman" w:hAnsi="Times New Roman" w:cs="Times New Roman"/>
          <w:b/>
          <w:sz w:val="28"/>
          <w:szCs w:val="28"/>
        </w:rPr>
      </w:pPr>
      <w:r w:rsidRPr="005D1770">
        <w:rPr>
          <w:rFonts w:ascii="Times New Roman" w:hAnsi="Times New Roman" w:cs="Times New Roman"/>
          <w:b/>
        </w:rPr>
        <w:t>Discussion</w:t>
      </w:r>
    </w:p>
    <w:p w14:paraId="4FF7C31A" w14:textId="48FF825E" w:rsidR="00874687" w:rsidRDefault="00874687" w:rsidP="00CC04C7">
      <w:pPr>
        <w:rPr>
          <w:rFonts w:ascii="Times New Roman" w:hAnsi="Times New Roman" w:cs="Times New Roman"/>
          <w:bCs/>
        </w:rPr>
      </w:pPr>
      <w:r w:rsidRPr="00874687">
        <w:rPr>
          <w:rFonts w:ascii="Times New Roman" w:hAnsi="Times New Roman" w:cs="Times New Roman"/>
          <w:bCs/>
        </w:rPr>
        <w:t xml:space="preserve">This framework </w:t>
      </w:r>
      <w:r w:rsidR="008E4A6C">
        <w:rPr>
          <w:rFonts w:ascii="Times New Roman" w:hAnsi="Times New Roman" w:cs="Times New Roman"/>
          <w:bCs/>
        </w:rPr>
        <w:t>produces</w:t>
      </w:r>
      <w:r w:rsidR="008E4A6C" w:rsidRPr="00874687">
        <w:rPr>
          <w:rFonts w:ascii="Times New Roman" w:hAnsi="Times New Roman" w:cs="Times New Roman"/>
          <w:bCs/>
        </w:rPr>
        <w:t xml:space="preserve"> </w:t>
      </w:r>
      <w:r w:rsidRPr="00874687">
        <w:rPr>
          <w:rFonts w:ascii="Times New Roman" w:hAnsi="Times New Roman" w:cs="Times New Roman"/>
          <w:bCs/>
        </w:rPr>
        <w:t xml:space="preserve">commitment depths </w:t>
      </w:r>
      <w:r w:rsidR="008E4A6C">
        <w:rPr>
          <w:rFonts w:ascii="Times New Roman" w:hAnsi="Times New Roman" w:cs="Times New Roman"/>
          <w:bCs/>
        </w:rPr>
        <w:t>ranging from</w:t>
      </w:r>
      <w:r w:rsidR="008E4A6C" w:rsidRPr="00874687">
        <w:rPr>
          <w:rFonts w:ascii="Times New Roman" w:hAnsi="Times New Roman" w:cs="Times New Roman"/>
          <w:bCs/>
        </w:rPr>
        <w:t xml:space="preserve"> </w:t>
      </w:r>
      <w:r w:rsidRPr="00874687">
        <w:rPr>
          <w:rFonts w:ascii="Times New Roman" w:hAnsi="Times New Roman" w:cs="Times New Roman"/>
          <w:bCs/>
        </w:rPr>
        <w:t xml:space="preserve">24% to 40% per MW of inference capacity, </w:t>
      </w:r>
      <w:r w:rsidR="008E4A6C">
        <w:rPr>
          <w:rFonts w:ascii="Times New Roman" w:hAnsi="Times New Roman" w:cs="Times New Roman"/>
          <w:bCs/>
        </w:rPr>
        <w:t>with</w:t>
      </w:r>
      <w:r w:rsidR="008E4A6C" w:rsidRPr="00874687">
        <w:rPr>
          <w:rFonts w:ascii="Times New Roman" w:hAnsi="Times New Roman" w:cs="Times New Roman"/>
          <w:bCs/>
        </w:rPr>
        <w:t xml:space="preserve"> </w:t>
      </w:r>
      <w:r w:rsidRPr="00874687">
        <w:rPr>
          <w:rFonts w:ascii="Times New Roman" w:hAnsi="Times New Roman" w:cs="Times New Roman"/>
          <w:bCs/>
        </w:rPr>
        <w:t xml:space="preserve">only </w:t>
      </w:r>
      <w:r w:rsidR="008E4A6C">
        <w:rPr>
          <w:rFonts w:ascii="Times New Roman" w:hAnsi="Times New Roman" w:cs="Times New Roman"/>
          <w:bCs/>
        </w:rPr>
        <w:t>modest decline as</w:t>
      </w:r>
      <w:r w:rsidRPr="00874687">
        <w:rPr>
          <w:rFonts w:ascii="Times New Roman" w:hAnsi="Times New Roman" w:cs="Times New Roman"/>
          <w:bCs/>
        </w:rPr>
        <w:t xml:space="preserve"> fleet size</w:t>
      </w:r>
      <w:r w:rsidR="008E4A6C">
        <w:rPr>
          <w:rFonts w:ascii="Times New Roman" w:hAnsi="Times New Roman" w:cs="Times New Roman"/>
          <w:bCs/>
        </w:rPr>
        <w:t xml:space="preserve"> increases. This is</w:t>
      </w:r>
      <w:r w:rsidRPr="00874687">
        <w:rPr>
          <w:rFonts w:ascii="Times New Roman" w:hAnsi="Times New Roman" w:cs="Times New Roman"/>
          <w:bCs/>
        </w:rPr>
        <w:t xml:space="preserve"> because the three flexibility mechanisms </w:t>
      </w:r>
      <w:r w:rsidR="008E4A6C">
        <w:rPr>
          <w:rFonts w:ascii="Times New Roman" w:hAnsi="Times New Roman" w:cs="Times New Roman"/>
          <w:bCs/>
        </w:rPr>
        <w:t>saturate differently</w:t>
      </w:r>
      <w:r w:rsidRPr="00874687">
        <w:rPr>
          <w:rFonts w:ascii="Times New Roman" w:hAnsi="Times New Roman" w:cs="Times New Roman"/>
          <w:bCs/>
        </w:rPr>
        <w:t xml:space="preserve">. The relevant </w:t>
      </w:r>
      <w:r w:rsidR="008E4A6C">
        <w:rPr>
          <w:rFonts w:ascii="Times New Roman" w:hAnsi="Times New Roman" w:cs="Times New Roman"/>
          <w:bCs/>
        </w:rPr>
        <w:t>comparison</w:t>
      </w:r>
      <w:r w:rsidR="008E4A6C" w:rsidRPr="00874687">
        <w:rPr>
          <w:rFonts w:ascii="Times New Roman" w:hAnsi="Times New Roman" w:cs="Times New Roman"/>
          <w:bCs/>
        </w:rPr>
        <w:t xml:space="preserve"> </w:t>
      </w:r>
      <w:r w:rsidRPr="00874687">
        <w:rPr>
          <w:rFonts w:ascii="Times New Roman" w:hAnsi="Times New Roman" w:cs="Times New Roman"/>
          <w:bCs/>
        </w:rPr>
        <w:t xml:space="preserve">is not a grid without data centers but a grid </w:t>
      </w:r>
      <w:r w:rsidR="008E4A6C">
        <w:rPr>
          <w:rFonts w:ascii="Times New Roman" w:hAnsi="Times New Roman" w:cs="Times New Roman"/>
          <w:bCs/>
        </w:rPr>
        <w:t>where</w:t>
      </w:r>
      <w:r w:rsidRPr="00874687">
        <w:rPr>
          <w:rFonts w:ascii="Times New Roman" w:hAnsi="Times New Roman" w:cs="Times New Roman"/>
          <w:bCs/>
        </w:rPr>
        <w:t xml:space="preserve"> data centers are treated as inflexible load</w:t>
      </w:r>
      <w:r w:rsidR="008E4A6C">
        <w:rPr>
          <w:rFonts w:ascii="Times New Roman" w:hAnsi="Times New Roman" w:cs="Times New Roman"/>
          <w:bCs/>
        </w:rPr>
        <w:t>,</w:t>
      </w:r>
      <w:r w:rsidRPr="00874687">
        <w:rPr>
          <w:rFonts w:ascii="Times New Roman" w:hAnsi="Times New Roman" w:cs="Times New Roman"/>
          <w:bCs/>
        </w:rPr>
        <w:t xml:space="preserve"> </w:t>
      </w:r>
      <w:r w:rsidR="008E4A6C">
        <w:rPr>
          <w:rFonts w:ascii="Times New Roman" w:hAnsi="Times New Roman" w:cs="Times New Roman"/>
          <w:bCs/>
        </w:rPr>
        <w:t>requiring</w:t>
      </w:r>
      <w:r w:rsidRPr="00874687">
        <w:rPr>
          <w:rFonts w:ascii="Times New Roman" w:hAnsi="Times New Roman" w:cs="Times New Roman"/>
          <w:bCs/>
        </w:rPr>
        <w:t xml:space="preserve"> procurement of </w:t>
      </w:r>
      <w:r w:rsidR="008E4A6C">
        <w:rPr>
          <w:rFonts w:ascii="Times New Roman" w:hAnsi="Times New Roman" w:cs="Times New Roman"/>
          <w:bCs/>
        </w:rPr>
        <w:t xml:space="preserve">matching </w:t>
      </w:r>
      <w:r w:rsidRPr="00874687">
        <w:rPr>
          <w:rFonts w:ascii="Times New Roman" w:hAnsi="Times New Roman" w:cs="Times New Roman"/>
          <w:bCs/>
        </w:rPr>
        <w:t>generation and reserves</w:t>
      </w:r>
      <w:r w:rsidR="008E4A6C">
        <w:rPr>
          <w:rFonts w:ascii="Times New Roman" w:hAnsi="Times New Roman" w:cs="Times New Roman"/>
          <w:bCs/>
        </w:rPr>
        <w:t xml:space="preserve"> for every</w:t>
      </w:r>
      <w:r w:rsidRPr="00874687">
        <w:rPr>
          <w:rFonts w:ascii="Times New Roman" w:hAnsi="Times New Roman" w:cs="Times New Roman"/>
          <w:bCs/>
        </w:rPr>
        <w:t xml:space="preserve"> </w:t>
      </w:r>
      <w:r w:rsidR="008E4A6C">
        <w:rPr>
          <w:rFonts w:ascii="Times New Roman" w:hAnsi="Times New Roman" w:cs="Times New Roman"/>
          <w:bCs/>
        </w:rPr>
        <w:t xml:space="preserve">MW of inference capacity. When loads are </w:t>
      </w:r>
      <w:r w:rsidRPr="00874687">
        <w:rPr>
          <w:rFonts w:ascii="Times New Roman" w:hAnsi="Times New Roman" w:cs="Times New Roman"/>
          <w:bCs/>
        </w:rPr>
        <w:t xml:space="preserve">flexible, current </w:t>
      </w:r>
      <w:r w:rsidR="008E4A6C">
        <w:rPr>
          <w:rFonts w:ascii="Times New Roman" w:hAnsi="Times New Roman" w:cs="Times New Roman"/>
          <w:bCs/>
        </w:rPr>
        <w:t>practice leads to over-</w:t>
      </w:r>
      <w:r w:rsidRPr="00874687">
        <w:rPr>
          <w:rFonts w:ascii="Times New Roman" w:hAnsi="Times New Roman" w:cs="Times New Roman"/>
          <w:bCs/>
        </w:rPr>
        <w:t xml:space="preserve">procurement </w:t>
      </w:r>
      <w:r w:rsidR="008E4A6C">
        <w:rPr>
          <w:rFonts w:ascii="Times New Roman" w:hAnsi="Times New Roman" w:cs="Times New Roman"/>
          <w:bCs/>
        </w:rPr>
        <w:t>beyond</w:t>
      </w:r>
      <w:r w:rsidR="008E4A6C" w:rsidRPr="00874687">
        <w:rPr>
          <w:rFonts w:ascii="Times New Roman" w:hAnsi="Times New Roman" w:cs="Times New Roman"/>
          <w:bCs/>
        </w:rPr>
        <w:t xml:space="preserve"> </w:t>
      </w:r>
      <w:r w:rsidRPr="00874687">
        <w:rPr>
          <w:rFonts w:ascii="Times New Roman" w:hAnsi="Times New Roman" w:cs="Times New Roman"/>
          <w:bCs/>
        </w:rPr>
        <w:t xml:space="preserve">actual reliability </w:t>
      </w:r>
      <w:r w:rsidR="008E4A6C">
        <w:rPr>
          <w:rFonts w:ascii="Times New Roman" w:hAnsi="Times New Roman" w:cs="Times New Roman"/>
          <w:bCs/>
        </w:rPr>
        <w:t>needs</w:t>
      </w:r>
      <w:r w:rsidRPr="00874687">
        <w:rPr>
          <w:rFonts w:ascii="Times New Roman" w:hAnsi="Times New Roman" w:cs="Times New Roman"/>
          <w:bCs/>
        </w:rPr>
        <w:t>.</w:t>
      </w:r>
    </w:p>
    <w:p w14:paraId="0D3517CE" w14:textId="639F9101" w:rsidR="008E4A6C" w:rsidRDefault="00F459F5" w:rsidP="00CC04C7">
      <w:pPr>
        <w:rPr>
          <w:rFonts w:ascii="Times New Roman" w:hAnsi="Times New Roman" w:cs="Times New Roman"/>
          <w:bCs/>
        </w:rPr>
      </w:pPr>
      <w:r w:rsidRPr="00F459F5">
        <w:rPr>
          <w:rFonts w:ascii="Times New Roman" w:hAnsi="Times New Roman" w:cs="Times New Roman"/>
          <w:bCs/>
        </w:rPr>
        <w:t xml:space="preserve">The </w:t>
      </w:r>
      <w:r w:rsidR="008E4A6C">
        <w:rPr>
          <w:rFonts w:ascii="Times New Roman" w:hAnsi="Times New Roman" w:cs="Times New Roman"/>
          <w:bCs/>
        </w:rPr>
        <w:t>main sources of</w:t>
      </w:r>
      <w:r w:rsidR="008E4A6C" w:rsidRPr="00F459F5">
        <w:rPr>
          <w:rFonts w:ascii="Times New Roman" w:hAnsi="Times New Roman" w:cs="Times New Roman"/>
          <w:bCs/>
        </w:rPr>
        <w:t xml:space="preserve"> </w:t>
      </w:r>
      <w:r w:rsidRPr="00F459F5">
        <w:rPr>
          <w:rFonts w:ascii="Times New Roman" w:hAnsi="Times New Roman" w:cs="Times New Roman"/>
          <w:bCs/>
        </w:rPr>
        <w:t xml:space="preserve">uncertainty </w:t>
      </w:r>
      <w:r w:rsidR="008E4A6C">
        <w:rPr>
          <w:rFonts w:ascii="Times New Roman" w:hAnsi="Times New Roman" w:cs="Times New Roman"/>
          <w:bCs/>
        </w:rPr>
        <w:t>are operational decisions:</w:t>
      </w:r>
      <w:r w:rsidRPr="00F459F5">
        <w:rPr>
          <w:rFonts w:ascii="Times New Roman" w:hAnsi="Times New Roman" w:cs="Times New Roman"/>
          <w:bCs/>
        </w:rPr>
        <w:t xml:space="preserve"> </w:t>
      </w:r>
    </w:p>
    <w:p w14:paraId="2397366D" w14:textId="26EE5B74" w:rsidR="008E4A6C" w:rsidRDefault="00A104C3" w:rsidP="008E4A6C">
      <w:pPr>
        <w:pStyle w:val="ListParagraph"/>
        <w:numPr>
          <w:ilvl w:val="0"/>
          <w:numId w:val="4"/>
        </w:numPr>
        <w:rPr>
          <w:rFonts w:ascii="Times New Roman" w:hAnsi="Times New Roman" w:cs="Times New Roman"/>
          <w:bCs/>
        </w:rPr>
      </w:pPr>
      <w:r w:rsidRPr="005D1770">
        <w:rPr>
          <w:rFonts w:ascii="Times New Roman" w:hAnsi="Times New Roman" w:cs="Times New Roman"/>
          <w:bCs/>
        </w:rPr>
        <w:t xml:space="preserve"> (</w:t>
      </w:r>
      <w:r w:rsidR="00F459F5" w:rsidRPr="005D1770">
        <w:rPr>
          <w:rFonts w:ascii="Times New Roman" w:hAnsi="Times New Roman" w:cs="Times New Roman"/>
          <w:bCs/>
        </w:rPr>
        <w:t>DEST</w:t>
      </w:r>
      <w:r w:rsidR="00F459F5" w:rsidRPr="005D1770">
        <w:rPr>
          <w:rFonts w:ascii="Times New Roman" w:hAnsi="Times New Roman" w:cs="Times New Roman"/>
          <w:bCs/>
          <w:vertAlign w:val="subscript"/>
        </w:rPr>
        <w:t>absorb</w:t>
      </w:r>
      <w:r w:rsidRPr="005D1770">
        <w:rPr>
          <w:rFonts w:ascii="Times New Roman" w:hAnsi="Times New Roman" w:cs="Times New Roman"/>
          <w:bCs/>
        </w:rPr>
        <w:t>)</w:t>
      </w:r>
      <w:r w:rsidR="008E4A6C">
        <w:rPr>
          <w:rFonts w:ascii="Times New Roman" w:hAnsi="Times New Roman" w:cs="Times New Roman"/>
          <w:bCs/>
        </w:rPr>
        <w:t>:</w:t>
      </w:r>
      <w:r w:rsidR="00F459F5" w:rsidRPr="005D1770">
        <w:rPr>
          <w:rFonts w:ascii="Times New Roman" w:hAnsi="Times New Roman" w:cs="Times New Roman"/>
          <w:bCs/>
        </w:rPr>
        <w:t xml:space="preserve"> </w:t>
      </w:r>
      <w:r w:rsidR="008E4A6C">
        <w:rPr>
          <w:rFonts w:ascii="Times New Roman" w:hAnsi="Times New Roman" w:cs="Times New Roman"/>
          <w:bCs/>
        </w:rPr>
        <w:t>How</w:t>
      </w:r>
      <w:r w:rsidR="00F459F5" w:rsidRPr="005D1770">
        <w:rPr>
          <w:rFonts w:ascii="Times New Roman" w:hAnsi="Times New Roman" w:cs="Times New Roman"/>
          <w:bCs/>
        </w:rPr>
        <w:t xml:space="preserve"> much GPU headroom operators maintain</w:t>
      </w:r>
      <w:r w:rsidR="008E4A6C">
        <w:rPr>
          <w:rFonts w:ascii="Times New Roman" w:hAnsi="Times New Roman" w:cs="Times New Roman"/>
          <w:bCs/>
        </w:rPr>
        <w:t>, hardware</w:t>
      </w:r>
      <w:r w:rsidR="00F459F5" w:rsidRPr="005D1770">
        <w:rPr>
          <w:rFonts w:ascii="Times New Roman" w:hAnsi="Times New Roman" w:cs="Times New Roman"/>
          <w:bCs/>
        </w:rPr>
        <w:t xml:space="preserve"> compatibility</w:t>
      </w:r>
      <w:r w:rsidR="008E4A6C">
        <w:rPr>
          <w:rFonts w:ascii="Times New Roman" w:hAnsi="Times New Roman" w:cs="Times New Roman"/>
          <w:bCs/>
        </w:rPr>
        <w:t>, and pre-staging — all operational choices.</w:t>
      </w:r>
      <w:r w:rsidR="00F459F5" w:rsidRPr="005D1770">
        <w:rPr>
          <w:rFonts w:ascii="Times New Roman" w:hAnsi="Times New Roman" w:cs="Times New Roman"/>
          <w:bCs/>
        </w:rPr>
        <w:t xml:space="preserve"> </w:t>
      </w:r>
    </w:p>
    <w:p w14:paraId="478047B0" w14:textId="584DA644" w:rsidR="00EF58FB" w:rsidRDefault="00A104C3" w:rsidP="008E4A6C">
      <w:pPr>
        <w:pStyle w:val="ListParagraph"/>
        <w:numPr>
          <w:ilvl w:val="0"/>
          <w:numId w:val="4"/>
        </w:numPr>
        <w:rPr>
          <w:rFonts w:ascii="Times New Roman" w:hAnsi="Times New Roman" w:cs="Times New Roman"/>
          <w:bCs/>
        </w:rPr>
      </w:pPr>
      <w:r w:rsidRPr="005D1770">
        <w:rPr>
          <w:rFonts w:ascii="Times New Roman" w:hAnsi="Times New Roman" w:cs="Times New Roman"/>
          <w:bCs/>
        </w:rPr>
        <w:t xml:space="preserve"> (</w:t>
      </w:r>
      <w:r w:rsidR="00F459F5" w:rsidRPr="005D1770">
        <w:rPr>
          <w:rFonts w:ascii="Times New Roman" w:hAnsi="Times New Roman" w:cs="Times New Roman"/>
          <w:bCs/>
        </w:rPr>
        <w:t>MIG</w:t>
      </w:r>
      <w:r w:rsidR="00F459F5" w:rsidRPr="005D1770">
        <w:rPr>
          <w:rFonts w:ascii="Times New Roman" w:hAnsi="Times New Roman" w:cs="Times New Roman"/>
          <w:bCs/>
          <w:vertAlign w:val="subscript"/>
        </w:rPr>
        <w:t>elig</w:t>
      </w:r>
      <w:r w:rsidR="00F459F5" w:rsidRPr="005D1770">
        <w:rPr>
          <w:rFonts w:ascii="Times New Roman" w:hAnsi="Times New Roman" w:cs="Times New Roman"/>
          <w:bCs/>
        </w:rPr>
        <w:t xml:space="preserve"> Component B</w:t>
      </w:r>
      <w:r w:rsidRPr="005D1770">
        <w:rPr>
          <w:rFonts w:ascii="Times New Roman" w:hAnsi="Times New Roman" w:cs="Times New Roman"/>
          <w:bCs/>
        </w:rPr>
        <w:t>)</w:t>
      </w:r>
      <w:r w:rsidR="00EF58FB">
        <w:rPr>
          <w:rFonts w:ascii="Times New Roman" w:hAnsi="Times New Roman" w:cs="Times New Roman"/>
          <w:bCs/>
        </w:rPr>
        <w:t>:</w:t>
      </w:r>
      <w:r w:rsidR="00F459F5" w:rsidRPr="005D1770">
        <w:rPr>
          <w:rFonts w:ascii="Times New Roman" w:hAnsi="Times New Roman" w:cs="Times New Roman"/>
          <w:bCs/>
        </w:rPr>
        <w:t xml:space="preserve"> </w:t>
      </w:r>
      <w:r w:rsidR="00EF58FB">
        <w:rPr>
          <w:rFonts w:ascii="Times New Roman" w:hAnsi="Times New Roman" w:cs="Times New Roman"/>
          <w:bCs/>
        </w:rPr>
        <w:t>Fraction of workloads el</w:t>
      </w:r>
      <w:r w:rsidR="00597009">
        <w:rPr>
          <w:rFonts w:ascii="Times New Roman" w:hAnsi="Times New Roman" w:cs="Times New Roman"/>
          <w:bCs/>
        </w:rPr>
        <w:t>ig</w:t>
      </w:r>
      <w:r w:rsidR="00EF58FB">
        <w:rPr>
          <w:rFonts w:ascii="Times New Roman" w:hAnsi="Times New Roman" w:cs="Times New Roman"/>
          <w:bCs/>
        </w:rPr>
        <w:t>i</w:t>
      </w:r>
      <w:r w:rsidR="00597009">
        <w:rPr>
          <w:rFonts w:ascii="Times New Roman" w:hAnsi="Times New Roman" w:cs="Times New Roman"/>
          <w:bCs/>
        </w:rPr>
        <w:t>b</w:t>
      </w:r>
      <w:r w:rsidR="00EF58FB">
        <w:rPr>
          <w:rFonts w:ascii="Times New Roman" w:hAnsi="Times New Roman" w:cs="Times New Roman"/>
          <w:bCs/>
        </w:rPr>
        <w:t xml:space="preserve">le for migration, largely determined by contracts, which could be </w:t>
      </w:r>
      <w:r w:rsidR="00F459F5" w:rsidRPr="005D1770">
        <w:rPr>
          <w:rFonts w:ascii="Times New Roman" w:hAnsi="Times New Roman" w:cs="Times New Roman"/>
          <w:bCs/>
        </w:rPr>
        <w:t xml:space="preserve">standardized </w:t>
      </w:r>
      <w:r w:rsidR="00EF58FB">
        <w:rPr>
          <w:rFonts w:ascii="Times New Roman" w:hAnsi="Times New Roman" w:cs="Times New Roman"/>
          <w:bCs/>
        </w:rPr>
        <w:t xml:space="preserve">for </w:t>
      </w:r>
      <w:r w:rsidR="00501678" w:rsidRPr="005D1770">
        <w:rPr>
          <w:rFonts w:ascii="Times New Roman" w:hAnsi="Times New Roman" w:cs="Times New Roman"/>
          <w:bCs/>
        </w:rPr>
        <w:t xml:space="preserve">demand-response </w:t>
      </w:r>
      <w:r w:rsidR="00F459F5" w:rsidRPr="005D1770">
        <w:rPr>
          <w:rFonts w:ascii="Times New Roman" w:hAnsi="Times New Roman" w:cs="Times New Roman"/>
          <w:bCs/>
        </w:rPr>
        <w:t xml:space="preserve">participation. </w:t>
      </w:r>
    </w:p>
    <w:p w14:paraId="53D2EBBE" w14:textId="178BA76D" w:rsidR="00874687" w:rsidRPr="005D1770" w:rsidRDefault="00A104C3" w:rsidP="005D1770">
      <w:pPr>
        <w:pStyle w:val="ListParagraph"/>
        <w:numPr>
          <w:ilvl w:val="0"/>
          <w:numId w:val="4"/>
        </w:numPr>
        <w:rPr>
          <w:rFonts w:ascii="Times New Roman" w:hAnsi="Times New Roman" w:cs="Times New Roman"/>
          <w:bCs/>
        </w:rPr>
      </w:pPr>
      <w:r w:rsidRPr="005D1770">
        <w:rPr>
          <w:rFonts w:ascii="Times New Roman" w:hAnsi="Times New Roman" w:cs="Times New Roman"/>
          <w:bCs/>
        </w:rPr>
        <w:t xml:space="preserve"> (</w:t>
      </w:r>
      <w:r w:rsidR="00F459F5" w:rsidRPr="005D1770">
        <w:rPr>
          <w:rFonts w:ascii="Times New Roman" w:hAnsi="Times New Roman" w:cs="Times New Roman"/>
          <w:bCs/>
        </w:rPr>
        <w:t>QUEUE</w:t>
      </w:r>
      <w:r w:rsidR="00766339" w:rsidRPr="005D1770">
        <w:rPr>
          <w:rFonts w:ascii="Times New Roman" w:hAnsi="Times New Roman" w:cs="Times New Roman"/>
          <w:bCs/>
          <w:vertAlign w:val="subscript"/>
        </w:rPr>
        <w:t>ok</w:t>
      </w:r>
      <w:r w:rsidRPr="005D1770">
        <w:rPr>
          <w:rFonts w:ascii="Times New Roman" w:hAnsi="Times New Roman" w:cs="Times New Roman"/>
          <w:bCs/>
        </w:rPr>
        <w:t>)</w:t>
      </w:r>
      <w:r w:rsidR="00EF58FB">
        <w:rPr>
          <w:rFonts w:ascii="Times New Roman" w:hAnsi="Times New Roman" w:cs="Times New Roman"/>
          <w:bCs/>
        </w:rPr>
        <w:t>:</w:t>
      </w:r>
      <w:r w:rsidR="00F459F5" w:rsidRPr="005D1770">
        <w:rPr>
          <w:rFonts w:ascii="Times New Roman" w:hAnsi="Times New Roman" w:cs="Times New Roman"/>
          <w:bCs/>
        </w:rPr>
        <w:t xml:space="preserve"> </w:t>
      </w:r>
      <w:r w:rsidR="00EF58FB">
        <w:rPr>
          <w:rFonts w:ascii="Times New Roman" w:hAnsi="Times New Roman" w:cs="Times New Roman"/>
          <w:bCs/>
        </w:rPr>
        <w:t>Post-stress queue absorption at fleet scale, determined by</w:t>
      </w:r>
      <w:r w:rsidR="00F459F5" w:rsidRPr="005D1770">
        <w:rPr>
          <w:rFonts w:ascii="Times New Roman" w:hAnsi="Times New Roman" w:cs="Times New Roman"/>
          <w:bCs/>
        </w:rPr>
        <w:t xml:space="preserve"> whether facilities </w:t>
      </w:r>
      <w:r w:rsidR="00EF58FB">
        <w:rPr>
          <w:rFonts w:ascii="Times New Roman" w:hAnsi="Times New Roman" w:cs="Times New Roman"/>
          <w:bCs/>
        </w:rPr>
        <w:t>coordinate</w:t>
      </w:r>
      <w:r w:rsidR="00F459F5" w:rsidRPr="005D1770">
        <w:rPr>
          <w:rFonts w:ascii="Times New Roman" w:hAnsi="Times New Roman" w:cs="Times New Roman"/>
          <w:bCs/>
        </w:rPr>
        <w:t xml:space="preserve"> recovery windows; aggregator-level visibility </w:t>
      </w:r>
      <w:r w:rsidR="00EF58FB">
        <w:rPr>
          <w:rFonts w:ascii="Times New Roman" w:hAnsi="Times New Roman" w:cs="Times New Roman"/>
          <w:bCs/>
        </w:rPr>
        <w:t>can</w:t>
      </w:r>
      <w:r w:rsidR="00F459F5" w:rsidRPr="005D1770">
        <w:rPr>
          <w:rFonts w:ascii="Times New Roman" w:hAnsi="Times New Roman" w:cs="Times New Roman"/>
          <w:bCs/>
        </w:rPr>
        <w:t xml:space="preserve"> reduce fleet saturation.</w:t>
      </w:r>
    </w:p>
    <w:p w14:paraId="57567D91" w14:textId="76A10A8C" w:rsidR="00285C49" w:rsidRDefault="00F459F5" w:rsidP="00CC04C7">
      <w:pPr>
        <w:rPr>
          <w:rFonts w:ascii="Times New Roman" w:hAnsi="Times New Roman" w:cs="Times New Roman"/>
          <w:bCs/>
        </w:rPr>
      </w:pPr>
      <w:r w:rsidRPr="00F459F5">
        <w:rPr>
          <w:rFonts w:ascii="Times New Roman" w:hAnsi="Times New Roman" w:cs="Times New Roman"/>
          <w:bCs/>
        </w:rPr>
        <w:t xml:space="preserve">Sensitivity analysis </w:t>
      </w:r>
      <w:r w:rsidR="00285C49">
        <w:rPr>
          <w:rFonts w:ascii="Times New Roman" w:hAnsi="Times New Roman" w:cs="Times New Roman"/>
          <w:bCs/>
        </w:rPr>
        <w:t>shows</w:t>
      </w:r>
      <w:r w:rsidRPr="00F459F5">
        <w:rPr>
          <w:rFonts w:ascii="Times New Roman" w:hAnsi="Times New Roman" w:cs="Times New Roman"/>
          <w:bCs/>
        </w:rPr>
        <w:t xml:space="preserve"> the</w:t>
      </w:r>
      <w:r w:rsidR="00A104C3">
        <w:rPr>
          <w:rFonts w:ascii="Times New Roman" w:hAnsi="Times New Roman" w:cs="Times New Roman"/>
          <w:bCs/>
        </w:rPr>
        <w:t>se</w:t>
      </w:r>
      <w:r w:rsidRPr="00F459F5">
        <w:rPr>
          <w:rFonts w:ascii="Times New Roman" w:hAnsi="Times New Roman" w:cs="Times New Roman"/>
          <w:bCs/>
        </w:rPr>
        <w:t xml:space="preserve"> three institutional parameters drive most of the framework</w:t>
      </w:r>
      <w:r w:rsidR="00285C49">
        <w:rPr>
          <w:rFonts w:ascii="Times New Roman" w:hAnsi="Times New Roman" w:cs="Times New Roman"/>
          <w:bCs/>
        </w:rPr>
        <w:t>’</w:t>
      </w:r>
      <w:r w:rsidRPr="00F459F5">
        <w:rPr>
          <w:rFonts w:ascii="Times New Roman" w:hAnsi="Times New Roman" w:cs="Times New Roman"/>
          <w:bCs/>
        </w:rPr>
        <w:t>s residual uncertainty</w:t>
      </w:r>
      <w:r>
        <w:rPr>
          <w:rFonts w:ascii="Times New Roman" w:hAnsi="Times New Roman" w:cs="Times New Roman"/>
          <w:bCs/>
        </w:rPr>
        <w:t xml:space="preserve">. </w:t>
      </w:r>
      <w:r w:rsidR="00285C49">
        <w:rPr>
          <w:rFonts w:ascii="Times New Roman" w:hAnsi="Times New Roman" w:cs="Times New Roman"/>
          <w:bCs/>
        </w:rPr>
        <w:t>A</w:t>
      </w:r>
      <w:r w:rsidR="00CC04C7" w:rsidRPr="00CC04C7">
        <w:rPr>
          <w:rFonts w:ascii="Times New Roman" w:hAnsi="Times New Roman" w:cs="Times New Roman"/>
          <w:bCs/>
        </w:rPr>
        <w:t xml:space="preserve">t 10 GW inference-dominant </w:t>
      </w:r>
      <w:r w:rsidR="00285C49">
        <w:rPr>
          <w:rFonts w:ascii="Times New Roman" w:hAnsi="Times New Roman" w:cs="Times New Roman"/>
          <w:bCs/>
        </w:rPr>
        <w:t>scale, mean commitment depth varies</w:t>
      </w:r>
      <w:r w:rsidR="00285C49" w:rsidRPr="00CC04C7">
        <w:rPr>
          <w:rFonts w:ascii="Times New Roman" w:hAnsi="Times New Roman" w:cs="Times New Roman"/>
          <w:bCs/>
        </w:rPr>
        <w:t xml:space="preserve"> </w:t>
      </w:r>
      <w:r w:rsidR="00CC04C7" w:rsidRPr="00CC04C7">
        <w:rPr>
          <w:rFonts w:ascii="Times New Roman" w:hAnsi="Times New Roman" w:cs="Times New Roman"/>
          <w:bCs/>
        </w:rPr>
        <w:t>from 32.5% to 40.0% across plausible DEST</w:t>
      </w:r>
      <w:r w:rsidR="00CC04C7" w:rsidRPr="005D1770">
        <w:rPr>
          <w:rFonts w:ascii="Times New Roman" w:hAnsi="Times New Roman" w:cs="Times New Roman"/>
          <w:bCs/>
          <w:vertAlign w:val="subscript"/>
        </w:rPr>
        <w:t>absorb</w:t>
      </w:r>
      <w:r w:rsidR="00CC04C7" w:rsidRPr="00CC04C7">
        <w:rPr>
          <w:rFonts w:ascii="Times New Roman" w:hAnsi="Times New Roman" w:cs="Times New Roman"/>
          <w:bCs/>
        </w:rPr>
        <w:t xml:space="preserve"> and QUEUE</w:t>
      </w:r>
      <w:r w:rsidR="00766339" w:rsidRPr="005D1770">
        <w:rPr>
          <w:rFonts w:ascii="Times New Roman" w:hAnsi="Times New Roman" w:cs="Times New Roman"/>
          <w:bCs/>
          <w:vertAlign w:val="subscript"/>
        </w:rPr>
        <w:t>ok</w:t>
      </w:r>
      <w:r w:rsidR="00285C49">
        <w:rPr>
          <w:rFonts w:ascii="Times New Roman" w:hAnsi="Times New Roman" w:cs="Times New Roman"/>
          <w:bCs/>
        </w:rPr>
        <w:t xml:space="preserve"> values.</w:t>
      </w:r>
      <w:r w:rsidR="00CC04C7" w:rsidRPr="00CC04C7">
        <w:rPr>
          <w:rFonts w:ascii="Times New Roman" w:hAnsi="Times New Roman" w:cs="Times New Roman"/>
          <w:bCs/>
        </w:rPr>
        <w:t xml:space="preserve"> </w:t>
      </w:r>
      <w:r w:rsidR="00285C49">
        <w:rPr>
          <w:rFonts w:ascii="Times New Roman" w:hAnsi="Times New Roman" w:cs="Times New Roman"/>
          <w:bCs/>
        </w:rPr>
        <w:t xml:space="preserve">Tornado charts confirm these three parameters dominate </w:t>
      </w:r>
      <w:r w:rsidR="00CC04C7" w:rsidRPr="00CC04C7">
        <w:rPr>
          <w:rFonts w:ascii="Times New Roman" w:hAnsi="Times New Roman" w:cs="Times New Roman"/>
          <w:bCs/>
        </w:rPr>
        <w:t xml:space="preserve">fleet-scale sensitivity, while </w:t>
      </w:r>
      <w:r w:rsidR="00285C49">
        <w:rPr>
          <w:rFonts w:ascii="Times New Roman" w:hAnsi="Times New Roman" w:cs="Times New Roman"/>
          <w:bCs/>
        </w:rPr>
        <w:t xml:space="preserve">empirically anchored </w:t>
      </w:r>
      <w:r w:rsidR="00CC04C7" w:rsidRPr="00CC04C7">
        <w:rPr>
          <w:rFonts w:ascii="Times New Roman" w:hAnsi="Times New Roman" w:cs="Times New Roman"/>
          <w:bCs/>
        </w:rPr>
        <w:t xml:space="preserve">parameters </w:t>
      </w:r>
      <w:r w:rsidR="00285C49">
        <w:rPr>
          <w:rFonts w:ascii="Times New Roman" w:hAnsi="Times New Roman" w:cs="Times New Roman"/>
          <w:bCs/>
        </w:rPr>
        <w:t>have minimal impact</w:t>
      </w:r>
      <w:r w:rsidR="00CC04C7" w:rsidRPr="00CC04C7">
        <w:rPr>
          <w:rFonts w:ascii="Times New Roman" w:hAnsi="Times New Roman" w:cs="Times New Roman"/>
          <w:bCs/>
        </w:rPr>
        <w:t xml:space="preserve">. Source-side parameters </w:t>
      </w:r>
      <w:r w:rsidR="00285C49">
        <w:rPr>
          <w:rFonts w:ascii="Times New Roman" w:hAnsi="Times New Roman" w:cs="Times New Roman"/>
          <w:bCs/>
        </w:rPr>
        <w:t>are negligible</w:t>
      </w:r>
      <w:r w:rsidR="00CC04C7" w:rsidRPr="00CC04C7">
        <w:rPr>
          <w:rFonts w:ascii="Times New Roman" w:hAnsi="Times New Roman" w:cs="Times New Roman"/>
          <w:bCs/>
        </w:rPr>
        <w:t xml:space="preserve"> because the fleet is destination- and queue-constrained. </w:t>
      </w:r>
    </w:p>
    <w:p w14:paraId="7593278E" w14:textId="3A0BC77F" w:rsidR="00CC04C7" w:rsidRDefault="00A87BDC" w:rsidP="00CC04C7">
      <w:pPr>
        <w:rPr>
          <w:rFonts w:ascii="Times New Roman" w:hAnsi="Times New Roman" w:cs="Times New Roman"/>
          <w:bCs/>
        </w:rPr>
      </w:pPr>
      <w:r w:rsidRPr="00A87BDC">
        <w:rPr>
          <w:rFonts w:ascii="Times New Roman" w:hAnsi="Times New Roman" w:cs="Times New Roman"/>
          <w:bCs/>
        </w:rPr>
        <w:t>DEST</w:t>
      </w:r>
      <w:r w:rsidRPr="005D1770">
        <w:rPr>
          <w:rFonts w:ascii="Times New Roman" w:hAnsi="Times New Roman" w:cs="Times New Roman"/>
          <w:bCs/>
          <w:vertAlign w:val="subscript"/>
        </w:rPr>
        <w:t>absorb</w:t>
      </w:r>
      <w:r w:rsidRPr="00A87BDC">
        <w:rPr>
          <w:rFonts w:ascii="Times New Roman" w:hAnsi="Times New Roman" w:cs="Times New Roman"/>
          <w:bCs/>
        </w:rPr>
        <w:t xml:space="preserve"> is most actionable, requiring no hardware or workload </w:t>
      </w:r>
      <w:r w:rsidR="00285C49">
        <w:rPr>
          <w:rFonts w:ascii="Times New Roman" w:hAnsi="Times New Roman" w:cs="Times New Roman"/>
          <w:bCs/>
        </w:rPr>
        <w:t>changes</w:t>
      </w:r>
      <w:r w:rsidRPr="00A87BDC">
        <w:rPr>
          <w:rFonts w:ascii="Times New Roman" w:hAnsi="Times New Roman" w:cs="Times New Roman"/>
          <w:bCs/>
        </w:rPr>
        <w:t>.</w:t>
      </w:r>
      <w:r w:rsidR="00CC04C7" w:rsidRPr="00CC04C7">
        <w:rPr>
          <w:rFonts w:ascii="Times New Roman" w:hAnsi="Times New Roman" w:cs="Times New Roman"/>
          <w:bCs/>
        </w:rPr>
        <w:t xml:space="preserve"> The IEA</w:t>
      </w:r>
      <w:r w:rsidR="00285C49">
        <w:rPr>
          <w:rFonts w:ascii="Times New Roman" w:hAnsi="Times New Roman" w:cs="Times New Roman"/>
          <w:bCs/>
        </w:rPr>
        <w:t>’s</w:t>
      </w:r>
      <w:r w:rsidR="00CC04C7" w:rsidRPr="00CC04C7">
        <w:rPr>
          <w:rFonts w:ascii="Times New Roman" w:hAnsi="Times New Roman" w:cs="Times New Roman"/>
          <w:bCs/>
        </w:rPr>
        <w:t xml:space="preserve"> 2025 Energy and AI report </w:t>
      </w:r>
      <w:r w:rsidR="00285C49">
        <w:rPr>
          <w:rFonts w:ascii="Times New Roman" w:hAnsi="Times New Roman" w:cs="Times New Roman"/>
          <w:bCs/>
        </w:rPr>
        <w:t>highlights the need to understand</w:t>
      </w:r>
      <w:r w:rsidR="001E1732">
        <w:rPr>
          <w:rFonts w:ascii="Times New Roman" w:hAnsi="Times New Roman" w:cs="Times New Roman"/>
          <w:bCs/>
        </w:rPr>
        <w:t xml:space="preserve"> economic, operational, and contractual </w:t>
      </w:r>
      <w:r w:rsidR="00285C49">
        <w:rPr>
          <w:rFonts w:ascii="Times New Roman" w:hAnsi="Times New Roman" w:cs="Times New Roman"/>
          <w:bCs/>
        </w:rPr>
        <w:lastRenderedPageBreak/>
        <w:t>limits</w:t>
      </w:r>
      <w:r w:rsidR="001E1732">
        <w:rPr>
          <w:rFonts w:ascii="Times New Roman" w:hAnsi="Times New Roman" w:cs="Times New Roman"/>
          <w:bCs/>
        </w:rPr>
        <w:t xml:space="preserve"> to realize flexibility potential</w:t>
      </w:r>
      <w:r w:rsidR="00114017">
        <w:rPr>
          <w:rFonts w:ascii="Times New Roman" w:hAnsi="Times New Roman" w:cs="Times New Roman"/>
          <w:bCs/>
        </w:rPr>
        <w:t>[4]</w:t>
      </w:r>
      <w:r w:rsidR="00285C49">
        <w:rPr>
          <w:rFonts w:ascii="Times New Roman" w:hAnsi="Times New Roman" w:cs="Times New Roman"/>
          <w:bCs/>
        </w:rPr>
        <w:t>.</w:t>
      </w:r>
      <w:r w:rsidR="008E326D">
        <w:rPr>
          <w:rFonts w:ascii="Times New Roman" w:hAnsi="Times New Roman" w:cs="Times New Roman"/>
          <w:bCs/>
        </w:rPr>
        <w:t xml:space="preserve"> </w:t>
      </w:r>
      <w:r w:rsidR="00CC04C7" w:rsidRPr="00CC04C7">
        <w:rPr>
          <w:rFonts w:ascii="Times New Roman" w:hAnsi="Times New Roman" w:cs="Times New Roman"/>
          <w:bCs/>
        </w:rPr>
        <w:t>Knittel et al.</w:t>
      </w:r>
      <w:r w:rsidR="00285C49">
        <w:rPr>
          <w:rFonts w:ascii="Times New Roman" w:hAnsi="Times New Roman" w:cs="Times New Roman"/>
          <w:bCs/>
        </w:rPr>
        <w:t xml:space="preserve"> model</w:t>
      </w:r>
      <w:r w:rsidR="00CC04C7" w:rsidRPr="00CC04C7">
        <w:rPr>
          <w:rFonts w:ascii="Times New Roman" w:hAnsi="Times New Roman" w:cs="Times New Roman"/>
          <w:bCs/>
        </w:rPr>
        <w:t xml:space="preserve"> </w:t>
      </w:r>
      <w:r w:rsidR="001E1732">
        <w:rPr>
          <w:rFonts w:ascii="Times New Roman" w:hAnsi="Times New Roman" w:cs="Times New Roman"/>
          <w:bCs/>
        </w:rPr>
        <w:t>flexible</w:t>
      </w:r>
      <w:r w:rsidR="004A3F0A">
        <w:rPr>
          <w:rFonts w:ascii="Times New Roman" w:hAnsi="Times New Roman" w:cs="Times New Roman"/>
          <w:bCs/>
        </w:rPr>
        <w:t xml:space="preserve"> </w:t>
      </w:r>
      <w:r w:rsidR="001E1732">
        <w:rPr>
          <w:rFonts w:ascii="Times New Roman" w:hAnsi="Times New Roman" w:cs="Times New Roman"/>
          <w:bCs/>
        </w:rPr>
        <w:t>workload share</w:t>
      </w:r>
      <w:r w:rsidR="004A3F0A">
        <w:rPr>
          <w:rFonts w:ascii="Times New Roman" w:hAnsi="Times New Roman" w:cs="Times New Roman"/>
          <w:bCs/>
        </w:rPr>
        <w:t>s</w:t>
      </w:r>
      <w:r w:rsidR="001E1732">
        <w:rPr>
          <w:rFonts w:ascii="Times New Roman" w:hAnsi="Times New Roman" w:cs="Times New Roman"/>
          <w:bCs/>
        </w:rPr>
        <w:t xml:space="preserve"> exogenously across a </w:t>
      </w:r>
      <w:r w:rsidR="004A3F0A">
        <w:rPr>
          <w:rFonts w:ascii="Times New Roman" w:hAnsi="Times New Roman" w:cs="Times New Roman"/>
          <w:bCs/>
        </w:rPr>
        <w:t>wide</w:t>
      </w:r>
      <w:r w:rsidR="001E1732">
        <w:rPr>
          <w:rFonts w:ascii="Times New Roman" w:hAnsi="Times New Roman" w:cs="Times New Roman"/>
          <w:bCs/>
        </w:rPr>
        <w:t xml:space="preserve"> range to evaluate system-level </w:t>
      </w:r>
      <w:r w:rsidR="004A3F0A">
        <w:rPr>
          <w:rFonts w:ascii="Times New Roman" w:hAnsi="Times New Roman" w:cs="Times New Roman"/>
          <w:bCs/>
        </w:rPr>
        <w:t xml:space="preserve">importance of </w:t>
      </w:r>
      <w:r w:rsidR="001E1732">
        <w:rPr>
          <w:rFonts w:ascii="Times New Roman" w:hAnsi="Times New Roman" w:cs="Times New Roman"/>
          <w:bCs/>
        </w:rPr>
        <w:t xml:space="preserve">endogenous determination of flexibility levels </w:t>
      </w:r>
      <w:r w:rsidR="004A3F0A">
        <w:rPr>
          <w:rFonts w:ascii="Times New Roman" w:hAnsi="Times New Roman" w:cs="Times New Roman"/>
          <w:bCs/>
        </w:rPr>
        <w:t>[15].</w:t>
      </w:r>
      <w:r w:rsidR="001E1732">
        <w:rPr>
          <w:rFonts w:ascii="Times New Roman" w:hAnsi="Times New Roman" w:cs="Times New Roman"/>
          <w:bCs/>
        </w:rPr>
        <w:t xml:space="preserve"> The bottom-up </w:t>
      </w:r>
      <w:r w:rsidR="00BB2825">
        <w:rPr>
          <w:rFonts w:ascii="Times New Roman" w:hAnsi="Times New Roman" w:cs="Times New Roman"/>
          <w:bCs/>
        </w:rPr>
        <w:t xml:space="preserve">model </w:t>
      </w:r>
      <w:r w:rsidR="001E1732">
        <w:rPr>
          <w:rFonts w:ascii="Times New Roman" w:hAnsi="Times New Roman" w:cs="Times New Roman"/>
          <w:bCs/>
        </w:rPr>
        <w:t xml:space="preserve">here provides that determination and addresses spatial direction identified </w:t>
      </w:r>
      <w:r w:rsidR="004A3F0A">
        <w:rPr>
          <w:rFonts w:ascii="Times New Roman" w:hAnsi="Times New Roman" w:cs="Times New Roman"/>
          <w:bCs/>
        </w:rPr>
        <w:t>for</w:t>
      </w:r>
      <w:r w:rsidR="001E1732">
        <w:rPr>
          <w:rFonts w:ascii="Times New Roman" w:hAnsi="Times New Roman" w:cs="Times New Roman"/>
          <w:bCs/>
        </w:rPr>
        <w:t xml:space="preserve"> future work[10]</w:t>
      </w:r>
      <w:r w:rsidR="00114017">
        <w:rPr>
          <w:rFonts w:ascii="Times New Roman" w:hAnsi="Times New Roman" w:cs="Times New Roman"/>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808"/>
      </w:tblGrid>
      <w:tr w:rsidR="00F459F5" w14:paraId="42F3BA89" w14:textId="77777777" w:rsidTr="008B4284">
        <w:tc>
          <w:tcPr>
            <w:tcW w:w="4552" w:type="dxa"/>
          </w:tcPr>
          <w:p w14:paraId="5DDB8EBE" w14:textId="77777777" w:rsidR="00F459F5" w:rsidRDefault="00F459F5" w:rsidP="008B4284">
            <w:pPr>
              <w:keepNext/>
            </w:pPr>
            <w:r>
              <w:rPr>
                <w:noProof/>
              </w:rPr>
              <w:drawing>
                <wp:inline distT="0" distB="0" distL="0" distR="0" wp14:anchorId="1B47EDEB" wp14:editId="317F032C">
                  <wp:extent cx="2842546" cy="2149523"/>
                  <wp:effectExtent l="0" t="0" r="0" b="3175"/>
                  <wp:docPr id="51127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2131" name="Picture 511272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4431" cy="2181196"/>
                          </a:xfrm>
                          <a:prstGeom prst="rect">
                            <a:avLst/>
                          </a:prstGeom>
                        </pic:spPr>
                      </pic:pic>
                    </a:graphicData>
                  </a:graphic>
                </wp:inline>
              </w:drawing>
            </w:r>
          </w:p>
          <w:p w14:paraId="4B000470" w14:textId="79D7ACA9" w:rsidR="00F459F5" w:rsidRDefault="00F459F5" w:rsidP="008B4284">
            <w:pPr>
              <w:pStyle w:val="Caption"/>
              <w:rPr>
                <w:rFonts w:ascii="Times New Roman" w:hAnsi="Times New Roman" w:cs="Times New Roman"/>
                <w:bCs/>
              </w:rPr>
            </w:pPr>
            <w:r w:rsidRPr="00380C0E">
              <w:t xml:space="preserve">Fig. </w:t>
            </w:r>
            <w:r w:rsidR="00143964">
              <w:t>4</w:t>
            </w:r>
            <w:r w:rsidRPr="00380C0E">
              <w:t xml:space="preserve">a. Two-dimensional sensitivity surface: mean commitment depth at 10 GW fleet scale under inference-dominant </w:t>
            </w:r>
            <w:r w:rsidR="0060691A">
              <w:t>scenario</w:t>
            </w:r>
            <w:r w:rsidRPr="00380C0E">
              <w:t>, swept across the plausible ranges of DEST</w:t>
            </w:r>
            <w:r w:rsidRPr="005D1770">
              <w:rPr>
                <w:vertAlign w:val="subscript"/>
              </w:rPr>
              <w:t>absorb</w:t>
            </w:r>
            <w:r w:rsidRPr="00380C0E">
              <w:t xml:space="preserve"> (Uniform[0.15, 0.55]) and QUEUE</w:t>
            </w:r>
            <w:r w:rsidR="00766339" w:rsidRPr="005D1770">
              <w:rPr>
                <w:vertAlign w:val="subscript"/>
              </w:rPr>
              <w:t>ok</w:t>
            </w:r>
            <w:r w:rsidRPr="00380C0E">
              <w:t xml:space="preserve"> (Uniform[0.65, 0.98]). Other parameters held at central values; DEST</w:t>
            </w:r>
            <w:r w:rsidRPr="005D1770">
              <w:rPr>
                <w:vertAlign w:val="subscript"/>
              </w:rPr>
              <w:t>avail</w:t>
            </w:r>
            <w:r w:rsidRPr="00380C0E">
              <w:t xml:space="preserve"> observed per-hour from the empirical pricing data. Commitment depth ranges from 32.5% (joint-pessimistic corner) to 40.0% (joint-optimistic corner). Crosshairs mark central values (DEST</w:t>
            </w:r>
            <w:r w:rsidRPr="005D1770">
              <w:rPr>
                <w:vertAlign w:val="subscript"/>
              </w:rPr>
              <w:t>absorb</w:t>
            </w:r>
            <w:r w:rsidRPr="00380C0E">
              <w:t xml:space="preserve"> = 0.30, QUEUE</w:t>
            </w:r>
            <w:r w:rsidR="00766339" w:rsidRPr="005D1770">
              <w:rPr>
                <w:vertAlign w:val="subscript"/>
              </w:rPr>
              <w:t>ok</w:t>
            </w:r>
            <w:r w:rsidRPr="00380C0E">
              <w:t xml:space="preserve"> = 0.85).</w:t>
            </w:r>
          </w:p>
        </w:tc>
        <w:tc>
          <w:tcPr>
            <w:tcW w:w="4808" w:type="dxa"/>
          </w:tcPr>
          <w:p w14:paraId="5AB7085D" w14:textId="77777777" w:rsidR="00F459F5" w:rsidRDefault="00F459F5" w:rsidP="008B4284">
            <w:pPr>
              <w:keepNext/>
            </w:pPr>
            <w:r>
              <w:rPr>
                <w:noProof/>
              </w:rPr>
              <w:drawing>
                <wp:inline distT="0" distB="0" distL="0" distR="0" wp14:anchorId="70A98EAA" wp14:editId="33D30E3D">
                  <wp:extent cx="3002507" cy="2093415"/>
                  <wp:effectExtent l="0" t="0" r="7620" b="2540"/>
                  <wp:docPr id="194047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5014" name="Picture 1940475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2248" cy="2107179"/>
                          </a:xfrm>
                          <a:prstGeom prst="rect">
                            <a:avLst/>
                          </a:prstGeom>
                        </pic:spPr>
                      </pic:pic>
                    </a:graphicData>
                  </a:graphic>
                </wp:inline>
              </w:drawing>
            </w:r>
          </w:p>
          <w:p w14:paraId="3AC8C328" w14:textId="3C1576C8" w:rsidR="00F459F5" w:rsidRDefault="00F459F5" w:rsidP="008B4284">
            <w:pPr>
              <w:pStyle w:val="Caption"/>
              <w:rPr>
                <w:rFonts w:ascii="Times New Roman" w:hAnsi="Times New Roman" w:cs="Times New Roman"/>
                <w:bCs/>
              </w:rPr>
            </w:pPr>
            <w:r w:rsidRPr="00380C0E">
              <w:t xml:space="preserve">Fig. </w:t>
            </w:r>
            <w:r w:rsidR="00143964">
              <w:t>4</w:t>
            </w:r>
            <w:r w:rsidRPr="00380C0E">
              <w:t xml:space="preserve">b. Tornado chart of one-at-a-time parameter sensitivity at 10 GW fleet scale under inference-dominant scope. Each bar shows the change in mean commitment depth when the named parameter is swept from its lower to upper bound while all other parameters are held at central values. </w:t>
            </w:r>
            <w:r w:rsidR="008E326D" w:rsidRPr="00380C0E">
              <w:t>MIG</w:t>
            </w:r>
            <w:r w:rsidR="008E326D" w:rsidRPr="005D1770">
              <w:rPr>
                <w:vertAlign w:val="subscript"/>
              </w:rPr>
              <w:t>elig</w:t>
            </w:r>
            <w:r w:rsidR="008E326D" w:rsidRPr="00380C0E">
              <w:t xml:space="preserve"> </w:t>
            </w:r>
            <w:r w:rsidR="008E326D">
              <w:t xml:space="preserve">, </w:t>
            </w:r>
            <w:r w:rsidRPr="00380C0E">
              <w:t>DEST</w:t>
            </w:r>
            <w:r w:rsidRPr="005D1770">
              <w:rPr>
                <w:vertAlign w:val="subscript"/>
              </w:rPr>
              <w:t>absorb</w:t>
            </w:r>
            <w:r w:rsidRPr="00380C0E">
              <w:t>,</w:t>
            </w:r>
            <w:r w:rsidR="008E326D">
              <w:t xml:space="preserve"> and</w:t>
            </w:r>
            <w:r w:rsidRPr="00380C0E">
              <w:t xml:space="preserve"> QUEUE</w:t>
            </w:r>
            <w:r w:rsidR="00766339" w:rsidRPr="005D1770">
              <w:rPr>
                <w:vertAlign w:val="subscript"/>
              </w:rPr>
              <w:t>ok</w:t>
            </w:r>
            <w:r w:rsidRPr="00380C0E">
              <w:t>, together account for the dominant share of fleet-scale sensitivity; parameters with tight empirical anchoring (DRAIN_ok, DEST</w:t>
            </w:r>
            <w:r w:rsidRPr="005D1770">
              <w:rPr>
                <w:vertAlign w:val="subscript"/>
              </w:rPr>
              <w:t>avail</w:t>
            </w:r>
            <w:r w:rsidRPr="00380C0E">
              <w:t>, NET</w:t>
            </w:r>
            <w:r w:rsidR="00766339" w:rsidRPr="005D1770">
              <w:rPr>
                <w:vertAlign w:val="subscript"/>
              </w:rPr>
              <w:t>ok</w:t>
            </w:r>
            <w:r w:rsidRPr="00380C0E">
              <w:t>, DVFS</w:t>
            </w:r>
            <w:r w:rsidRPr="005D1770">
              <w:rPr>
                <w:vertAlign w:val="subscript"/>
              </w:rPr>
              <w:t>reliability</w:t>
            </w:r>
            <w:r w:rsidRPr="00380C0E">
              <w:t>) show near-zero sensitivity. φ</w:t>
            </w:r>
            <w:r w:rsidRPr="005D1770">
              <w:rPr>
                <w:vertAlign w:val="subscript"/>
              </w:rPr>
              <w:t>inf</w:t>
            </w:r>
            <w:r w:rsidRPr="00380C0E">
              <w:t xml:space="preserve"> is excluded because the two-scope reporting throughout the paper surfaces this sensitivity directly.</w:t>
            </w:r>
          </w:p>
        </w:tc>
      </w:tr>
    </w:tbl>
    <w:p w14:paraId="79A882A0" w14:textId="06AE8F5B" w:rsidR="00874687" w:rsidRPr="00CC04C7" w:rsidRDefault="00874687" w:rsidP="00874687">
      <w:pPr>
        <w:rPr>
          <w:rFonts w:ascii="Times New Roman" w:hAnsi="Times New Roman" w:cs="Times New Roman"/>
          <w:bCs/>
        </w:rPr>
      </w:pPr>
      <w:r w:rsidRPr="00CC04C7">
        <w:rPr>
          <w:rFonts w:ascii="Times New Roman" w:hAnsi="Times New Roman" w:cs="Times New Roman"/>
          <w:bCs/>
        </w:rPr>
        <w:t>The scale dependence implies that accreditation should distinguish between facility</w:t>
      </w:r>
      <w:r w:rsidR="004A3F0A">
        <w:rPr>
          <w:rFonts w:ascii="Times New Roman" w:hAnsi="Times New Roman" w:cs="Times New Roman"/>
          <w:bCs/>
        </w:rPr>
        <w:t>-level</w:t>
      </w:r>
      <w:r w:rsidRPr="00CC04C7">
        <w:rPr>
          <w:rFonts w:ascii="Times New Roman" w:hAnsi="Times New Roman" w:cs="Times New Roman"/>
          <w:bCs/>
        </w:rPr>
        <w:t xml:space="preserve"> and fleet-level contributions a</w:t>
      </w:r>
      <w:r w:rsidR="00447E95">
        <w:rPr>
          <w:rFonts w:ascii="Times New Roman" w:hAnsi="Times New Roman" w:cs="Times New Roman"/>
          <w:bCs/>
        </w:rPr>
        <w:t>s well as</w:t>
      </w:r>
      <w:r w:rsidRPr="00CC04C7">
        <w:rPr>
          <w:rFonts w:ascii="Times New Roman" w:hAnsi="Times New Roman" w:cs="Times New Roman"/>
          <w:bCs/>
        </w:rPr>
        <w:t xml:space="preserve"> </w:t>
      </w:r>
      <w:r w:rsidR="004A3F0A">
        <w:rPr>
          <w:rFonts w:ascii="Times New Roman" w:hAnsi="Times New Roman" w:cs="Times New Roman"/>
          <w:bCs/>
        </w:rPr>
        <w:t>across</w:t>
      </w:r>
      <w:r w:rsidRPr="00CC04C7">
        <w:rPr>
          <w:rFonts w:ascii="Times New Roman" w:hAnsi="Times New Roman" w:cs="Times New Roman"/>
          <w:bCs/>
        </w:rPr>
        <w:t xml:space="preserve"> mechanisms. </w:t>
      </w:r>
      <w:r w:rsidR="004A3F0A" w:rsidRPr="00CC04C7">
        <w:rPr>
          <w:rFonts w:ascii="Times New Roman" w:hAnsi="Times New Roman" w:cs="Times New Roman"/>
          <w:bCs/>
        </w:rPr>
        <w:t>Aggregat</w:t>
      </w:r>
      <w:r w:rsidR="004A3F0A">
        <w:rPr>
          <w:rFonts w:ascii="Times New Roman" w:hAnsi="Times New Roman" w:cs="Times New Roman"/>
          <w:bCs/>
        </w:rPr>
        <w:t>ing</w:t>
      </w:r>
      <w:r w:rsidRPr="00CC04C7">
        <w:rPr>
          <w:rFonts w:ascii="Times New Roman" w:hAnsi="Times New Roman" w:cs="Times New Roman"/>
          <w:bCs/>
        </w:rPr>
        <w:t xml:space="preserve"> spatial-migration commitments across operators could allocate destination headroom more efficiently than uncoordinated </w:t>
      </w:r>
      <w:r>
        <w:rPr>
          <w:rFonts w:ascii="Times New Roman" w:hAnsi="Times New Roman" w:cs="Times New Roman"/>
          <w:bCs/>
        </w:rPr>
        <w:t>allocation</w:t>
      </w:r>
      <w:r w:rsidR="004A3F0A">
        <w:rPr>
          <w:rFonts w:ascii="Times New Roman" w:hAnsi="Times New Roman" w:cs="Times New Roman"/>
          <w:bCs/>
        </w:rPr>
        <w:t>.</w:t>
      </w:r>
      <w:r w:rsidRPr="00CC04C7">
        <w:rPr>
          <w:rFonts w:ascii="Times New Roman" w:hAnsi="Times New Roman" w:cs="Times New Roman"/>
          <w:bCs/>
        </w:rPr>
        <w:t xml:space="preserve"> </w:t>
      </w:r>
      <w:r w:rsidR="004A3F0A">
        <w:rPr>
          <w:rFonts w:ascii="Times New Roman" w:hAnsi="Times New Roman" w:cs="Times New Roman"/>
          <w:bCs/>
        </w:rPr>
        <w:t>A</w:t>
      </w:r>
      <w:r w:rsidR="004A3F0A" w:rsidRPr="00CC04C7">
        <w:rPr>
          <w:rFonts w:ascii="Times New Roman" w:hAnsi="Times New Roman" w:cs="Times New Roman"/>
          <w:bCs/>
        </w:rPr>
        <w:t>ggregat</w:t>
      </w:r>
      <w:r w:rsidR="004A3F0A">
        <w:rPr>
          <w:rFonts w:ascii="Times New Roman" w:hAnsi="Times New Roman" w:cs="Times New Roman"/>
          <w:bCs/>
        </w:rPr>
        <w:t>ing</w:t>
      </w:r>
      <w:r w:rsidR="004A3F0A" w:rsidRPr="00CC04C7">
        <w:rPr>
          <w:rFonts w:ascii="Times New Roman" w:hAnsi="Times New Roman" w:cs="Times New Roman"/>
          <w:bCs/>
        </w:rPr>
        <w:t xml:space="preserve"> </w:t>
      </w:r>
      <w:r w:rsidRPr="00CC04C7">
        <w:rPr>
          <w:rFonts w:ascii="Times New Roman" w:hAnsi="Times New Roman" w:cs="Times New Roman"/>
          <w:bCs/>
        </w:rPr>
        <w:t>deferral commitments could prevent queue saturation through coordinated recovery</w:t>
      </w:r>
      <w:r w:rsidR="004A3F0A">
        <w:rPr>
          <w:rFonts w:ascii="Times New Roman" w:hAnsi="Times New Roman" w:cs="Times New Roman"/>
          <w:bCs/>
        </w:rPr>
        <w:t xml:space="preserve"> windows</w:t>
      </w:r>
      <w:r w:rsidRPr="00CC04C7">
        <w:rPr>
          <w:rFonts w:ascii="Times New Roman" w:hAnsi="Times New Roman" w:cs="Times New Roman"/>
          <w:bCs/>
        </w:rPr>
        <w:t xml:space="preserve">. DVFS commitments require no coordination and can be accredited at the facility level. The three mechanisms differ structurally in saturation: DVFS contributes additively across all fleet sizes, deferral remains nearly constant, and only spatial migration shows scale-dependent decline. </w:t>
      </w:r>
      <w:r>
        <w:rPr>
          <w:rFonts w:ascii="Times New Roman" w:hAnsi="Times New Roman" w:cs="Times New Roman"/>
          <w:bCs/>
        </w:rPr>
        <w:t>O</w:t>
      </w:r>
      <w:r w:rsidRPr="009B57B0">
        <w:rPr>
          <w:rFonts w:ascii="Times New Roman" w:hAnsi="Times New Roman" w:cs="Times New Roman"/>
          <w:bCs/>
        </w:rPr>
        <w:t>perators can credibly bid based on the mean at single-facility scale</w:t>
      </w:r>
      <w:r w:rsidR="004A3F0A">
        <w:rPr>
          <w:rFonts w:ascii="Times New Roman" w:hAnsi="Times New Roman" w:cs="Times New Roman"/>
          <w:bCs/>
        </w:rPr>
        <w:t>, but</w:t>
      </w:r>
      <w:r w:rsidRPr="009B57B0">
        <w:rPr>
          <w:rFonts w:ascii="Times New Roman" w:hAnsi="Times New Roman" w:cs="Times New Roman"/>
          <w:bCs/>
        </w:rPr>
        <w:t xml:space="preserve"> at fleet scale the mean-vs-tail gap requires explicit accreditation choices.</w:t>
      </w:r>
    </w:p>
    <w:p w14:paraId="50A8262A" w14:textId="22C0F125" w:rsidR="00874687" w:rsidRPr="00CC04C7" w:rsidRDefault="00874687" w:rsidP="00874687">
      <w:pPr>
        <w:rPr>
          <w:rFonts w:ascii="Times New Roman" w:hAnsi="Times New Roman" w:cs="Times New Roman"/>
          <w:bCs/>
        </w:rPr>
      </w:pPr>
      <w:r w:rsidRPr="00CC04C7">
        <w:rPr>
          <w:rFonts w:ascii="Times New Roman" w:hAnsi="Times New Roman" w:cs="Times New Roman"/>
          <w:bCs/>
        </w:rPr>
        <w:t>Production precedent for AI</w:t>
      </w:r>
      <w:r w:rsidR="004A3F0A">
        <w:rPr>
          <w:rFonts w:ascii="Times New Roman" w:hAnsi="Times New Roman" w:cs="Times New Roman"/>
          <w:bCs/>
        </w:rPr>
        <w:t xml:space="preserve"> </w:t>
      </w:r>
      <w:r w:rsidRPr="00CC04C7">
        <w:rPr>
          <w:rFonts w:ascii="Times New Roman" w:hAnsi="Times New Roman" w:cs="Times New Roman"/>
          <w:bCs/>
        </w:rPr>
        <w:t xml:space="preserve">inference demand response </w:t>
      </w:r>
      <w:r w:rsidR="004A3F0A">
        <w:rPr>
          <w:rFonts w:ascii="Times New Roman" w:hAnsi="Times New Roman" w:cs="Times New Roman"/>
          <w:bCs/>
        </w:rPr>
        <w:t>already exists</w:t>
      </w:r>
      <w:r w:rsidRPr="00CC04C7">
        <w:rPr>
          <w:rFonts w:ascii="Times New Roman" w:hAnsi="Times New Roman" w:cs="Times New Roman"/>
          <w:bCs/>
        </w:rPr>
        <w:t>. Google</w:t>
      </w:r>
      <w:r w:rsidR="004A3F0A">
        <w:rPr>
          <w:rFonts w:ascii="Times New Roman" w:hAnsi="Times New Roman" w:cs="Times New Roman"/>
          <w:bCs/>
        </w:rPr>
        <w:t>’</w:t>
      </w:r>
      <w:r w:rsidRPr="00CC04C7">
        <w:rPr>
          <w:rFonts w:ascii="Times New Roman" w:hAnsi="Times New Roman" w:cs="Times New Roman"/>
          <w:bCs/>
        </w:rPr>
        <w:t xml:space="preserve">s 2025 agreements with the Tennessee Valley Authority and Indiana Michigan Power </w:t>
      </w:r>
      <w:r w:rsidR="004A3F0A">
        <w:rPr>
          <w:rFonts w:ascii="Times New Roman" w:hAnsi="Times New Roman" w:cs="Times New Roman"/>
          <w:bCs/>
        </w:rPr>
        <w:t>specifically</w:t>
      </w:r>
      <w:r w:rsidR="004A3F0A" w:rsidRPr="009B57B0">
        <w:rPr>
          <w:rFonts w:ascii="Times New Roman" w:hAnsi="Times New Roman" w:cs="Times New Roman"/>
          <w:bCs/>
        </w:rPr>
        <w:t xml:space="preserve"> </w:t>
      </w:r>
      <w:r w:rsidRPr="009B57B0">
        <w:rPr>
          <w:rFonts w:ascii="Times New Roman" w:hAnsi="Times New Roman" w:cs="Times New Roman"/>
          <w:bCs/>
        </w:rPr>
        <w:t>target machine-learning workloads</w:t>
      </w:r>
      <w:r w:rsidRPr="00CC04C7">
        <w:rPr>
          <w:rFonts w:ascii="Times New Roman" w:hAnsi="Times New Roman" w:cs="Times New Roman"/>
          <w:bCs/>
        </w:rPr>
        <w:t xml:space="preserve">, </w:t>
      </w:r>
      <w:r w:rsidR="004A3F0A">
        <w:rPr>
          <w:rFonts w:ascii="Times New Roman" w:hAnsi="Times New Roman" w:cs="Times New Roman"/>
          <w:bCs/>
        </w:rPr>
        <w:t>backed by</w:t>
      </w:r>
      <w:r w:rsidR="004A3F0A" w:rsidRPr="00CC04C7">
        <w:rPr>
          <w:rFonts w:ascii="Times New Roman" w:hAnsi="Times New Roman" w:cs="Times New Roman"/>
          <w:bCs/>
        </w:rPr>
        <w:t xml:space="preserve"> </w:t>
      </w:r>
      <w:r w:rsidRPr="00CC04C7">
        <w:rPr>
          <w:rFonts w:ascii="Times New Roman" w:hAnsi="Times New Roman" w:cs="Times New Roman"/>
          <w:bCs/>
        </w:rPr>
        <w:t>demonstration with Omaha Public Power District during grid stress events</w:t>
      </w:r>
      <w:r w:rsidR="00E34A7A">
        <w:rPr>
          <w:rFonts w:ascii="Times New Roman" w:hAnsi="Times New Roman" w:cs="Times New Roman"/>
          <w:bCs/>
        </w:rPr>
        <w:t>[1</w:t>
      </w:r>
      <w:r w:rsidR="00766339">
        <w:rPr>
          <w:rFonts w:ascii="Times New Roman" w:hAnsi="Times New Roman" w:cs="Times New Roman"/>
          <w:bCs/>
        </w:rPr>
        <w:t>6</w:t>
      </w:r>
      <w:r w:rsidR="00E34A7A">
        <w:rPr>
          <w:rFonts w:ascii="Times New Roman" w:hAnsi="Times New Roman" w:cs="Times New Roman"/>
          <w:bCs/>
        </w:rPr>
        <w:t>]</w:t>
      </w:r>
      <w:r w:rsidR="00114017">
        <w:rPr>
          <w:rFonts w:ascii="Times New Roman" w:hAnsi="Times New Roman" w:cs="Times New Roman"/>
          <w:bCs/>
        </w:rPr>
        <w:t>.</w:t>
      </w:r>
      <w:r w:rsidR="00E34A7A" w:rsidRPr="00CC04C7">
        <w:rPr>
          <w:rFonts w:ascii="Times New Roman" w:hAnsi="Times New Roman" w:cs="Times New Roman"/>
          <w:bCs/>
        </w:rPr>
        <w:t xml:space="preserve"> </w:t>
      </w:r>
      <w:r w:rsidR="004A3F0A">
        <w:rPr>
          <w:rFonts w:ascii="Times New Roman" w:hAnsi="Times New Roman" w:cs="Times New Roman"/>
          <w:bCs/>
        </w:rPr>
        <w:t>Google recognizes</w:t>
      </w:r>
      <w:r w:rsidRPr="00CC04C7">
        <w:rPr>
          <w:rFonts w:ascii="Times New Roman" w:hAnsi="Times New Roman" w:cs="Times New Roman"/>
          <w:bCs/>
        </w:rPr>
        <w:t xml:space="preserve"> both the potential and the </w:t>
      </w:r>
      <w:r w:rsidR="004A3F0A">
        <w:rPr>
          <w:rFonts w:ascii="Times New Roman" w:hAnsi="Times New Roman" w:cs="Times New Roman"/>
          <w:bCs/>
        </w:rPr>
        <w:t>limits</w:t>
      </w:r>
      <w:r w:rsidRPr="00CC04C7">
        <w:rPr>
          <w:rFonts w:ascii="Times New Roman" w:hAnsi="Times New Roman" w:cs="Times New Roman"/>
          <w:bCs/>
        </w:rPr>
        <w:t xml:space="preserve">: </w:t>
      </w:r>
      <w:r w:rsidRPr="009B57B0">
        <w:rPr>
          <w:rFonts w:ascii="Times New Roman" w:hAnsi="Times New Roman" w:cs="Times New Roman"/>
          <w:bCs/>
        </w:rPr>
        <w:t xml:space="preserve">high reliability requirements </w:t>
      </w:r>
      <w:r w:rsidR="004A3F0A">
        <w:rPr>
          <w:rFonts w:ascii="Times New Roman" w:hAnsi="Times New Roman" w:cs="Times New Roman"/>
          <w:bCs/>
        </w:rPr>
        <w:t>constrain commitment depth.</w:t>
      </w:r>
      <w:r w:rsidRPr="00CC04C7">
        <w:rPr>
          <w:rFonts w:ascii="Times New Roman" w:hAnsi="Times New Roman" w:cs="Times New Roman"/>
          <w:bCs/>
        </w:rPr>
        <w:t xml:space="preserve"> IEA</w:t>
      </w:r>
      <w:r w:rsidR="004A3F0A">
        <w:rPr>
          <w:rFonts w:ascii="Times New Roman" w:hAnsi="Times New Roman" w:cs="Times New Roman"/>
          <w:bCs/>
        </w:rPr>
        <w:t>’</w:t>
      </w:r>
      <w:r w:rsidRPr="00CC04C7">
        <w:rPr>
          <w:rFonts w:ascii="Times New Roman" w:hAnsi="Times New Roman" w:cs="Times New Roman"/>
          <w:bCs/>
        </w:rPr>
        <w:t xml:space="preserve">s 2025 estimate of </w:t>
      </w:r>
      <w:r w:rsidR="00212395">
        <w:rPr>
          <w:rFonts w:ascii="Times New Roman" w:hAnsi="Times New Roman" w:cs="Times New Roman"/>
          <w:bCs/>
        </w:rPr>
        <w:t>$</w:t>
      </w:r>
      <w:r w:rsidRPr="00CC04C7">
        <w:rPr>
          <w:rFonts w:ascii="Times New Roman" w:hAnsi="Times New Roman" w:cs="Times New Roman"/>
          <w:bCs/>
        </w:rPr>
        <w:t>700 per MWh shifted</w:t>
      </w:r>
      <w:r w:rsidR="00212395">
        <w:rPr>
          <w:rFonts w:ascii="Times New Roman" w:hAnsi="Times New Roman" w:cs="Times New Roman"/>
          <w:bCs/>
        </w:rPr>
        <w:t xml:space="preserve"> highlights that</w:t>
      </w:r>
      <w:r w:rsidRPr="00CC04C7">
        <w:rPr>
          <w:rFonts w:ascii="Times New Roman" w:hAnsi="Times New Roman" w:cs="Times New Roman"/>
          <w:bCs/>
        </w:rPr>
        <w:t xml:space="preserve"> </w:t>
      </w:r>
      <w:r w:rsidR="00212395">
        <w:rPr>
          <w:rFonts w:ascii="Times New Roman" w:hAnsi="Times New Roman" w:cs="Times New Roman"/>
          <w:bCs/>
        </w:rPr>
        <w:t>combined</w:t>
      </w:r>
      <w:r w:rsidR="00212395" w:rsidRPr="00CC04C7">
        <w:rPr>
          <w:rFonts w:ascii="Times New Roman" w:hAnsi="Times New Roman" w:cs="Times New Roman"/>
          <w:bCs/>
        </w:rPr>
        <w:t xml:space="preserve"> </w:t>
      </w:r>
      <w:r w:rsidRPr="00CC04C7">
        <w:rPr>
          <w:rFonts w:ascii="Times New Roman" w:hAnsi="Times New Roman" w:cs="Times New Roman"/>
          <w:bCs/>
        </w:rPr>
        <w:t xml:space="preserve">flexibility has capacity-adequacy value </w:t>
      </w:r>
      <w:r w:rsidR="00212395">
        <w:rPr>
          <w:rFonts w:ascii="Times New Roman" w:hAnsi="Times New Roman" w:cs="Times New Roman"/>
          <w:bCs/>
        </w:rPr>
        <w:t>during scarcity</w:t>
      </w:r>
      <w:r w:rsidRPr="00CC04C7">
        <w:rPr>
          <w:rFonts w:ascii="Times New Roman" w:hAnsi="Times New Roman" w:cs="Times New Roman"/>
          <w:bCs/>
        </w:rPr>
        <w:t xml:space="preserve">, not energy-market value </w:t>
      </w:r>
      <w:r w:rsidR="00212395">
        <w:rPr>
          <w:rFonts w:ascii="Times New Roman" w:hAnsi="Times New Roman" w:cs="Times New Roman"/>
          <w:bCs/>
        </w:rPr>
        <w:t>during low prices;</w:t>
      </w:r>
      <w:r w:rsidRPr="00CC04C7">
        <w:rPr>
          <w:rFonts w:ascii="Times New Roman" w:hAnsi="Times New Roman" w:cs="Times New Roman"/>
          <w:bCs/>
        </w:rPr>
        <w:t xml:space="preserve"> policy should target </w:t>
      </w:r>
      <w:r w:rsidR="00212395">
        <w:rPr>
          <w:rFonts w:ascii="Times New Roman" w:hAnsi="Times New Roman" w:cs="Times New Roman"/>
          <w:bCs/>
        </w:rPr>
        <w:t>capacity value</w:t>
      </w:r>
      <w:r w:rsidRPr="00CC04C7">
        <w:rPr>
          <w:rFonts w:ascii="Times New Roman" w:hAnsi="Times New Roman" w:cs="Times New Roman"/>
          <w:bCs/>
        </w:rPr>
        <w:t>.</w:t>
      </w:r>
    </w:p>
    <w:p w14:paraId="1A1963C9" w14:textId="5E190922" w:rsidR="00212395" w:rsidRDefault="00874687" w:rsidP="00874687">
      <w:pPr>
        <w:rPr>
          <w:rFonts w:ascii="Times New Roman" w:hAnsi="Times New Roman" w:cs="Times New Roman"/>
          <w:bCs/>
        </w:rPr>
      </w:pPr>
      <w:r w:rsidRPr="00CC04C7">
        <w:rPr>
          <w:rFonts w:ascii="Times New Roman" w:hAnsi="Times New Roman" w:cs="Times New Roman"/>
          <w:bCs/>
        </w:rPr>
        <w:lastRenderedPageBreak/>
        <w:t xml:space="preserve">The proposed </w:t>
      </w:r>
      <w:r w:rsidR="00212395">
        <w:rPr>
          <w:rFonts w:ascii="Times New Roman" w:hAnsi="Times New Roman" w:cs="Times New Roman"/>
          <w:bCs/>
        </w:rPr>
        <w:t>framework</w:t>
      </w:r>
      <w:r w:rsidRPr="00CC04C7">
        <w:rPr>
          <w:rFonts w:ascii="Times New Roman" w:hAnsi="Times New Roman" w:cs="Times New Roman"/>
          <w:bCs/>
        </w:rPr>
        <w:t xml:space="preserve"> reallocates reliability risk. Under current practice, the grid operator </w:t>
      </w:r>
      <w:r w:rsidR="00212395">
        <w:rPr>
          <w:rFonts w:ascii="Times New Roman" w:hAnsi="Times New Roman" w:cs="Times New Roman"/>
          <w:bCs/>
        </w:rPr>
        <w:t xml:space="preserve">must </w:t>
      </w:r>
      <w:r w:rsidRPr="00CC04C7">
        <w:rPr>
          <w:rFonts w:ascii="Times New Roman" w:hAnsi="Times New Roman" w:cs="Times New Roman"/>
          <w:bCs/>
        </w:rPr>
        <w:t xml:space="preserve">procure capacity at </w:t>
      </w:r>
      <w:r w:rsidR="00212395">
        <w:rPr>
          <w:rFonts w:ascii="Times New Roman" w:hAnsi="Times New Roman" w:cs="Times New Roman"/>
          <w:bCs/>
        </w:rPr>
        <w:t>full facility</w:t>
      </w:r>
      <w:r w:rsidR="00212395" w:rsidRPr="00CC04C7">
        <w:rPr>
          <w:rFonts w:ascii="Times New Roman" w:hAnsi="Times New Roman" w:cs="Times New Roman"/>
          <w:bCs/>
        </w:rPr>
        <w:t xml:space="preserve"> </w:t>
      </w:r>
      <w:r w:rsidRPr="00CC04C7">
        <w:rPr>
          <w:rFonts w:ascii="Times New Roman" w:hAnsi="Times New Roman" w:cs="Times New Roman"/>
          <w:bCs/>
        </w:rPr>
        <w:t xml:space="preserve">rating, with procurement costs </w:t>
      </w:r>
      <w:r w:rsidR="00212395">
        <w:rPr>
          <w:rFonts w:ascii="Times New Roman" w:hAnsi="Times New Roman" w:cs="Times New Roman"/>
          <w:bCs/>
        </w:rPr>
        <w:t>passed through</w:t>
      </w:r>
      <w:r w:rsidRPr="00CC04C7">
        <w:rPr>
          <w:rFonts w:ascii="Times New Roman" w:hAnsi="Times New Roman" w:cs="Times New Roman"/>
          <w:bCs/>
        </w:rPr>
        <w:t xml:space="preserve"> to ratepayers. Under th</w:t>
      </w:r>
      <w:r w:rsidR="00212395">
        <w:rPr>
          <w:rFonts w:ascii="Times New Roman" w:hAnsi="Times New Roman" w:cs="Times New Roman"/>
          <w:bCs/>
        </w:rPr>
        <w:t>e proposed</w:t>
      </w:r>
      <w:r w:rsidRPr="00CC04C7">
        <w:rPr>
          <w:rFonts w:ascii="Times New Roman" w:hAnsi="Times New Roman" w:cs="Times New Roman"/>
          <w:bCs/>
        </w:rPr>
        <w:t xml:space="preserve"> framework, data center operator</w:t>
      </w:r>
      <w:r w:rsidR="00212395">
        <w:rPr>
          <w:rFonts w:ascii="Times New Roman" w:hAnsi="Times New Roman" w:cs="Times New Roman"/>
          <w:bCs/>
        </w:rPr>
        <w:t>s</w:t>
      </w:r>
      <w:r w:rsidRPr="00CC04C7">
        <w:rPr>
          <w:rFonts w:ascii="Times New Roman" w:hAnsi="Times New Roman" w:cs="Times New Roman"/>
          <w:bCs/>
        </w:rPr>
        <w:t xml:space="preserve"> </w:t>
      </w:r>
      <w:r w:rsidR="00212395">
        <w:rPr>
          <w:rFonts w:ascii="Times New Roman" w:hAnsi="Times New Roman" w:cs="Times New Roman"/>
          <w:bCs/>
        </w:rPr>
        <w:t>manage part of their</w:t>
      </w:r>
      <w:r w:rsidRPr="00CC04C7">
        <w:rPr>
          <w:rFonts w:ascii="Times New Roman" w:hAnsi="Times New Roman" w:cs="Times New Roman"/>
          <w:bCs/>
        </w:rPr>
        <w:t xml:space="preserve"> own power </w:t>
      </w:r>
      <w:r w:rsidR="00212395">
        <w:rPr>
          <w:rFonts w:ascii="Times New Roman" w:hAnsi="Times New Roman" w:cs="Times New Roman"/>
          <w:bCs/>
        </w:rPr>
        <w:t>via</w:t>
      </w:r>
      <w:r w:rsidRPr="00CC04C7">
        <w:rPr>
          <w:rFonts w:ascii="Times New Roman" w:hAnsi="Times New Roman" w:cs="Times New Roman"/>
          <w:bCs/>
        </w:rPr>
        <w:t xml:space="preserve"> three mechanisms. </w:t>
      </w:r>
    </w:p>
    <w:p w14:paraId="2A80FA20" w14:textId="18D2DA4C" w:rsidR="00212395" w:rsidRDefault="00212395" w:rsidP="00874687">
      <w:pPr>
        <w:rPr>
          <w:rFonts w:ascii="Times New Roman" w:hAnsi="Times New Roman" w:cs="Times New Roman"/>
          <w:bCs/>
        </w:rPr>
      </w:pPr>
      <w:r>
        <w:rPr>
          <w:rFonts w:ascii="Times New Roman" w:hAnsi="Times New Roman" w:cs="Times New Roman"/>
          <w:bCs/>
        </w:rPr>
        <w:t>Cross-region</w:t>
      </w:r>
      <w:r w:rsidR="00874687" w:rsidRPr="009B57B0">
        <w:rPr>
          <w:rFonts w:ascii="Times New Roman" w:hAnsi="Times New Roman" w:cs="Times New Roman"/>
          <w:bCs/>
        </w:rPr>
        <w:t xml:space="preserve"> decorrelation is a physical property of North America</w:t>
      </w:r>
      <w:r>
        <w:rPr>
          <w:rFonts w:ascii="Times New Roman" w:hAnsi="Times New Roman" w:cs="Times New Roman"/>
          <w:bCs/>
        </w:rPr>
        <w:t>’s</w:t>
      </w:r>
      <w:r w:rsidR="00874687" w:rsidRPr="009B57B0">
        <w:rPr>
          <w:rFonts w:ascii="Times New Roman" w:hAnsi="Times New Roman" w:cs="Times New Roman"/>
          <w:bCs/>
        </w:rPr>
        <w:t xml:space="preserve"> </w:t>
      </w:r>
      <w:r>
        <w:rPr>
          <w:rFonts w:ascii="Times New Roman" w:hAnsi="Times New Roman" w:cs="Times New Roman"/>
          <w:bCs/>
        </w:rPr>
        <w:t>electricity grid. Facility-level</w:t>
      </w:r>
      <w:r w:rsidR="00874687" w:rsidRPr="009B57B0">
        <w:rPr>
          <w:rFonts w:ascii="Times New Roman" w:hAnsi="Times New Roman" w:cs="Times New Roman"/>
          <w:bCs/>
        </w:rPr>
        <w:t xml:space="preserve"> power management and multi-region infrastructure are established at major hyperscalers.</w:t>
      </w:r>
      <w:r w:rsidR="00874687" w:rsidRPr="00CC04C7">
        <w:rPr>
          <w:rFonts w:ascii="Times New Roman" w:hAnsi="Times New Roman" w:cs="Times New Roman"/>
          <w:bCs/>
        </w:rPr>
        <w:t xml:space="preserve"> What </w:t>
      </w:r>
      <w:r>
        <w:rPr>
          <w:rFonts w:ascii="Times New Roman" w:hAnsi="Times New Roman" w:cs="Times New Roman"/>
          <w:bCs/>
        </w:rPr>
        <w:t>is needed</w:t>
      </w:r>
      <w:r w:rsidR="00874687" w:rsidRPr="00CC04C7">
        <w:rPr>
          <w:rFonts w:ascii="Times New Roman" w:hAnsi="Times New Roman" w:cs="Times New Roman"/>
          <w:bCs/>
        </w:rPr>
        <w:t xml:space="preserve"> </w:t>
      </w:r>
      <w:r>
        <w:rPr>
          <w:rFonts w:ascii="Times New Roman" w:hAnsi="Times New Roman" w:cs="Times New Roman"/>
          <w:bCs/>
        </w:rPr>
        <w:t xml:space="preserve">is </w:t>
      </w:r>
      <w:r w:rsidR="00874687" w:rsidRPr="00CC04C7">
        <w:rPr>
          <w:rFonts w:ascii="Times New Roman" w:hAnsi="Times New Roman" w:cs="Times New Roman"/>
          <w:bCs/>
        </w:rPr>
        <w:t>institutional mechanism design</w:t>
      </w:r>
      <w:r w:rsidR="005A270C">
        <w:rPr>
          <w:rFonts w:ascii="Times New Roman" w:hAnsi="Times New Roman" w:cs="Times New Roman"/>
          <w:bCs/>
        </w:rPr>
        <w:t xml:space="preserve"> sequenced based on grid position</w:t>
      </w:r>
      <w:r w:rsidR="00874687" w:rsidRPr="00CC04C7">
        <w:rPr>
          <w:rFonts w:ascii="Times New Roman" w:hAnsi="Times New Roman" w:cs="Times New Roman"/>
          <w:bCs/>
        </w:rPr>
        <w:t xml:space="preserve">: </w:t>
      </w:r>
    </w:p>
    <w:p w14:paraId="4024A10D" w14:textId="5CF6C40D" w:rsidR="00212395" w:rsidRDefault="00212395" w:rsidP="00212395">
      <w:pPr>
        <w:pStyle w:val="ListParagraph"/>
        <w:numPr>
          <w:ilvl w:val="0"/>
          <w:numId w:val="4"/>
        </w:numPr>
        <w:rPr>
          <w:rFonts w:ascii="Times New Roman" w:hAnsi="Times New Roman" w:cs="Times New Roman"/>
          <w:bCs/>
        </w:rPr>
      </w:pPr>
      <w:r>
        <w:rPr>
          <w:rFonts w:ascii="Times New Roman" w:hAnsi="Times New Roman" w:cs="Times New Roman"/>
          <w:bCs/>
        </w:rPr>
        <w:t>Flexible</w:t>
      </w:r>
      <w:r w:rsidR="00874687" w:rsidRPr="005D1770">
        <w:rPr>
          <w:rFonts w:ascii="Times New Roman" w:hAnsi="Times New Roman" w:cs="Times New Roman"/>
          <w:bCs/>
        </w:rPr>
        <w:t xml:space="preserve"> interconnection for </w:t>
      </w:r>
      <w:r>
        <w:rPr>
          <w:rFonts w:ascii="Times New Roman" w:hAnsi="Times New Roman" w:cs="Times New Roman"/>
          <w:bCs/>
        </w:rPr>
        <w:t xml:space="preserve">queued </w:t>
      </w:r>
      <w:r w:rsidR="00874687" w:rsidRPr="005D1770">
        <w:rPr>
          <w:rFonts w:ascii="Times New Roman" w:hAnsi="Times New Roman" w:cs="Times New Roman"/>
          <w:bCs/>
        </w:rPr>
        <w:t>facilities</w:t>
      </w:r>
    </w:p>
    <w:p w14:paraId="517439F9" w14:textId="68ECC48B" w:rsidR="00212395" w:rsidRDefault="00212395" w:rsidP="00212395">
      <w:pPr>
        <w:pStyle w:val="ListParagraph"/>
        <w:numPr>
          <w:ilvl w:val="0"/>
          <w:numId w:val="4"/>
        </w:numPr>
        <w:rPr>
          <w:rFonts w:ascii="Times New Roman" w:hAnsi="Times New Roman" w:cs="Times New Roman"/>
          <w:bCs/>
        </w:rPr>
      </w:pPr>
      <w:r>
        <w:rPr>
          <w:rFonts w:ascii="Times New Roman" w:hAnsi="Times New Roman" w:cs="Times New Roman"/>
          <w:bCs/>
        </w:rPr>
        <w:t>A</w:t>
      </w:r>
      <w:r w:rsidRPr="005D1770">
        <w:rPr>
          <w:rFonts w:ascii="Times New Roman" w:hAnsi="Times New Roman" w:cs="Times New Roman"/>
          <w:bCs/>
        </w:rPr>
        <w:t xml:space="preserve">ccredited </w:t>
      </w:r>
      <w:r w:rsidR="00874687" w:rsidRPr="005D1770">
        <w:rPr>
          <w:rFonts w:ascii="Times New Roman" w:hAnsi="Times New Roman" w:cs="Times New Roman"/>
          <w:bCs/>
        </w:rPr>
        <w:t>demand response for operating facilities</w:t>
      </w:r>
    </w:p>
    <w:p w14:paraId="71ADD5A2" w14:textId="77777777" w:rsidR="00212395" w:rsidRDefault="00212395" w:rsidP="00212395">
      <w:pPr>
        <w:pStyle w:val="ListParagraph"/>
        <w:ind w:left="0"/>
        <w:rPr>
          <w:rFonts w:ascii="Times New Roman" w:hAnsi="Times New Roman" w:cs="Times New Roman"/>
          <w:bCs/>
        </w:rPr>
      </w:pPr>
    </w:p>
    <w:p w14:paraId="461DA0A4" w14:textId="3AE19936" w:rsidR="00874687" w:rsidRPr="005D1770" w:rsidRDefault="00874687" w:rsidP="005D1770">
      <w:pPr>
        <w:pStyle w:val="ListParagraph"/>
        <w:ind w:left="0"/>
        <w:rPr>
          <w:rFonts w:ascii="Times New Roman" w:hAnsi="Times New Roman" w:cs="Times New Roman"/>
          <w:bCs/>
        </w:rPr>
      </w:pPr>
      <w:r w:rsidRPr="005D1770">
        <w:rPr>
          <w:rFonts w:ascii="Times New Roman" w:hAnsi="Times New Roman" w:cs="Times New Roman"/>
          <w:bCs/>
        </w:rPr>
        <w:t xml:space="preserve">The U.S. Department of Energy has called for a flexibility taxonomy and framework </w:t>
      </w:r>
      <w:r w:rsidR="005A270C">
        <w:rPr>
          <w:rFonts w:ascii="Times New Roman" w:hAnsi="Times New Roman" w:cs="Times New Roman"/>
          <w:bCs/>
        </w:rPr>
        <w:t>—</w:t>
      </w:r>
      <w:r w:rsidRPr="005D1770">
        <w:rPr>
          <w:rFonts w:ascii="Times New Roman" w:hAnsi="Times New Roman" w:cs="Times New Roman"/>
          <w:bCs/>
        </w:rPr>
        <w:t xml:space="preserve">the framework here addresses that gap. Direct measurement of dominant parameters would </w:t>
      </w:r>
      <w:r w:rsidR="005A270C">
        <w:rPr>
          <w:rFonts w:ascii="Times New Roman" w:hAnsi="Times New Roman" w:cs="Times New Roman"/>
          <w:bCs/>
        </w:rPr>
        <w:t>improve</w:t>
      </w:r>
      <w:r w:rsidR="005A270C" w:rsidRPr="005D1770">
        <w:rPr>
          <w:rFonts w:ascii="Times New Roman" w:hAnsi="Times New Roman" w:cs="Times New Roman"/>
          <w:bCs/>
        </w:rPr>
        <w:t xml:space="preserve"> </w:t>
      </w:r>
      <w:r w:rsidRPr="005D1770">
        <w:rPr>
          <w:rFonts w:ascii="Times New Roman" w:hAnsi="Times New Roman" w:cs="Times New Roman"/>
          <w:bCs/>
        </w:rPr>
        <w:t xml:space="preserve">quantitative </w:t>
      </w:r>
      <w:r w:rsidR="005A270C">
        <w:rPr>
          <w:rFonts w:ascii="Times New Roman" w:hAnsi="Times New Roman" w:cs="Times New Roman"/>
          <w:bCs/>
        </w:rPr>
        <w:t>accuracy</w:t>
      </w:r>
      <w:r w:rsidRPr="005D1770">
        <w:rPr>
          <w:rFonts w:ascii="Times New Roman" w:hAnsi="Times New Roman" w:cs="Times New Roman"/>
          <w:bCs/>
        </w:rPr>
        <w:t xml:space="preserve">, but institutional </w:t>
      </w:r>
      <w:r w:rsidR="005A270C">
        <w:rPr>
          <w:rFonts w:ascii="Times New Roman" w:hAnsi="Times New Roman" w:cs="Times New Roman"/>
          <w:bCs/>
        </w:rPr>
        <w:t>design</w:t>
      </w:r>
      <w:r w:rsidR="005A270C" w:rsidRPr="005D1770">
        <w:rPr>
          <w:rFonts w:ascii="Times New Roman" w:hAnsi="Times New Roman" w:cs="Times New Roman"/>
          <w:bCs/>
        </w:rPr>
        <w:t xml:space="preserve"> </w:t>
      </w:r>
      <w:r w:rsidRPr="005D1770">
        <w:rPr>
          <w:rFonts w:ascii="Times New Roman" w:hAnsi="Times New Roman" w:cs="Times New Roman"/>
          <w:bCs/>
        </w:rPr>
        <w:t xml:space="preserve">is the </w:t>
      </w:r>
      <w:r w:rsidR="005A270C">
        <w:rPr>
          <w:rFonts w:ascii="Times New Roman" w:hAnsi="Times New Roman" w:cs="Times New Roman"/>
          <w:bCs/>
        </w:rPr>
        <w:t>main</w:t>
      </w:r>
      <w:r w:rsidR="005A270C" w:rsidRPr="005D1770">
        <w:rPr>
          <w:rFonts w:ascii="Times New Roman" w:hAnsi="Times New Roman" w:cs="Times New Roman"/>
          <w:bCs/>
        </w:rPr>
        <w:t xml:space="preserve"> </w:t>
      </w:r>
      <w:r w:rsidRPr="005D1770">
        <w:rPr>
          <w:rFonts w:ascii="Times New Roman" w:hAnsi="Times New Roman" w:cs="Times New Roman"/>
          <w:bCs/>
        </w:rPr>
        <w:t>constraint on realized value.</w:t>
      </w:r>
    </w:p>
    <w:p w14:paraId="69C51EB5" w14:textId="7BBF7BD0" w:rsidR="005A270C" w:rsidRDefault="00874687" w:rsidP="00F064BF">
      <w:pPr>
        <w:rPr>
          <w:rFonts w:ascii="Times New Roman" w:hAnsi="Times New Roman" w:cs="Times New Roman"/>
          <w:bCs/>
        </w:rPr>
      </w:pPr>
      <w:r w:rsidRPr="00A87BDC">
        <w:rPr>
          <w:rFonts w:ascii="Times New Roman" w:hAnsi="Times New Roman" w:cs="Times New Roman"/>
          <w:bCs/>
        </w:rPr>
        <w:t>Several limitations qualify these results</w:t>
      </w:r>
      <w:r w:rsidR="005A270C">
        <w:rPr>
          <w:rFonts w:ascii="Times New Roman" w:hAnsi="Times New Roman" w:cs="Times New Roman"/>
          <w:bCs/>
        </w:rPr>
        <w:t>:</w:t>
      </w:r>
    </w:p>
    <w:p w14:paraId="214E7C8E" w14:textId="76933C4A" w:rsidR="005A270C" w:rsidRPr="005D1770" w:rsidRDefault="00874687" w:rsidP="005A270C">
      <w:pPr>
        <w:pStyle w:val="ListParagraph"/>
        <w:numPr>
          <w:ilvl w:val="0"/>
          <w:numId w:val="4"/>
        </w:numPr>
        <w:rPr>
          <w:rFonts w:ascii="Times New Roman" w:hAnsi="Times New Roman" w:cs="Times New Roman"/>
          <w:b/>
          <w:sz w:val="32"/>
          <w:szCs w:val="32"/>
        </w:rPr>
      </w:pPr>
      <w:r w:rsidRPr="005D1770">
        <w:rPr>
          <w:rFonts w:ascii="Times New Roman" w:hAnsi="Times New Roman" w:cs="Times New Roman"/>
          <w:bCs/>
        </w:rPr>
        <w:t>DEST</w:t>
      </w:r>
      <w:r w:rsidRPr="005D1770">
        <w:rPr>
          <w:rFonts w:ascii="Times New Roman" w:hAnsi="Times New Roman" w:cs="Times New Roman"/>
          <w:bCs/>
          <w:vertAlign w:val="subscript"/>
        </w:rPr>
        <w:t>absorb</w:t>
      </w:r>
      <w:r w:rsidR="00A104C3" w:rsidRPr="005D1770">
        <w:rPr>
          <w:rFonts w:ascii="Times New Roman" w:hAnsi="Times New Roman" w:cs="Times New Roman"/>
          <w:bCs/>
        </w:rPr>
        <w:t>,</w:t>
      </w:r>
      <w:r w:rsidRPr="005D1770">
        <w:rPr>
          <w:rFonts w:ascii="Times New Roman" w:hAnsi="Times New Roman" w:cs="Times New Roman"/>
          <w:bCs/>
        </w:rPr>
        <w:t xml:space="preserve"> MIG</w:t>
      </w:r>
      <w:r w:rsidRPr="005D1770">
        <w:rPr>
          <w:rFonts w:ascii="Times New Roman" w:hAnsi="Times New Roman" w:cs="Times New Roman"/>
          <w:bCs/>
          <w:vertAlign w:val="subscript"/>
        </w:rPr>
        <w:t>elig</w:t>
      </w:r>
      <w:r w:rsidRPr="005D1770">
        <w:rPr>
          <w:rFonts w:ascii="Times New Roman" w:hAnsi="Times New Roman" w:cs="Times New Roman"/>
          <w:bCs/>
        </w:rPr>
        <w:t xml:space="preserve"> Component B, and QUEUE</w:t>
      </w:r>
      <w:r w:rsidR="00766339" w:rsidRPr="005D1770">
        <w:rPr>
          <w:rFonts w:ascii="Times New Roman" w:hAnsi="Times New Roman" w:cs="Times New Roman"/>
          <w:bCs/>
          <w:vertAlign w:val="subscript"/>
        </w:rPr>
        <w:t>ok</w:t>
      </w:r>
      <w:r w:rsidRPr="005D1770">
        <w:rPr>
          <w:rFonts w:ascii="Times New Roman" w:hAnsi="Times New Roman" w:cs="Times New Roman"/>
          <w:bCs/>
        </w:rPr>
        <w:t xml:space="preserve"> dominate model uncertainty </w:t>
      </w:r>
      <w:r w:rsidR="005A270C">
        <w:rPr>
          <w:rFonts w:ascii="Times New Roman" w:hAnsi="Times New Roman" w:cs="Times New Roman"/>
          <w:bCs/>
        </w:rPr>
        <w:t>but</w:t>
      </w:r>
      <w:r w:rsidR="005A270C" w:rsidRPr="005D1770">
        <w:rPr>
          <w:rFonts w:ascii="Times New Roman" w:hAnsi="Times New Roman" w:cs="Times New Roman"/>
          <w:bCs/>
        </w:rPr>
        <w:t xml:space="preserve"> </w:t>
      </w:r>
      <w:r w:rsidRPr="005D1770">
        <w:rPr>
          <w:rFonts w:ascii="Times New Roman" w:hAnsi="Times New Roman" w:cs="Times New Roman"/>
          <w:bCs/>
        </w:rPr>
        <w:t xml:space="preserve">are not </w:t>
      </w:r>
      <w:r w:rsidR="005A270C">
        <w:rPr>
          <w:rFonts w:ascii="Times New Roman" w:hAnsi="Times New Roman" w:cs="Times New Roman"/>
          <w:bCs/>
        </w:rPr>
        <w:t>publicly</w:t>
      </w:r>
      <w:r w:rsidR="005A270C" w:rsidRPr="005D1770">
        <w:rPr>
          <w:rFonts w:ascii="Times New Roman" w:hAnsi="Times New Roman" w:cs="Times New Roman"/>
          <w:bCs/>
        </w:rPr>
        <w:t xml:space="preserve"> </w:t>
      </w:r>
      <w:r w:rsidRPr="005D1770">
        <w:rPr>
          <w:rFonts w:ascii="Times New Roman" w:hAnsi="Times New Roman" w:cs="Times New Roman"/>
          <w:bCs/>
        </w:rPr>
        <w:t xml:space="preserve">observable. </w:t>
      </w:r>
    </w:p>
    <w:p w14:paraId="0A9AA7EF" w14:textId="2CDF76AF" w:rsidR="005A270C" w:rsidRPr="005D1770" w:rsidRDefault="00874687" w:rsidP="005A270C">
      <w:pPr>
        <w:pStyle w:val="ListParagraph"/>
        <w:numPr>
          <w:ilvl w:val="0"/>
          <w:numId w:val="4"/>
        </w:numPr>
        <w:rPr>
          <w:rFonts w:ascii="Times New Roman" w:hAnsi="Times New Roman" w:cs="Times New Roman"/>
          <w:b/>
          <w:sz w:val="32"/>
          <w:szCs w:val="32"/>
        </w:rPr>
      </w:pPr>
      <w:r w:rsidRPr="005D1770">
        <w:rPr>
          <w:rFonts w:ascii="Times New Roman" w:hAnsi="Times New Roman" w:cs="Times New Roman"/>
          <w:bCs/>
        </w:rPr>
        <w:t>The</w:t>
      </w:r>
      <w:r w:rsidR="005A270C">
        <w:rPr>
          <w:rFonts w:ascii="Times New Roman" w:hAnsi="Times New Roman" w:cs="Times New Roman"/>
          <w:bCs/>
        </w:rPr>
        <w:t>re is a</w:t>
      </w:r>
      <w:r w:rsidRPr="005D1770">
        <w:rPr>
          <w:rFonts w:ascii="Times New Roman" w:hAnsi="Times New Roman" w:cs="Times New Roman"/>
          <w:bCs/>
        </w:rPr>
        <w:t xml:space="preserve"> literature dispute on destination utilization</w:t>
      </w:r>
      <w:r w:rsidR="005A270C">
        <w:rPr>
          <w:rFonts w:ascii="Times New Roman" w:hAnsi="Times New Roman" w:cs="Times New Roman"/>
          <w:bCs/>
        </w:rPr>
        <w:t xml:space="preserve">: </w:t>
      </w:r>
      <w:r w:rsidRPr="005D1770">
        <w:rPr>
          <w:rFonts w:ascii="Times New Roman" w:hAnsi="Times New Roman" w:cs="Times New Roman"/>
          <w:bCs/>
        </w:rPr>
        <w:t>LBNL</w:t>
      </w:r>
      <w:r w:rsidR="005A270C">
        <w:rPr>
          <w:rFonts w:ascii="Times New Roman" w:hAnsi="Times New Roman" w:cs="Times New Roman"/>
          <w:bCs/>
        </w:rPr>
        <w:t xml:space="preserve"> assumes</w:t>
      </w:r>
      <w:r w:rsidRPr="005D1770">
        <w:rPr>
          <w:rFonts w:ascii="Times New Roman" w:hAnsi="Times New Roman" w:cs="Times New Roman"/>
          <w:bCs/>
        </w:rPr>
        <w:t xml:space="preserve"> 40%</w:t>
      </w:r>
      <w:r w:rsidR="005A270C">
        <w:rPr>
          <w:rFonts w:ascii="Times New Roman" w:hAnsi="Times New Roman" w:cs="Times New Roman"/>
          <w:bCs/>
        </w:rPr>
        <w:t>,</w:t>
      </w:r>
      <w:r w:rsidRPr="005D1770">
        <w:rPr>
          <w:rFonts w:ascii="Times New Roman" w:hAnsi="Times New Roman" w:cs="Times New Roman"/>
          <w:bCs/>
        </w:rPr>
        <w:t xml:space="preserve"> IEA report</w:t>
      </w:r>
      <w:r w:rsidR="005A270C">
        <w:rPr>
          <w:rFonts w:ascii="Times New Roman" w:hAnsi="Times New Roman" w:cs="Times New Roman"/>
          <w:bCs/>
        </w:rPr>
        <w:t>s</w:t>
      </w:r>
      <w:r w:rsidRPr="005D1770">
        <w:rPr>
          <w:rFonts w:ascii="Times New Roman" w:hAnsi="Times New Roman" w:cs="Times New Roman"/>
          <w:bCs/>
        </w:rPr>
        <w:t xml:space="preserve"> </w:t>
      </w:r>
      <w:r w:rsidR="005A270C">
        <w:rPr>
          <w:rFonts w:ascii="Times New Roman" w:hAnsi="Times New Roman" w:cs="Times New Roman"/>
          <w:bCs/>
        </w:rPr>
        <w:t xml:space="preserve">up to </w:t>
      </w:r>
      <w:r w:rsidRPr="005D1770">
        <w:rPr>
          <w:rFonts w:ascii="Times New Roman" w:hAnsi="Times New Roman" w:cs="Times New Roman"/>
          <w:bCs/>
        </w:rPr>
        <w:t xml:space="preserve">90% for accelerated servers. </w:t>
      </w:r>
    </w:p>
    <w:p w14:paraId="50638F0F" w14:textId="294F6E31" w:rsidR="005A270C" w:rsidRPr="005D1770" w:rsidRDefault="00874687" w:rsidP="005A270C">
      <w:pPr>
        <w:pStyle w:val="ListParagraph"/>
        <w:numPr>
          <w:ilvl w:val="0"/>
          <w:numId w:val="4"/>
        </w:numPr>
        <w:rPr>
          <w:rFonts w:ascii="Times New Roman" w:hAnsi="Times New Roman" w:cs="Times New Roman"/>
          <w:b/>
          <w:sz w:val="32"/>
          <w:szCs w:val="32"/>
        </w:rPr>
      </w:pPr>
      <w:r w:rsidRPr="005D1770">
        <w:rPr>
          <w:rFonts w:ascii="Times New Roman" w:hAnsi="Times New Roman" w:cs="Times New Roman"/>
          <w:bCs/>
        </w:rPr>
        <w:t xml:space="preserve">The </w:t>
      </w:r>
      <w:r w:rsidR="00BB2825" w:rsidRPr="005D1770">
        <w:rPr>
          <w:rFonts w:ascii="Times New Roman" w:hAnsi="Times New Roman" w:cs="Times New Roman"/>
          <w:bCs/>
        </w:rPr>
        <w:t xml:space="preserve">model </w:t>
      </w:r>
      <w:r w:rsidRPr="005D1770">
        <w:rPr>
          <w:rFonts w:ascii="Times New Roman" w:hAnsi="Times New Roman" w:cs="Times New Roman"/>
          <w:bCs/>
        </w:rPr>
        <w:t>and</w:t>
      </w:r>
      <w:r w:rsidR="005A270C">
        <w:rPr>
          <w:rFonts w:ascii="Times New Roman" w:hAnsi="Times New Roman" w:cs="Times New Roman"/>
          <w:bCs/>
        </w:rPr>
        <w:t xml:space="preserve"> </w:t>
      </w:r>
      <w:r w:rsidRPr="005D1770">
        <w:rPr>
          <w:rFonts w:ascii="Times New Roman" w:hAnsi="Times New Roman" w:cs="Times New Roman"/>
          <w:bCs/>
        </w:rPr>
        <w:t xml:space="preserve">Monte Carlo </w:t>
      </w:r>
      <w:r w:rsidR="005A270C">
        <w:rPr>
          <w:rFonts w:ascii="Times New Roman" w:hAnsi="Times New Roman" w:cs="Times New Roman"/>
          <w:bCs/>
        </w:rPr>
        <w:t xml:space="preserve">method </w:t>
      </w:r>
      <w:r w:rsidRPr="005D1770">
        <w:rPr>
          <w:rFonts w:ascii="Times New Roman" w:hAnsi="Times New Roman" w:cs="Times New Roman"/>
          <w:bCs/>
        </w:rPr>
        <w:t>do not provide universal estimate</w:t>
      </w:r>
      <w:r w:rsidR="005A270C">
        <w:rPr>
          <w:rFonts w:ascii="Times New Roman" w:hAnsi="Times New Roman" w:cs="Times New Roman"/>
          <w:bCs/>
        </w:rPr>
        <w:t>s but</w:t>
      </w:r>
      <w:r w:rsidRPr="005D1770">
        <w:rPr>
          <w:rFonts w:ascii="Times New Roman" w:hAnsi="Times New Roman" w:cs="Times New Roman"/>
          <w:bCs/>
        </w:rPr>
        <w:t xml:space="preserve"> show that </w:t>
      </w:r>
      <w:r w:rsidR="005A270C">
        <w:rPr>
          <w:rFonts w:ascii="Times New Roman" w:hAnsi="Times New Roman" w:cs="Times New Roman"/>
          <w:bCs/>
        </w:rPr>
        <w:t>with empirical validation of</w:t>
      </w:r>
      <w:r w:rsidRPr="005D1770">
        <w:rPr>
          <w:rFonts w:ascii="Times New Roman" w:hAnsi="Times New Roman" w:cs="Times New Roman"/>
          <w:bCs/>
        </w:rPr>
        <w:t xml:space="preserve"> migration feasibility and dispatch compliance</w:t>
      </w:r>
      <w:r w:rsidR="005A270C">
        <w:rPr>
          <w:rFonts w:ascii="Times New Roman" w:hAnsi="Times New Roman" w:cs="Times New Roman"/>
          <w:bCs/>
        </w:rPr>
        <w:t>, most uncertainty is concentrated</w:t>
      </w:r>
      <w:r w:rsidRPr="005D1770">
        <w:rPr>
          <w:rFonts w:ascii="Times New Roman" w:hAnsi="Times New Roman" w:cs="Times New Roman"/>
          <w:bCs/>
        </w:rPr>
        <w:t xml:space="preserve"> in a </w:t>
      </w:r>
      <w:r w:rsidR="005A270C">
        <w:rPr>
          <w:rFonts w:ascii="Times New Roman" w:hAnsi="Times New Roman" w:cs="Times New Roman"/>
          <w:bCs/>
        </w:rPr>
        <w:t>few</w:t>
      </w:r>
      <w:r w:rsidRPr="005D1770">
        <w:rPr>
          <w:rFonts w:ascii="Times New Roman" w:hAnsi="Times New Roman" w:cs="Times New Roman"/>
          <w:bCs/>
        </w:rPr>
        <w:t xml:space="preserve"> operational</w:t>
      </w:r>
      <w:r w:rsidR="005A270C">
        <w:rPr>
          <w:rFonts w:ascii="Times New Roman" w:hAnsi="Times New Roman" w:cs="Times New Roman"/>
          <w:bCs/>
        </w:rPr>
        <w:t>/</w:t>
      </w:r>
      <w:r w:rsidRPr="005D1770">
        <w:rPr>
          <w:rFonts w:ascii="Times New Roman" w:hAnsi="Times New Roman" w:cs="Times New Roman"/>
          <w:bCs/>
        </w:rPr>
        <w:t xml:space="preserve">institutional choices. </w:t>
      </w:r>
    </w:p>
    <w:p w14:paraId="288D512C" w14:textId="631F7D2C" w:rsidR="005A270C" w:rsidRPr="005D1770" w:rsidRDefault="00874687" w:rsidP="005A270C">
      <w:pPr>
        <w:pStyle w:val="ListParagraph"/>
        <w:numPr>
          <w:ilvl w:val="0"/>
          <w:numId w:val="4"/>
        </w:numPr>
        <w:rPr>
          <w:rFonts w:ascii="Times New Roman" w:hAnsi="Times New Roman" w:cs="Times New Roman"/>
          <w:b/>
          <w:sz w:val="32"/>
          <w:szCs w:val="32"/>
        </w:rPr>
      </w:pPr>
      <w:r w:rsidRPr="005D1770">
        <w:rPr>
          <w:rFonts w:ascii="Times New Roman" w:hAnsi="Times New Roman" w:cs="Times New Roman"/>
          <w:bCs/>
        </w:rPr>
        <w:t>PJM's 92% ELCC for demand response</w:t>
      </w:r>
      <w:r w:rsidR="005A270C">
        <w:rPr>
          <w:rFonts w:ascii="Times New Roman" w:hAnsi="Times New Roman" w:cs="Times New Roman"/>
          <w:bCs/>
        </w:rPr>
        <w:t xml:space="preserve"> is used</w:t>
      </w:r>
      <w:r w:rsidRPr="005D1770">
        <w:rPr>
          <w:rFonts w:ascii="Times New Roman" w:hAnsi="Times New Roman" w:cs="Times New Roman"/>
          <w:bCs/>
        </w:rPr>
        <w:t xml:space="preserve">, but full sequential reliability determination </w:t>
      </w:r>
      <w:r w:rsidR="005A270C">
        <w:rPr>
          <w:rFonts w:ascii="Times New Roman" w:hAnsi="Times New Roman" w:cs="Times New Roman"/>
          <w:bCs/>
        </w:rPr>
        <w:t>may differ.</w:t>
      </w:r>
      <w:r w:rsidRPr="005D1770">
        <w:rPr>
          <w:rFonts w:ascii="Times New Roman" w:hAnsi="Times New Roman" w:cs="Times New Roman"/>
          <w:bCs/>
        </w:rPr>
        <w:t xml:space="preserve"> </w:t>
      </w:r>
    </w:p>
    <w:p w14:paraId="29F750EE" w14:textId="59924BA7" w:rsidR="00715142" w:rsidRPr="005D1770" w:rsidRDefault="005A270C" w:rsidP="005D1770">
      <w:pPr>
        <w:pStyle w:val="ListParagraph"/>
        <w:numPr>
          <w:ilvl w:val="0"/>
          <w:numId w:val="4"/>
        </w:numPr>
        <w:rPr>
          <w:rFonts w:ascii="Times New Roman" w:hAnsi="Times New Roman" w:cs="Times New Roman"/>
          <w:b/>
          <w:sz w:val="32"/>
          <w:szCs w:val="32"/>
        </w:rPr>
      </w:pPr>
      <w:r>
        <w:rPr>
          <w:rFonts w:ascii="Times New Roman" w:hAnsi="Times New Roman" w:cs="Times New Roman"/>
          <w:bCs/>
        </w:rPr>
        <w:t>W</w:t>
      </w:r>
      <w:r w:rsidRPr="005D1770">
        <w:rPr>
          <w:rFonts w:ascii="Times New Roman" w:hAnsi="Times New Roman" w:cs="Times New Roman"/>
          <w:bCs/>
        </w:rPr>
        <w:t xml:space="preserve">hile </w:t>
      </w:r>
      <w:r>
        <w:rPr>
          <w:rFonts w:ascii="Times New Roman" w:hAnsi="Times New Roman" w:cs="Times New Roman"/>
          <w:bCs/>
        </w:rPr>
        <w:t xml:space="preserve">production dataset </w:t>
      </w:r>
      <w:r w:rsidR="00874687" w:rsidRPr="005D1770">
        <w:rPr>
          <w:rFonts w:ascii="Times New Roman" w:hAnsi="Times New Roman" w:cs="Times New Roman"/>
          <w:bCs/>
        </w:rPr>
        <w:t>consistency</w:t>
      </w:r>
      <w:r>
        <w:rPr>
          <w:rFonts w:ascii="Times New Roman" w:hAnsi="Times New Roman" w:cs="Times New Roman"/>
          <w:bCs/>
        </w:rPr>
        <w:t xml:space="preserve"> partially validates drain-times, </w:t>
      </w:r>
      <w:r w:rsidR="00874687" w:rsidRPr="005D1770">
        <w:rPr>
          <w:rFonts w:ascii="Times New Roman" w:hAnsi="Times New Roman" w:cs="Times New Roman"/>
          <w:bCs/>
        </w:rPr>
        <w:t xml:space="preserve">generalization to other providers and configurations remains </w:t>
      </w:r>
      <w:r>
        <w:rPr>
          <w:rFonts w:ascii="Times New Roman" w:hAnsi="Times New Roman" w:cs="Times New Roman"/>
          <w:bCs/>
        </w:rPr>
        <w:t>uncertain</w:t>
      </w:r>
      <w:r w:rsidR="00874687" w:rsidRPr="005D1770">
        <w:rPr>
          <w:rFonts w:ascii="Times New Roman" w:hAnsi="Times New Roman" w:cs="Times New Roman"/>
          <w:bCs/>
        </w:rPr>
        <w:t>.</w:t>
      </w:r>
    </w:p>
    <w:p w14:paraId="63B73762" w14:textId="77777777" w:rsidR="00715142" w:rsidRDefault="00715142" w:rsidP="00F064BF">
      <w:pPr>
        <w:rPr>
          <w:rFonts w:ascii="Times New Roman" w:hAnsi="Times New Roman" w:cs="Times New Roman"/>
          <w:b/>
          <w:sz w:val="32"/>
          <w:szCs w:val="32"/>
        </w:rPr>
      </w:pPr>
    </w:p>
    <w:p w14:paraId="3038A43B" w14:textId="77777777" w:rsidR="00920A69" w:rsidRDefault="00920A69" w:rsidP="00F064BF">
      <w:pPr>
        <w:rPr>
          <w:rFonts w:ascii="Times New Roman" w:hAnsi="Times New Roman" w:cs="Times New Roman"/>
          <w:b/>
          <w:sz w:val="32"/>
          <w:szCs w:val="32"/>
        </w:rPr>
      </w:pPr>
    </w:p>
    <w:p w14:paraId="345839C4" w14:textId="77777777" w:rsidR="00920A69" w:rsidRDefault="00920A69" w:rsidP="00F064BF">
      <w:pPr>
        <w:rPr>
          <w:rFonts w:ascii="Times New Roman" w:hAnsi="Times New Roman" w:cs="Times New Roman"/>
          <w:b/>
          <w:sz w:val="32"/>
          <w:szCs w:val="32"/>
        </w:rPr>
      </w:pPr>
    </w:p>
    <w:p w14:paraId="7E9F9FE6" w14:textId="77777777" w:rsidR="00920A69" w:rsidRDefault="00920A69" w:rsidP="00F064BF">
      <w:pPr>
        <w:rPr>
          <w:rFonts w:ascii="Times New Roman" w:hAnsi="Times New Roman" w:cs="Times New Roman"/>
          <w:b/>
          <w:sz w:val="32"/>
          <w:szCs w:val="32"/>
        </w:rPr>
      </w:pPr>
    </w:p>
    <w:p w14:paraId="6C8F4D39" w14:textId="77777777" w:rsidR="00920A69" w:rsidRDefault="00920A69" w:rsidP="00F064BF">
      <w:pPr>
        <w:rPr>
          <w:rFonts w:ascii="Times New Roman" w:hAnsi="Times New Roman" w:cs="Times New Roman"/>
          <w:b/>
          <w:sz w:val="32"/>
          <w:szCs w:val="32"/>
        </w:rPr>
      </w:pPr>
    </w:p>
    <w:p w14:paraId="1452427B" w14:textId="77777777" w:rsidR="005D1770" w:rsidRDefault="005D1770" w:rsidP="00F064BF">
      <w:pPr>
        <w:rPr>
          <w:rFonts w:ascii="Times New Roman" w:hAnsi="Times New Roman" w:cs="Times New Roman"/>
          <w:b/>
          <w:sz w:val="32"/>
          <w:szCs w:val="32"/>
        </w:rPr>
      </w:pPr>
    </w:p>
    <w:p w14:paraId="3305255B" w14:textId="542929E1"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lastRenderedPageBreak/>
        <w:t>Methods</w:t>
      </w:r>
    </w:p>
    <w:p w14:paraId="6D0A8592" w14:textId="77777777" w:rsidR="00715142" w:rsidRDefault="001D6E1E" w:rsidP="001D6E1E">
      <w:pPr>
        <w:spacing w:before="240" w:after="180"/>
        <w:rPr>
          <w:rFonts w:ascii="Times New Roman" w:eastAsia="Calibri" w:hAnsi="Times New Roman" w:cs="Times New Roman"/>
          <w:b/>
          <w:bCs/>
        </w:rPr>
      </w:pPr>
      <w:r w:rsidRPr="001D6E1E">
        <w:rPr>
          <w:rFonts w:ascii="Times New Roman" w:eastAsia="Calibri" w:hAnsi="Times New Roman" w:cs="Times New Roman"/>
          <w:b/>
          <w:bCs/>
        </w:rPr>
        <w:t>Framework structure</w:t>
      </w:r>
    </w:p>
    <w:p w14:paraId="07C83AF7" w14:textId="5EB0E0E9" w:rsidR="001C649C" w:rsidRPr="00715142" w:rsidRDefault="001C649C" w:rsidP="001D6E1E">
      <w:pPr>
        <w:spacing w:before="240" w:after="180"/>
        <w:rPr>
          <w:rFonts w:ascii="Times New Roman" w:eastAsia="Calibri" w:hAnsi="Times New Roman" w:cs="Times New Roman"/>
        </w:rPr>
      </w:pPr>
      <w:r w:rsidRPr="001C649C">
        <w:rPr>
          <w:rFonts w:ascii="Times New Roman" w:eastAsia="Calibri" w:hAnsi="Times New Roman" w:cs="Times New Roman"/>
        </w:rPr>
        <w:t xml:space="preserve">The framework decomposes accreditable system slack — the fraction of nameplate inference load simultaneously flexible, operationally committable, and capacity-accreditable during a grid dispatch event — into three composable mechanisms (spatial migration, temporal deferral of non-interactive workloads, and DVFS on residual compute), each itself a small </w:t>
      </w:r>
      <w:r w:rsidR="00102C3F">
        <w:rPr>
          <w:rFonts w:ascii="Times New Roman" w:eastAsia="Calibri" w:hAnsi="Times New Roman" w:cs="Times New Roman"/>
        </w:rPr>
        <w:t>sub</w:t>
      </w:r>
      <w:r w:rsidRPr="001C649C">
        <w:rPr>
          <w:rFonts w:ascii="Times New Roman" w:eastAsia="Calibri" w:hAnsi="Times New Roman" w:cs="Times New Roman"/>
        </w:rPr>
        <w:t>-</w:t>
      </w:r>
      <w:r w:rsidR="00BB2825">
        <w:rPr>
          <w:rFonts w:ascii="Times New Roman" w:eastAsia="Calibri" w:hAnsi="Times New Roman" w:cs="Times New Roman"/>
        </w:rPr>
        <w:t>model</w:t>
      </w:r>
      <w:r w:rsidR="00BB2825" w:rsidRPr="001C649C">
        <w:rPr>
          <w:rFonts w:ascii="Times New Roman" w:eastAsia="Calibri" w:hAnsi="Times New Roman" w:cs="Times New Roman"/>
        </w:rPr>
        <w:t xml:space="preserve"> </w:t>
      </w:r>
      <w:r w:rsidRPr="001C649C">
        <w:rPr>
          <w:rFonts w:ascii="Times New Roman" w:eastAsia="Calibri" w:hAnsi="Times New Roman" w:cs="Times New Roman"/>
        </w:rPr>
        <w:t xml:space="preserve">of multiplicatively-composed parameters representing the conditions that must hold for one MW of that mechanism's contribution to realize. The three </w:t>
      </w:r>
      <w:r w:rsidR="00102C3F">
        <w:rPr>
          <w:rFonts w:ascii="Times New Roman" w:eastAsia="Calibri" w:hAnsi="Times New Roman" w:cs="Times New Roman"/>
        </w:rPr>
        <w:t>sub</w:t>
      </w:r>
      <w:r w:rsidRPr="001C649C">
        <w:rPr>
          <w:rFonts w:ascii="Times New Roman" w:eastAsia="Calibri" w:hAnsi="Times New Roman" w:cs="Times New Roman"/>
        </w:rPr>
        <w:t>-</w:t>
      </w:r>
      <w:r w:rsidR="00BB2825">
        <w:rPr>
          <w:rFonts w:ascii="Times New Roman" w:eastAsia="Calibri" w:hAnsi="Times New Roman" w:cs="Times New Roman"/>
        </w:rPr>
        <w:t>models</w:t>
      </w:r>
      <w:r w:rsidR="00BB2825" w:rsidRPr="001C649C">
        <w:rPr>
          <w:rFonts w:ascii="Times New Roman" w:eastAsia="Calibri" w:hAnsi="Times New Roman" w:cs="Times New Roman"/>
        </w:rPr>
        <w:t xml:space="preserve"> com</w:t>
      </w:r>
      <w:r w:rsidR="00BB2825">
        <w:rPr>
          <w:rFonts w:ascii="Times New Roman" w:eastAsia="Calibri" w:hAnsi="Times New Roman" w:cs="Times New Roman"/>
        </w:rPr>
        <w:t>bine</w:t>
      </w:r>
      <w:r w:rsidR="00BB2825" w:rsidRPr="001C649C">
        <w:rPr>
          <w:rFonts w:ascii="Times New Roman" w:eastAsia="Calibri" w:hAnsi="Times New Roman" w:cs="Times New Roman"/>
        </w:rPr>
        <w:t xml:space="preserve"> </w:t>
      </w:r>
      <w:r w:rsidRPr="001C649C">
        <w:rPr>
          <w:rFonts w:ascii="Times New Roman" w:eastAsia="Calibri" w:hAnsi="Times New Roman" w:cs="Times New Roman"/>
        </w:rPr>
        <w:t xml:space="preserve">additively at the megawatt layer with sequential ordering </w:t>
      </w:r>
      <w:r w:rsidR="00023319">
        <w:rPr>
          <w:rFonts w:ascii="Times New Roman" w:eastAsia="Calibri" w:hAnsi="Times New Roman" w:cs="Times New Roman"/>
        </w:rPr>
        <w:t>of</w:t>
      </w:r>
      <w:r w:rsidRPr="001C649C">
        <w:rPr>
          <w:rFonts w:ascii="Times New Roman" w:eastAsia="Calibri" w:hAnsi="Times New Roman" w:cs="Times New Roman"/>
        </w:rPr>
        <w:t xml:space="preserve"> spatial first, deferral on residual after spatial, DVFS on residual after both and an explicit overlap correction reflecting that DVFS at the source partially substitutes for deferral when work returns post-event.</w:t>
      </w:r>
    </w:p>
    <w:p w14:paraId="1104B6D9" w14:textId="5D29E8A5" w:rsidR="001D6E1E" w:rsidRPr="001D6E1E" w:rsidRDefault="002E5E67" w:rsidP="00877A4C">
      <w:pPr>
        <w:spacing w:before="240" w:after="180"/>
        <w:rPr>
          <w:rFonts w:ascii="Times New Roman" w:eastAsia="Calibri" w:hAnsi="Times New Roman" w:cs="Times New Roman"/>
        </w:rPr>
      </w:pPr>
      <w:r w:rsidRPr="002E5E67">
        <w:rPr>
          <w:rFonts w:ascii="Times New Roman" w:eastAsia="Calibri" w:hAnsi="Times New Roman" w:cs="Times New Roman"/>
        </w:rPr>
        <w:t>The framework is reported under two scope scenarios reflecting the bi-modal heterogeneity of the projected 2030 data-center fleet: a mixed-use facility (φ</w:t>
      </w:r>
      <w:r w:rsidRPr="005D1770">
        <w:rPr>
          <w:rFonts w:ascii="Times New Roman" w:eastAsia="Calibri" w:hAnsi="Times New Roman" w:cs="Times New Roman"/>
          <w:vertAlign w:val="subscript"/>
        </w:rPr>
        <w:t>inf,mixed</w:t>
      </w:r>
      <w:r w:rsidRPr="002E5E67">
        <w:rPr>
          <w:rFonts w:ascii="Times New Roman" w:eastAsia="Calibri" w:hAnsi="Times New Roman" w:cs="Times New Roman"/>
        </w:rPr>
        <w:t xml:space="preserve"> = 0.43, McKinsey December 2025</w:t>
      </w:r>
      <w:r w:rsidR="00114017">
        <w:rPr>
          <w:rFonts w:ascii="Times New Roman" w:eastAsia="Calibri" w:hAnsi="Times New Roman" w:cs="Times New Roman"/>
        </w:rPr>
        <w:t>[9]</w:t>
      </w:r>
      <w:r w:rsidRPr="002E5E67">
        <w:rPr>
          <w:rFonts w:ascii="Times New Roman" w:eastAsia="Calibri" w:hAnsi="Times New Roman" w:cs="Times New Roman"/>
        </w:rPr>
        <w:t>) and an inference-dominant facility (φ</w:t>
      </w:r>
      <w:r w:rsidRPr="005D1770">
        <w:rPr>
          <w:rFonts w:ascii="Times New Roman" w:eastAsia="Calibri" w:hAnsi="Times New Roman" w:cs="Times New Roman"/>
          <w:vertAlign w:val="subscript"/>
        </w:rPr>
        <w:t>inf,dominant</w:t>
      </w:r>
      <w:r w:rsidRPr="002E5E67">
        <w:rPr>
          <w:rFonts w:ascii="Times New Roman" w:eastAsia="Calibri" w:hAnsi="Times New Roman" w:cs="Times New Roman"/>
        </w:rPr>
        <w:t xml:space="preserve"> = 0.70, anchored in IEA 2025</w:t>
      </w:r>
      <w:r w:rsidR="00114017">
        <w:rPr>
          <w:rFonts w:ascii="Times New Roman" w:eastAsia="Calibri" w:hAnsi="Times New Roman" w:cs="Times New Roman"/>
        </w:rPr>
        <w:t>[4]</w:t>
      </w:r>
      <w:r w:rsidRPr="002E5E67">
        <w:rPr>
          <w:rFonts w:ascii="Times New Roman" w:eastAsia="Calibri" w:hAnsi="Times New Roman" w:cs="Times New Roman"/>
        </w:rPr>
        <w:t xml:space="preserve"> and Zhou et al. 2024</w:t>
      </w:r>
      <w:r w:rsidR="00114017">
        <w:rPr>
          <w:rFonts w:ascii="Times New Roman" w:eastAsia="Calibri" w:hAnsi="Times New Roman" w:cs="Times New Roman"/>
        </w:rPr>
        <w:t>[10]</w:t>
      </w:r>
      <w:r w:rsidRPr="002E5E67">
        <w:rPr>
          <w:rFonts w:ascii="Times New Roman" w:eastAsia="Calibri" w:hAnsi="Times New Roman" w:cs="Times New Roman"/>
        </w:rPr>
        <w:t>).</w:t>
      </w:r>
    </w:p>
    <w:p w14:paraId="5689EB7D" w14:textId="7FEB3120" w:rsidR="00877A4C" w:rsidRPr="00190400" w:rsidRDefault="001D6E1E" w:rsidP="00877A4C">
      <w:pPr>
        <w:spacing w:before="240" w:after="180"/>
        <w:rPr>
          <w:rFonts w:ascii="Times New Roman" w:hAnsi="Times New Roman" w:cs="Times New Roman"/>
        </w:rPr>
      </w:pPr>
      <w:r>
        <w:rPr>
          <w:rFonts w:ascii="Times New Roman" w:eastAsia="Calibri" w:hAnsi="Times New Roman" w:cs="Times New Roman"/>
          <w:b/>
          <w:bCs/>
        </w:rPr>
        <w:t>P</w:t>
      </w:r>
      <w:r w:rsidR="00877A4C" w:rsidRPr="00190400">
        <w:rPr>
          <w:rFonts w:ascii="Times New Roman" w:eastAsia="Calibri" w:hAnsi="Times New Roman" w:cs="Times New Roman"/>
          <w:b/>
          <w:bCs/>
        </w:rPr>
        <w:t>arameter specifications.</w:t>
      </w:r>
    </w:p>
    <w:p w14:paraId="7E1BE149" w14:textId="2C7073E4" w:rsidR="00923425" w:rsidRDefault="002E5E67" w:rsidP="00877A4C">
      <w:pPr>
        <w:spacing w:before="120" w:after="120" w:line="300" w:lineRule="auto"/>
        <w:rPr>
          <w:rFonts w:ascii="Times New Roman" w:eastAsia="Calibri" w:hAnsi="Times New Roman" w:cs="Times New Roman"/>
        </w:rPr>
        <w:sectPr w:rsidR="00923425">
          <w:endnotePr>
            <w:numFmt w:val="decimal"/>
          </w:endnotePr>
          <w:pgSz w:w="12240" w:h="15840"/>
          <w:pgMar w:top="1440" w:right="1440" w:bottom="1440" w:left="1440" w:header="720" w:footer="720" w:gutter="0"/>
          <w:cols w:space="720"/>
          <w:docGrid w:linePitch="360"/>
        </w:sectPr>
      </w:pPr>
      <w:r w:rsidRPr="002E5E67">
        <w:rPr>
          <w:rFonts w:ascii="Times New Roman" w:eastAsia="Calibri" w:hAnsi="Times New Roman" w:cs="Times New Roman"/>
        </w:rPr>
        <w:t xml:space="preserve">Specifications for all eleven framework parameters are reported in Table M1, organized into four groups: </w:t>
      </w:r>
      <w:r w:rsidR="0060691A">
        <w:rPr>
          <w:rFonts w:ascii="Times New Roman" w:eastAsia="Calibri" w:hAnsi="Times New Roman" w:cs="Times New Roman"/>
        </w:rPr>
        <w:t>scenario</w:t>
      </w:r>
      <w:r w:rsidRPr="002E5E67">
        <w:rPr>
          <w:rFonts w:ascii="Times New Roman" w:eastAsia="Calibri" w:hAnsi="Times New Roman" w:cs="Times New Roman"/>
        </w:rPr>
        <w:t xml:space="preserve"> scalar (1 parameter), spatial </w:t>
      </w:r>
      <w:r w:rsidR="00102C3F">
        <w:rPr>
          <w:rFonts w:ascii="Times New Roman" w:eastAsia="Calibri" w:hAnsi="Times New Roman" w:cs="Times New Roman"/>
        </w:rPr>
        <w:t>sub</w:t>
      </w:r>
      <w:r w:rsidRPr="002E5E67">
        <w:rPr>
          <w:rFonts w:ascii="Times New Roman" w:eastAsia="Calibri" w:hAnsi="Times New Roman" w:cs="Times New Roman"/>
        </w:rPr>
        <w:t>-</w:t>
      </w:r>
      <w:r w:rsidR="0060691A">
        <w:rPr>
          <w:rFonts w:ascii="Times New Roman" w:eastAsia="Calibri" w:hAnsi="Times New Roman" w:cs="Times New Roman"/>
        </w:rPr>
        <w:t>model</w:t>
      </w:r>
      <w:r w:rsidR="0060691A" w:rsidRPr="002E5E67">
        <w:rPr>
          <w:rFonts w:ascii="Times New Roman" w:eastAsia="Calibri" w:hAnsi="Times New Roman" w:cs="Times New Roman"/>
        </w:rPr>
        <w:t xml:space="preserve"> </w:t>
      </w:r>
      <w:r w:rsidRPr="002E5E67">
        <w:rPr>
          <w:rFonts w:ascii="Times New Roman" w:eastAsia="Calibri" w:hAnsi="Times New Roman" w:cs="Times New Roman"/>
        </w:rPr>
        <w:t xml:space="preserve">(6 parameters), deferral </w:t>
      </w:r>
      <w:r w:rsidR="00102C3F">
        <w:rPr>
          <w:rFonts w:ascii="Times New Roman" w:eastAsia="Calibri" w:hAnsi="Times New Roman" w:cs="Times New Roman"/>
        </w:rPr>
        <w:t>sub</w:t>
      </w:r>
      <w:r w:rsidRPr="002E5E67">
        <w:rPr>
          <w:rFonts w:ascii="Times New Roman" w:eastAsia="Calibri" w:hAnsi="Times New Roman" w:cs="Times New Roman"/>
        </w:rPr>
        <w:t>-</w:t>
      </w:r>
      <w:r w:rsidR="0060691A">
        <w:rPr>
          <w:rFonts w:ascii="Times New Roman" w:eastAsia="Calibri" w:hAnsi="Times New Roman" w:cs="Times New Roman"/>
        </w:rPr>
        <w:t>model</w:t>
      </w:r>
      <w:r w:rsidRPr="002E5E67">
        <w:rPr>
          <w:rFonts w:ascii="Times New Roman" w:eastAsia="Calibri" w:hAnsi="Times New Roman" w:cs="Times New Roman"/>
        </w:rPr>
        <w:t xml:space="preserve">(3 parameters), and DVFS </w:t>
      </w:r>
      <w:r w:rsidR="00102C3F">
        <w:rPr>
          <w:rFonts w:ascii="Times New Roman" w:eastAsia="Calibri" w:hAnsi="Times New Roman" w:cs="Times New Roman"/>
        </w:rPr>
        <w:t>sub</w:t>
      </w:r>
      <w:r w:rsidRPr="002E5E67">
        <w:rPr>
          <w:rFonts w:ascii="Times New Roman" w:eastAsia="Calibri" w:hAnsi="Times New Roman" w:cs="Times New Roman"/>
        </w:rPr>
        <w:t>-</w:t>
      </w:r>
      <w:r w:rsidR="0060691A">
        <w:rPr>
          <w:rFonts w:ascii="Times New Roman" w:eastAsia="Calibri" w:hAnsi="Times New Roman" w:cs="Times New Roman"/>
        </w:rPr>
        <w:t>model</w:t>
      </w:r>
      <w:r w:rsidRPr="002E5E67">
        <w:rPr>
          <w:rFonts w:ascii="Times New Roman" w:eastAsia="Calibri" w:hAnsi="Times New Roman" w:cs="Times New Roman"/>
        </w:rPr>
        <w:t xml:space="preserve">(2 parameters). </w:t>
      </w:r>
    </w:p>
    <w:p w14:paraId="3F64CDB3" w14:textId="09AD2A61"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 xml:space="preserve">Table M1. </w:t>
      </w:r>
      <w:r w:rsidR="00F060C7">
        <w:rPr>
          <w:rFonts w:ascii="Times New Roman" w:eastAsia="Calibri" w:hAnsi="Times New Roman" w:cs="Times New Roman"/>
          <w:b/>
          <w:bCs/>
          <w:i/>
          <w:iCs/>
        </w:rPr>
        <w:t>Model</w:t>
      </w:r>
      <w:r w:rsidRPr="00190400">
        <w:rPr>
          <w:rFonts w:ascii="Times New Roman" w:eastAsia="Calibri" w:hAnsi="Times New Roman" w:cs="Times New Roman"/>
          <w:b/>
          <w:bCs/>
          <w:i/>
          <w:iCs/>
        </w:rPr>
        <w:t xml:space="preserve"> parameter specifications.</w:t>
      </w:r>
    </w:p>
    <w:tbl>
      <w:tblPr>
        <w:tblW w:w="1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5"/>
        <w:gridCol w:w="936"/>
        <w:gridCol w:w="1404"/>
        <w:gridCol w:w="900"/>
        <w:gridCol w:w="1890"/>
        <w:gridCol w:w="4066"/>
        <w:gridCol w:w="2919"/>
      </w:tblGrid>
      <w:tr w:rsidR="00710748" w:rsidRPr="00A025CD" w14:paraId="35144E17" w14:textId="77777777" w:rsidTr="00AA2EA2">
        <w:trPr>
          <w:trHeight w:val="243"/>
        </w:trPr>
        <w:tc>
          <w:tcPr>
            <w:tcW w:w="1075"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162B955D" w:rsidR="001D6E1E" w:rsidRPr="00A025CD" w:rsidRDefault="001D6E1E" w:rsidP="00A025CD">
            <w:pPr>
              <w:spacing w:line="240" w:lineRule="auto"/>
              <w:rPr>
                <w:rFonts w:ascii="Times New Roman" w:hAnsi="Times New Roman" w:cs="Times New Roman"/>
                <w:sz w:val="16"/>
                <w:szCs w:val="16"/>
              </w:rPr>
            </w:pPr>
            <w:r>
              <w:rPr>
                <w:rFonts w:ascii="Times New Roman" w:eastAsia="Calibri" w:hAnsi="Times New Roman" w:cs="Times New Roman"/>
                <w:b/>
                <w:bCs/>
                <w:sz w:val="16"/>
                <w:szCs w:val="16"/>
              </w:rPr>
              <w:t>Mechanism</w:t>
            </w:r>
          </w:p>
        </w:tc>
        <w:tc>
          <w:tcPr>
            <w:tcW w:w="936" w:type="dxa"/>
            <w:tcBorders>
              <w:top w:val="single" w:sz="4" w:space="0" w:color="666666"/>
              <w:left w:val="single" w:sz="4" w:space="0" w:color="666666"/>
              <w:bottom w:val="single" w:sz="4" w:space="0" w:color="666666"/>
              <w:right w:val="single" w:sz="4" w:space="0" w:color="666666"/>
            </w:tcBorders>
            <w:shd w:val="clear" w:color="auto" w:fill="E8E8E8"/>
          </w:tcPr>
          <w:p w14:paraId="0C546E9C" w14:textId="1C72DD51" w:rsidR="001D6E1E" w:rsidRPr="00A025CD" w:rsidRDefault="001D6E1E" w:rsidP="001D6E1E">
            <w:pPr>
              <w:spacing w:line="240" w:lineRule="auto"/>
              <w:jc w:val="center"/>
              <w:rPr>
                <w:rFonts w:ascii="Times New Roman" w:eastAsia="Calibri" w:hAnsi="Times New Roman" w:cs="Times New Roman"/>
                <w:b/>
                <w:bCs/>
                <w:sz w:val="16"/>
                <w:szCs w:val="16"/>
              </w:rPr>
            </w:pPr>
            <w:r>
              <w:rPr>
                <w:rFonts w:ascii="Times New Roman" w:eastAsia="Calibri" w:hAnsi="Times New Roman" w:cs="Times New Roman"/>
                <w:b/>
                <w:bCs/>
                <w:sz w:val="16"/>
                <w:szCs w:val="16"/>
              </w:rPr>
              <w:t>Parameter</w:t>
            </w:r>
          </w:p>
        </w:tc>
        <w:tc>
          <w:tcPr>
            <w:tcW w:w="1404"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59B192AA" w:rsidR="001D6E1E" w:rsidRPr="00A025CD" w:rsidRDefault="001D6E1E"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90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Central</w:t>
            </w:r>
          </w:p>
        </w:tc>
        <w:tc>
          <w:tcPr>
            <w:tcW w:w="189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Distribution</w:t>
            </w:r>
          </w:p>
        </w:tc>
        <w:tc>
          <w:tcPr>
            <w:tcW w:w="4066"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Empirical basis</w:t>
            </w:r>
          </w:p>
        </w:tc>
        <w:tc>
          <w:tcPr>
            <w:tcW w:w="2919"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1D6E1E" w:rsidRPr="00E33BC8" w:rsidRDefault="001D6E1E" w:rsidP="00A025CD">
            <w:pPr>
              <w:spacing w:line="240" w:lineRule="auto"/>
              <w:rPr>
                <w:rFonts w:ascii="Times New Roman" w:hAnsi="Times New Roman" w:cs="Times New Roman"/>
                <w:sz w:val="16"/>
                <w:szCs w:val="16"/>
              </w:rPr>
            </w:pPr>
            <w:r w:rsidRPr="00E33BC8">
              <w:rPr>
                <w:rFonts w:ascii="Times New Roman" w:eastAsia="Calibri" w:hAnsi="Times New Roman" w:cs="Times New Roman"/>
                <w:b/>
                <w:bCs/>
                <w:sz w:val="16"/>
                <w:szCs w:val="16"/>
              </w:rPr>
              <w:t>Key sources</w:t>
            </w:r>
          </w:p>
        </w:tc>
      </w:tr>
      <w:tr w:rsidR="00710748" w:rsidRPr="00A025CD" w14:paraId="077803C4"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11ABB55" w:rsidR="001D6E1E" w:rsidRPr="00A025CD" w:rsidRDefault="0060691A" w:rsidP="00036805">
            <w:pPr>
              <w:rPr>
                <w:rFonts w:ascii="Times New Roman" w:hAnsi="Times New Roman" w:cs="Times New Roman"/>
                <w:sz w:val="16"/>
                <w:szCs w:val="16"/>
              </w:rPr>
            </w:pPr>
            <w:r>
              <w:rPr>
                <w:rFonts w:ascii="Times New Roman" w:eastAsia="Calibri" w:hAnsi="Times New Roman" w:cs="Times New Roman"/>
                <w:sz w:val="16"/>
                <w:szCs w:val="16"/>
              </w:rPr>
              <w:t xml:space="preserve">Scenario </w:t>
            </w:r>
            <w:r w:rsidR="005657DD">
              <w:rPr>
                <w:rFonts w:ascii="Times New Roman" w:eastAsia="Calibri" w:hAnsi="Times New Roman" w:cs="Times New Roman"/>
                <w:sz w:val="16"/>
                <w:szCs w:val="16"/>
              </w:rPr>
              <w:t>scalar</w:t>
            </w:r>
          </w:p>
        </w:tc>
        <w:tc>
          <w:tcPr>
            <w:tcW w:w="936" w:type="dxa"/>
            <w:tcBorders>
              <w:top w:val="single" w:sz="4" w:space="0" w:color="666666"/>
              <w:left w:val="single" w:sz="4" w:space="0" w:color="666666"/>
              <w:bottom w:val="single" w:sz="4" w:space="0" w:color="666666"/>
              <w:right w:val="single" w:sz="4" w:space="0" w:color="666666"/>
            </w:tcBorders>
          </w:tcPr>
          <w:p w14:paraId="67C2E42E" w14:textId="636A5173" w:rsidR="001D6E1E" w:rsidRPr="00A025CD" w:rsidRDefault="005657DD" w:rsidP="00FA589C">
            <w:pPr>
              <w:rPr>
                <w:rFonts w:ascii="Times New Roman" w:eastAsia="Calibri" w:hAnsi="Times New Roman" w:cs="Times New Roman"/>
                <w:sz w:val="16"/>
                <w:szCs w:val="16"/>
              </w:rPr>
            </w:pPr>
            <w:r>
              <w:rPr>
                <w:rFonts w:ascii="Times New Roman" w:eastAsia="Calibri" w:hAnsi="Times New Roman" w:cs="Times New Roman"/>
                <w:sz w:val="16"/>
                <w:szCs w:val="16"/>
              </w:rPr>
              <w:t>Mixed-use inference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29918CFD"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w:t>
            </w:r>
            <w:r w:rsidRPr="005D1770">
              <w:rPr>
                <w:rFonts w:ascii="Times New Roman" w:eastAsia="Calibri" w:hAnsi="Times New Roman" w:cs="Times New Roman"/>
                <w:sz w:val="16"/>
                <w:szCs w:val="16"/>
                <w:vertAlign w:val="subscript"/>
              </w:rPr>
              <w:t>inf,mixed</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3D082AE3"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43</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4E8C9DCD"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Uniform[0.30,0.50]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1358109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McKinsey Dec 2025 base case: 93.3 GW inference / 219 GW total in 2030; "more than 40 percent of data center demand"</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14030B83"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p>
        </w:tc>
      </w:tr>
      <w:tr w:rsidR="00710748" w:rsidRPr="00A025CD" w14:paraId="1D16C180"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4FDA88F8" w:rsidR="001D6E1E" w:rsidRPr="00A025CD" w:rsidRDefault="0060691A" w:rsidP="00036805">
            <w:pPr>
              <w:rPr>
                <w:rFonts w:ascii="Times New Roman" w:hAnsi="Times New Roman" w:cs="Times New Roman"/>
                <w:sz w:val="16"/>
                <w:szCs w:val="16"/>
              </w:rPr>
            </w:pPr>
            <w:r>
              <w:rPr>
                <w:rFonts w:ascii="Times New Roman" w:eastAsia="Calibri" w:hAnsi="Times New Roman" w:cs="Times New Roman"/>
                <w:sz w:val="16"/>
                <w:szCs w:val="16"/>
              </w:rPr>
              <w:t xml:space="preserve">Scenario </w:t>
            </w:r>
            <w:r w:rsidR="005657DD">
              <w:rPr>
                <w:rFonts w:ascii="Times New Roman" w:eastAsia="Calibri" w:hAnsi="Times New Roman" w:cs="Times New Roman"/>
                <w:sz w:val="16"/>
                <w:szCs w:val="16"/>
              </w:rPr>
              <w:t>scalar</w:t>
            </w:r>
          </w:p>
        </w:tc>
        <w:tc>
          <w:tcPr>
            <w:tcW w:w="936" w:type="dxa"/>
            <w:tcBorders>
              <w:top w:val="single" w:sz="4" w:space="0" w:color="666666"/>
              <w:left w:val="single" w:sz="4" w:space="0" w:color="666666"/>
              <w:bottom w:val="single" w:sz="4" w:space="0" w:color="666666"/>
              <w:right w:val="single" w:sz="4" w:space="0" w:color="666666"/>
            </w:tcBorders>
          </w:tcPr>
          <w:p w14:paraId="5B1C405E" w14:textId="0DC581B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 xml:space="preserve">Inference-dominant </w:t>
            </w:r>
            <w:r w:rsidR="0060691A">
              <w:rPr>
                <w:rFonts w:ascii="Times New Roman" w:eastAsia="Calibri" w:hAnsi="Times New Roman" w:cs="Times New Roman"/>
                <w:sz w:val="16"/>
                <w:szCs w:val="16"/>
              </w:rPr>
              <w:t>scenario</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6D0EFBDC" w:rsidR="001D6E1E" w:rsidRPr="00A025CD" w:rsidRDefault="005657DD" w:rsidP="00036805">
            <w:pPr>
              <w:rPr>
                <w:rFonts w:ascii="Times New Roman" w:hAnsi="Times New Roman" w:cs="Times New Roman"/>
                <w:sz w:val="16"/>
                <w:szCs w:val="16"/>
              </w:rPr>
            </w:pPr>
            <w:r w:rsidRPr="005657DD">
              <w:rPr>
                <w:rFonts w:ascii="Times New Roman" w:eastAsia="Calibri" w:hAnsi="Times New Roman" w:cs="Times New Roman"/>
                <w:sz w:val="16"/>
                <w:szCs w:val="16"/>
              </w:rPr>
              <w:t>φ</w:t>
            </w:r>
            <w:r w:rsidRPr="005D1770">
              <w:rPr>
                <w:rFonts w:ascii="Times New Roman" w:eastAsia="Calibri" w:hAnsi="Times New Roman" w:cs="Times New Roman"/>
                <w:sz w:val="16"/>
                <w:szCs w:val="16"/>
                <w:vertAlign w:val="subscript"/>
              </w:rPr>
              <w:t>inf,dominant</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0.70</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DB8D80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Uniform[0.60, 0.</w:t>
            </w:r>
            <w:r w:rsidR="003A1A7B" w:rsidRPr="003A1A7B">
              <w:rPr>
                <w:rFonts w:ascii="Times New Roman" w:eastAsia="Calibri" w:hAnsi="Times New Roman" w:cs="Times New Roman"/>
                <w:sz w:val="16"/>
                <w:szCs w:val="16"/>
              </w:rPr>
              <w:t>85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578A46C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Scenario construction; AI-focused HPC class per IEA and Zhou et al.; threshold below which facility no longer inference-dominant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5C528697"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IEA (2025)</w:t>
            </w:r>
            <w:r w:rsidR="00DC42BA">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DC42BA">
              <w:rPr>
                <w:rFonts w:ascii="Times New Roman" w:eastAsia="Calibri" w:hAnsi="Times New Roman" w:cs="Times New Roman"/>
                <w:sz w:val="16"/>
                <w:szCs w:val="16"/>
              </w:rPr>
              <w:t>[10]</w:t>
            </w:r>
          </w:p>
        </w:tc>
      </w:tr>
      <w:tr w:rsidR="00710748" w:rsidRPr="00A025CD" w14:paraId="68D925A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1B190E7B"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BFFDF40" w14:textId="77F679A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Migration eligibility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72E11C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MIG</w:t>
            </w:r>
            <w:r w:rsidRPr="005D1770">
              <w:rPr>
                <w:rFonts w:ascii="Times New Roman" w:eastAsia="Calibri" w:hAnsi="Times New Roman" w:cs="Times New Roman"/>
                <w:sz w:val="16"/>
                <w:szCs w:val="16"/>
                <w:vertAlign w:val="subscript"/>
              </w:rPr>
              <w:t>elig</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8AE48CE"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65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0B59529B"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4</w:t>
            </w:r>
            <w:r w:rsidRPr="003A1A7B">
              <w:rPr>
                <w:rFonts w:ascii="Times New Roman" w:eastAsia="Calibri" w:hAnsi="Times New Roman" w:cs="Times New Roman"/>
                <w:sz w:val="16"/>
                <w:szCs w:val="16"/>
              </w:rPr>
              <w:t>5, 0.</w:t>
            </w:r>
            <w:r w:rsidR="003A1A7B" w:rsidRPr="003A1A7B">
              <w:rPr>
                <w:rFonts w:ascii="Times New Roman" w:eastAsia="Calibri" w:hAnsi="Times New Roman" w:cs="Times New Roman"/>
                <w:sz w:val="16"/>
                <w:szCs w:val="16"/>
              </w:rPr>
              <w:t>8</w:t>
            </w:r>
            <w:r w:rsidRPr="003A1A7B">
              <w:rPr>
                <w:rFonts w:ascii="Times New Roman" w:eastAsia="Calibri" w:hAnsi="Times New Roman" w:cs="Times New Roman"/>
                <w:sz w:val="16"/>
                <w:szCs w:val="16"/>
              </w:rPr>
              <w:t>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3401C35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Architectural portability (McKinsey atomizability) × unpinned (no published measurement; bounded by enterprise contractual restrictions)</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22D65890"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r w:rsidR="00DC42BA">
              <w:rPr>
                <w:rFonts w:ascii="Times New Roman" w:eastAsia="Calibri" w:hAnsi="Times New Roman" w:cs="Times New Roman"/>
                <w:sz w:val="16"/>
                <w:szCs w:val="16"/>
              </w:rPr>
              <w:t>[9]</w:t>
            </w:r>
            <w:r w:rsidRPr="00E33BC8">
              <w:rPr>
                <w:rFonts w:ascii="Times New Roman" w:eastAsia="Calibri" w:hAnsi="Times New Roman" w:cs="Times New Roman"/>
                <w:sz w:val="16"/>
                <w:szCs w:val="16"/>
              </w:rPr>
              <w:t>; Patel et al.</w:t>
            </w:r>
            <w:r w:rsidR="003729C7">
              <w:rPr>
                <w:rFonts w:ascii="Times New Roman" w:eastAsia="Calibri" w:hAnsi="Times New Roman" w:cs="Times New Roman"/>
                <w:sz w:val="16"/>
                <w:szCs w:val="16"/>
              </w:rPr>
              <w:t>[1</w:t>
            </w:r>
            <w:r w:rsidR="00766339">
              <w:rPr>
                <w:rFonts w:ascii="Times New Roman" w:eastAsia="Calibri" w:hAnsi="Times New Roman" w:cs="Times New Roman"/>
                <w:sz w:val="16"/>
                <w:szCs w:val="16"/>
              </w:rPr>
              <w:t>7</w:t>
            </w:r>
            <w:r w:rsidR="003729C7">
              <w:rPr>
                <w:rFonts w:ascii="Times New Roman" w:eastAsia="Calibri" w:hAnsi="Times New Roman" w:cs="Times New Roman"/>
                <w:sz w:val="16"/>
                <w:szCs w:val="16"/>
              </w:rPr>
              <w:t>]</w:t>
            </w:r>
            <w:r w:rsidRPr="00E33BC8">
              <w:rPr>
                <w:rFonts w:ascii="Times New Roman" w:eastAsia="Calibri" w:hAnsi="Times New Roman" w:cs="Times New Roman"/>
                <w:sz w:val="16"/>
                <w:szCs w:val="16"/>
              </w:rPr>
              <w:t>, ISCA (2024); Zhong et al., OSDI (2024)</w:t>
            </w:r>
            <w:r w:rsidR="00DC42BA">
              <w:rPr>
                <w:rFonts w:ascii="Times New Roman" w:eastAsia="Calibri" w:hAnsi="Times New Roman" w:cs="Times New Roman"/>
                <w:sz w:val="16"/>
                <w:szCs w:val="16"/>
              </w:rPr>
              <w:t>[1</w:t>
            </w:r>
            <w:r w:rsidR="00766339">
              <w:rPr>
                <w:rFonts w:ascii="Times New Roman" w:eastAsia="Calibri" w:hAnsi="Times New Roman" w:cs="Times New Roman"/>
                <w:sz w:val="16"/>
                <w:szCs w:val="16"/>
              </w:rPr>
              <w:t>8</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Qin et al. (2024)</w:t>
            </w:r>
            <w:r w:rsidR="00DC42BA">
              <w:rPr>
                <w:rFonts w:ascii="Times New Roman" w:eastAsia="Calibri" w:hAnsi="Times New Roman" w:cs="Times New Roman"/>
                <w:sz w:val="16"/>
                <w:szCs w:val="16"/>
              </w:rPr>
              <w:t>[1</w:t>
            </w:r>
            <w:r w:rsidR="00766339">
              <w:rPr>
                <w:rFonts w:ascii="Times New Roman" w:eastAsia="Calibri" w:hAnsi="Times New Roman" w:cs="Times New Roman"/>
                <w:sz w:val="16"/>
                <w:szCs w:val="16"/>
              </w:rPr>
              <w:t>9</w:t>
            </w:r>
            <w:r w:rsidR="00DC42BA">
              <w:rPr>
                <w:rFonts w:ascii="Times New Roman" w:eastAsia="Calibri" w:hAnsi="Times New Roman" w:cs="Times New Roman"/>
                <w:sz w:val="16"/>
                <w:szCs w:val="16"/>
              </w:rPr>
              <w:t>]</w:t>
            </w:r>
          </w:p>
        </w:tc>
      </w:tr>
      <w:tr w:rsidR="00710748" w:rsidRPr="00A025CD" w14:paraId="39E0592A"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1720B1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09A37DC2" w14:textId="3536C0B6"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Drain within window</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41173A4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DRAIN</w:t>
            </w:r>
            <w:r w:rsidRPr="005D1770">
              <w:rPr>
                <w:rFonts w:ascii="Times New Roman" w:eastAsia="Calibri" w:hAnsi="Times New Roman" w:cs="Times New Roman"/>
                <w:sz w:val="16"/>
                <w:szCs w:val="16"/>
                <w:vertAlign w:val="subscript"/>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60C735A4" w:rsidR="001D6E1E" w:rsidRPr="003A1A7B" w:rsidRDefault="003A1A7B" w:rsidP="00036805">
            <w:pPr>
              <w:rPr>
                <w:rFonts w:ascii="Times New Roman" w:hAnsi="Times New Roman" w:cs="Times New Roman"/>
                <w:sz w:val="16"/>
                <w:szCs w:val="16"/>
              </w:rPr>
            </w:pPr>
            <w:r>
              <w:rPr>
                <w:rFonts w:ascii="Times New Roman" w:eastAsia="Calibri" w:hAnsi="Times New Roman" w:cs="Times New Roman"/>
                <w:sz w:val="16"/>
                <w:szCs w:val="16"/>
              </w:rPr>
              <w:t>0.9</w:t>
            </w:r>
            <w:r w:rsidR="00817783">
              <w:rPr>
                <w:rFonts w:ascii="Times New Roman" w:eastAsia="Calibri" w:hAnsi="Times New Roman" w:cs="Times New Roman"/>
                <w:sz w:val="16"/>
                <w:szCs w:val="16"/>
              </w:rPr>
              <w:t>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4D4323A1"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Uniform[0.90,0.98]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15D66214"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P99 drain times 4.5–12.1 s vs. 10-minute minimum dispatch window</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817AF46" w:rsidR="001D6E1E" w:rsidRPr="00E33BC8" w:rsidRDefault="001D6E1E" w:rsidP="00036805">
            <w:pPr>
              <w:rPr>
                <w:rFonts w:ascii="Times New Roman" w:hAnsi="Times New Roman" w:cs="Times New Roman"/>
                <w:sz w:val="16"/>
                <w:szCs w:val="16"/>
              </w:rPr>
            </w:pPr>
            <w:r w:rsidRPr="00E33BC8">
              <w:rPr>
                <w:rFonts w:ascii="Times New Roman" w:eastAsia="Calibri" w:hAnsi="Times New Roman" w:cs="Times New Roman"/>
                <w:sz w:val="16"/>
                <w:szCs w:val="16"/>
              </w:rPr>
              <w:t xml:space="preserve">This paper, Section </w:t>
            </w:r>
            <w:r w:rsidR="00E33BC8" w:rsidRPr="00E33BC8">
              <w:rPr>
                <w:rFonts w:ascii="Times New Roman" w:eastAsia="Calibri" w:hAnsi="Times New Roman" w:cs="Times New Roman"/>
                <w:sz w:val="16"/>
                <w:szCs w:val="16"/>
              </w:rPr>
              <w:t>4</w:t>
            </w:r>
          </w:p>
        </w:tc>
      </w:tr>
      <w:tr w:rsidR="00710748" w:rsidRPr="00A025CD" w14:paraId="469CBED1"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3A778AF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3475D5FC" w14:textId="74F9289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region availability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3323664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DEST</w:t>
            </w:r>
            <w:r w:rsidRPr="005D1770">
              <w:rPr>
                <w:rFonts w:ascii="Times New Roman" w:eastAsia="Calibri" w:hAnsi="Times New Roman" w:cs="Times New Roman"/>
                <w:sz w:val="16"/>
                <w:szCs w:val="16"/>
                <w:vertAlign w:val="subscript"/>
              </w:rPr>
              <w:t>avail</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27728384"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Observed</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33817FD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Per-hour from data</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1B3862DE"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200 ComEd stress hours × unstressed-destination capacities from day-ahead LMP across five RTOs; capacity-weighted any-destination availability 94.5%</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672500B7" w:rsidR="001D6E1E" w:rsidRPr="00093498" w:rsidRDefault="00E33BC8" w:rsidP="00552814">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This paper, Section 3; IEA (2025)</w:t>
            </w:r>
            <w:r w:rsidR="00FA589C">
              <w:rPr>
                <w:rFonts w:ascii="Times New Roman" w:eastAsia="Calibri" w:hAnsi="Times New Roman" w:cs="Times New Roman"/>
                <w:sz w:val="16"/>
                <w:szCs w:val="16"/>
              </w:rPr>
              <w:t>[4]</w:t>
            </w:r>
          </w:p>
        </w:tc>
      </w:tr>
      <w:tr w:rsidR="00710748" w:rsidRPr="00A025CD" w14:paraId="50F58CC2"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3FBECCE9"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9E26A05" w14:textId="76AD214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compute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701752E9" w:rsidR="001D6E1E" w:rsidRPr="00A025CD" w:rsidRDefault="001D6E1E" w:rsidP="00036805">
            <w:pPr>
              <w:rPr>
                <w:rFonts w:ascii="Times New Roman" w:hAnsi="Times New Roman" w:cs="Times New Roman"/>
                <w:sz w:val="16"/>
                <w:szCs w:val="16"/>
              </w:rPr>
            </w:pPr>
            <w:r w:rsidRPr="00A025CD">
              <w:rPr>
                <w:rFonts w:ascii="Times New Roman" w:eastAsia="Calibri" w:hAnsi="Times New Roman" w:cs="Times New Roman"/>
                <w:sz w:val="16"/>
                <w:szCs w:val="16"/>
              </w:rPr>
              <w:t>D</w:t>
            </w:r>
            <w:r w:rsidR="005657DD">
              <w:rPr>
                <w:rFonts w:ascii="Times New Roman" w:eastAsia="Calibri" w:hAnsi="Times New Roman" w:cs="Times New Roman"/>
                <w:sz w:val="16"/>
                <w:szCs w:val="16"/>
              </w:rPr>
              <w:t>EST</w:t>
            </w:r>
            <w:r w:rsidR="005657DD" w:rsidRPr="005D1770">
              <w:rPr>
                <w:rFonts w:ascii="Times New Roman" w:eastAsia="Calibri" w:hAnsi="Times New Roman" w:cs="Times New Roman"/>
                <w:sz w:val="16"/>
                <w:szCs w:val="16"/>
                <w:vertAlign w:val="subscript"/>
              </w:rPr>
              <w:t>absorp</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4775129B"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0.30</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0D85CADF"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Uniform[0.15,0.55]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3D2AA54F"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Headroom × hardware compatibility × pre-staging; literature dispute on utilization (LBNL 40%, IEA 90%, Knittel 80%, Zhou 8</w:t>
            </w:r>
            <w:r w:rsidR="005D043C">
              <w:rPr>
                <w:rFonts w:ascii="Times New Roman" w:eastAsia="Calibri" w:hAnsi="Times New Roman" w:cs="Times New Roman"/>
                <w:sz w:val="16"/>
                <w:szCs w:val="16"/>
              </w:rPr>
              <w:t>1</w:t>
            </w:r>
            <w:r w:rsidRPr="00817783">
              <w:rPr>
                <w:rFonts w:ascii="Times New Roman" w:eastAsia="Calibri" w:hAnsi="Times New Roman" w:cs="Times New Roman"/>
                <w:sz w:val="16"/>
                <w:szCs w:val="16"/>
              </w:rPr>
              <w:t>%, Guidi 75%, Uptime &lt;40%)</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53068508"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Shehabi et al., LBNL (2024)</w:t>
            </w:r>
            <w:r w:rsidR="003729C7">
              <w:rPr>
                <w:rFonts w:ascii="Times New Roman" w:eastAsia="Calibri" w:hAnsi="Times New Roman" w:cs="Times New Roman"/>
                <w:sz w:val="16"/>
                <w:szCs w:val="16"/>
              </w:rPr>
              <w:t>[3]</w:t>
            </w:r>
            <w:r w:rsidRPr="00E33BC8">
              <w:rPr>
                <w:rFonts w:ascii="Times New Roman" w:eastAsia="Calibri" w:hAnsi="Times New Roman" w:cs="Times New Roman"/>
                <w:sz w:val="16"/>
                <w:szCs w:val="16"/>
              </w:rPr>
              <w:t>; IEA (2025)</w:t>
            </w:r>
            <w:r w:rsidR="00FA589C">
              <w:rPr>
                <w:rFonts w:ascii="Times New Roman" w:eastAsia="Calibri" w:hAnsi="Times New Roman" w:cs="Times New Roman"/>
                <w:sz w:val="16"/>
                <w:szCs w:val="16"/>
              </w:rPr>
              <w:t>[4]</w:t>
            </w:r>
            <w:r w:rsidRPr="00E33BC8">
              <w:rPr>
                <w:rFonts w:ascii="Times New Roman" w:eastAsia="Calibri" w:hAnsi="Times New Roman" w:cs="Times New Roman"/>
                <w:sz w:val="16"/>
                <w:szCs w:val="16"/>
              </w:rPr>
              <w:t>; Zhou et al. (2024)</w:t>
            </w:r>
            <w:r w:rsidR="00FA589C">
              <w:rPr>
                <w:rFonts w:ascii="Times New Roman" w:eastAsia="Calibri" w:hAnsi="Times New Roman" w:cs="Times New Roman"/>
                <w:sz w:val="16"/>
                <w:szCs w:val="16"/>
              </w:rPr>
              <w:t>[10]</w:t>
            </w:r>
            <w:r w:rsidRPr="00E33BC8">
              <w:rPr>
                <w:rFonts w:ascii="Times New Roman" w:eastAsia="Calibri" w:hAnsi="Times New Roman" w:cs="Times New Roman"/>
                <w:sz w:val="16"/>
                <w:szCs w:val="16"/>
              </w:rPr>
              <w:t>; Knittel et al. (2025)</w:t>
            </w:r>
            <w:r w:rsidR="00FA589C">
              <w:rPr>
                <w:rFonts w:ascii="Times New Roman" w:eastAsia="Calibri" w:hAnsi="Times New Roman" w:cs="Times New Roman"/>
                <w:sz w:val="16"/>
                <w:szCs w:val="16"/>
              </w:rPr>
              <w:t>[1</w:t>
            </w:r>
            <w:r w:rsidR="00766339">
              <w:rPr>
                <w:rFonts w:ascii="Times New Roman" w:eastAsia="Calibri" w:hAnsi="Times New Roman" w:cs="Times New Roman"/>
                <w:sz w:val="16"/>
                <w:szCs w:val="16"/>
              </w:rPr>
              <w:t>5</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CUDA documentation</w:t>
            </w:r>
            <w:r w:rsidR="00FA589C">
              <w:rPr>
                <w:rFonts w:ascii="Times New Roman" w:eastAsia="Calibri" w:hAnsi="Times New Roman" w:cs="Times New Roman"/>
                <w:sz w:val="16"/>
                <w:szCs w:val="16"/>
              </w:rPr>
              <w:t>[</w:t>
            </w:r>
            <w:r w:rsidR="00D87871">
              <w:rPr>
                <w:rFonts w:ascii="Times New Roman" w:eastAsia="Calibri" w:hAnsi="Times New Roman" w:cs="Times New Roman"/>
                <w:sz w:val="16"/>
                <w:szCs w:val="16"/>
              </w:rPr>
              <w:t>20</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NVIDIA Run:ai Model Streamer (2025)</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1</w:t>
            </w:r>
            <w:r w:rsidR="00FA589C">
              <w:rPr>
                <w:rFonts w:ascii="Times New Roman" w:eastAsia="Calibri" w:hAnsi="Times New Roman" w:cs="Times New Roman"/>
                <w:sz w:val="16"/>
                <w:szCs w:val="16"/>
              </w:rPr>
              <w:t>]</w:t>
            </w:r>
          </w:p>
        </w:tc>
      </w:tr>
      <w:tr w:rsidR="00710748" w:rsidRPr="00A025CD" w14:paraId="1F487BF8"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69D2F287"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 xml:space="preserve">Spatial </w:t>
            </w:r>
          </w:p>
        </w:tc>
        <w:tc>
          <w:tcPr>
            <w:tcW w:w="936" w:type="dxa"/>
            <w:tcBorders>
              <w:top w:val="single" w:sz="4" w:space="0" w:color="666666"/>
              <w:left w:val="single" w:sz="4" w:space="0" w:color="666666"/>
              <w:bottom w:val="single" w:sz="4" w:space="0" w:color="666666"/>
              <w:right w:val="single" w:sz="4" w:space="0" w:color="666666"/>
            </w:tcBorders>
          </w:tcPr>
          <w:p w14:paraId="7EF75135" w14:textId="3F9303C7"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Network adequacy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49D4996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NET</w:t>
            </w:r>
            <w:r w:rsidRPr="005D1770">
              <w:rPr>
                <w:rFonts w:ascii="Times New Roman" w:eastAsia="Calibri" w:hAnsi="Times New Roman" w:cs="Times New Roman"/>
                <w:sz w:val="16"/>
                <w:szCs w:val="16"/>
                <w:vertAlign w:val="subscript"/>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10C02514"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98</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16E2951C"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95</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7C0EA9E9"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Hyperscaler wavelength purchases on a single carrier grew 133% from 18.2 Tb (2020) to 42.4 Tb (2024); Azure inter-region P50 latencies; B4 globally-deployed W</w:t>
            </w:r>
            <w:r w:rsidR="00501678">
              <w:rPr>
                <w:rFonts w:ascii="Times New Roman" w:eastAsia="Calibri" w:hAnsi="Times New Roman" w:cs="Times New Roman"/>
                <w:sz w:val="16"/>
                <w:szCs w:val="16"/>
              </w:rPr>
              <w:t>ide Area Network (WAN)</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667C8D23" w:rsidR="001D6E1E"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Jain et al., ACM SIGCOMM (2013)</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2</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Zayo (2025)</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3</w:t>
            </w:r>
            <w:r w:rsidR="00FA589C">
              <w:rPr>
                <w:rFonts w:ascii="Times New Roman" w:eastAsia="Calibri" w:hAnsi="Times New Roman" w:cs="Times New Roman"/>
                <w:sz w:val="16"/>
                <w:szCs w:val="16"/>
              </w:rPr>
              <w:t>]</w:t>
            </w:r>
          </w:p>
        </w:tc>
      </w:tr>
      <w:tr w:rsidR="00710748" w:rsidRPr="00A025CD" w14:paraId="33089705"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9E3EE7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43D77C1D" w14:textId="1ADF8DE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Orchestration reliability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59993C2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ORCH</w:t>
            </w:r>
            <w:r w:rsidRPr="005D1770">
              <w:rPr>
                <w:rFonts w:ascii="Times New Roman" w:eastAsia="Calibri" w:hAnsi="Times New Roman" w:cs="Times New Roman"/>
                <w:sz w:val="16"/>
                <w:szCs w:val="16"/>
                <w:vertAlign w:val="subscript"/>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432B5A5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2A8E8492" w:rsidR="001D6E1E" w:rsidRPr="00093498" w:rsidRDefault="001D6E1E"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w:t>
            </w:r>
            <w:r w:rsidR="003A1A7B" w:rsidRPr="003A1A7B">
              <w:rPr>
                <w:rFonts w:ascii="Times New Roman" w:eastAsia="Calibri" w:hAnsi="Times New Roman" w:cs="Times New Roman"/>
                <w:sz w:val="16"/>
                <w:szCs w:val="16"/>
              </w:rPr>
              <w:t>88</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14091F97"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Within-facility production precedent at three hyperscalers; cross-facility-grid-dispatch interface novel; load balancer SLAs ≥99.99%</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3E22319B"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Zhang et al., ISCA (2021)</w:t>
            </w:r>
            <w:r w:rsidR="00FA589C">
              <w:rPr>
                <w:rFonts w:ascii="Times New Roman" w:eastAsia="Calibri" w:hAnsi="Times New Roman" w:cs="Times New Roman"/>
                <w:sz w:val="16"/>
                <w:szCs w:val="16"/>
              </w:rPr>
              <w:t>[5]</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4</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xml:space="preserve">; Li et al., OSDI </w:t>
            </w:r>
            <w:r w:rsidRPr="00E33BC8">
              <w:rPr>
                <w:rFonts w:ascii="Times New Roman" w:eastAsia="Calibri" w:hAnsi="Times New Roman" w:cs="Times New Roman"/>
                <w:sz w:val="16"/>
                <w:szCs w:val="16"/>
              </w:rPr>
              <w:lastRenderedPageBreak/>
              <w:t>(2020)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American Public Power Association (2025)</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5</w:t>
            </w:r>
            <w:r w:rsidR="00FA589C">
              <w:rPr>
                <w:rFonts w:ascii="Times New Roman" w:eastAsia="Calibri" w:hAnsi="Times New Roman" w:cs="Times New Roman"/>
                <w:sz w:val="16"/>
                <w:szCs w:val="16"/>
              </w:rPr>
              <w:t>]</w:t>
            </w:r>
          </w:p>
        </w:tc>
      </w:tr>
      <w:tr w:rsidR="00710748" w:rsidRPr="00A025CD" w14:paraId="552F74B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C9269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5AFBCC22" w14:textId="37D2BE0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NIW compute share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66A50B8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NIW</w:t>
            </w:r>
            <w:r w:rsidRPr="005D1770">
              <w:rPr>
                <w:rFonts w:ascii="Times New Roman" w:eastAsia="Calibri" w:hAnsi="Times New Roman" w:cs="Times New Roman"/>
                <w:sz w:val="16"/>
                <w:szCs w:val="16"/>
                <w:vertAlign w:val="subscript"/>
              </w:rPr>
              <w:t>share</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A64A89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28 (B)</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2A90B897" w:rsidR="001D6E1E" w:rsidRPr="00710748"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 xml:space="preserve">Ensemble-dependent;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A: Uniform[0.10, 0.20]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Uniform[0.22, 0.35]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Uniform[0.32, 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64B7AA02"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SageServe O365 Copilot production traces: IW-F + IW-N = 72% of requests/T</w:t>
            </w:r>
            <w:r w:rsidR="003B77C4">
              <w:rPr>
                <w:rFonts w:ascii="Times New Roman" w:eastAsia="Calibri" w:hAnsi="Times New Roman" w:cs="Times New Roman"/>
                <w:sz w:val="16"/>
                <w:szCs w:val="16"/>
              </w:rPr>
              <w:t xml:space="preserve">ransactions per </w:t>
            </w:r>
            <w:r w:rsidRPr="00817783">
              <w:rPr>
                <w:rFonts w:ascii="Times New Roman" w:eastAsia="Calibri" w:hAnsi="Times New Roman" w:cs="Times New Roman"/>
                <w:sz w:val="16"/>
                <w:szCs w:val="16"/>
              </w:rPr>
              <w:t>S</w:t>
            </w:r>
            <w:r w:rsidR="003B77C4">
              <w:rPr>
                <w:rFonts w:ascii="Times New Roman" w:eastAsia="Calibri" w:hAnsi="Times New Roman" w:cs="Times New Roman"/>
                <w:sz w:val="16"/>
                <w:szCs w:val="16"/>
              </w:rPr>
              <w:t>econd (TPS)</w:t>
            </w:r>
            <w:r w:rsidRPr="00817783">
              <w:rPr>
                <w:rFonts w:ascii="Times New Roman" w:eastAsia="Calibri" w:hAnsi="Times New Roman" w:cs="Times New Roman"/>
                <w:sz w:val="16"/>
                <w:szCs w:val="16"/>
              </w:rPr>
              <w:t>, NIW = 28%</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66765422" w:rsidR="001D6E1E" w:rsidRPr="00093498" w:rsidRDefault="00E33BC8" w:rsidP="00036805">
            <w:pPr>
              <w:rPr>
                <w:rFonts w:ascii="Times New Roman" w:hAnsi="Times New Roman" w:cs="Times New Roman"/>
                <w:sz w:val="16"/>
                <w:szCs w:val="16"/>
                <w:highlight w:val="yellow"/>
              </w:rPr>
            </w:pPr>
            <w:r w:rsidRPr="00E33BC8">
              <w:rPr>
                <w:rFonts w:ascii="Times New Roman" w:hAnsi="Times New Roman" w:cs="Times New Roman"/>
                <w:sz w:val="16"/>
                <w:szCs w:val="16"/>
              </w:rPr>
              <w:t>Jaiswal et al. (2025)</w:t>
            </w:r>
            <w:r w:rsidR="00DC42BA">
              <w:rPr>
                <w:rFonts w:ascii="Times New Roman" w:hAnsi="Times New Roman" w:cs="Times New Roman"/>
                <w:sz w:val="16"/>
                <w:szCs w:val="16"/>
              </w:rPr>
              <w:t>[</w:t>
            </w:r>
            <w:r w:rsidR="00482036">
              <w:rPr>
                <w:rFonts w:ascii="Times New Roman" w:hAnsi="Times New Roman" w:cs="Times New Roman"/>
                <w:sz w:val="16"/>
                <w:szCs w:val="16"/>
              </w:rPr>
              <w:t>2</w:t>
            </w:r>
            <w:r w:rsidR="00D87871">
              <w:rPr>
                <w:rFonts w:ascii="Times New Roman" w:hAnsi="Times New Roman" w:cs="Times New Roman"/>
                <w:sz w:val="16"/>
                <w:szCs w:val="16"/>
              </w:rPr>
              <w:t>6</w:t>
            </w:r>
            <w:r w:rsidR="00DC42BA">
              <w:rPr>
                <w:rFonts w:ascii="Times New Roman" w:hAnsi="Times New Roman" w:cs="Times New Roman"/>
                <w:sz w:val="16"/>
                <w:szCs w:val="16"/>
              </w:rPr>
              <w:t>]</w:t>
            </w:r>
          </w:p>
        </w:tc>
      </w:tr>
      <w:tr w:rsidR="00093498" w:rsidRPr="00A025CD" w14:paraId="1CE70ED2"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203B769" w14:textId="55D91543"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3A01F86" w14:textId="17A51BE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 feasibility</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E60C21" w14:textId="7501ED82"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w:t>
            </w:r>
            <w:r w:rsidRPr="005D1770">
              <w:rPr>
                <w:rFonts w:ascii="Times New Roman" w:eastAsia="Calibri" w:hAnsi="Times New Roman" w:cs="Times New Roman"/>
                <w:sz w:val="16"/>
                <w:szCs w:val="16"/>
                <w:vertAlign w:val="subscript"/>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46C2D86" w14:textId="6708FC8E" w:rsidR="00093498"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1B37DB" w14:textId="66018BCF" w:rsidR="00093498"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Uniform[0.80, 0.99] (</w:t>
            </w:r>
            <w:r w:rsidR="0060691A" w:rsidRPr="003A1A7B">
              <w:rPr>
                <w:rFonts w:ascii="Times New Roman" w:eastAsia="Calibri" w:hAnsi="Times New Roman" w:cs="Times New Roman"/>
                <w:sz w:val="16"/>
                <w:szCs w:val="16"/>
              </w:rPr>
              <w:t>sc</w:t>
            </w:r>
            <w:r w:rsidR="0060691A">
              <w:rPr>
                <w:rFonts w:ascii="Times New Roman" w:eastAsia="Calibri" w:hAnsi="Times New Roman" w:cs="Times New Roman"/>
                <w:sz w:val="16"/>
                <w:szCs w:val="16"/>
              </w:rPr>
              <w:t>eanrio</w:t>
            </w:r>
            <w:r w:rsidRPr="003A1A7B">
              <w:rPr>
                <w:rFonts w:ascii="Times New Roman" w:eastAsia="Calibri" w:hAnsi="Times New Roman" w:cs="Times New Roman"/>
                <w:sz w:val="16"/>
                <w:szCs w:val="16"/>
              </w:rPr>
              <w:t>-dependent)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AC604" w14:textId="222767DE" w:rsidR="00093498"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24-hour NIW deadline vs. 6-hour PJM emergency DR profile; production precedent in Google-TVA agreement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9CB7227" w14:textId="25D19368" w:rsidR="00093498"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Jaiswal et al. (2025)</w:t>
            </w:r>
            <w:r w:rsidR="00DC42BA">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6</w:t>
            </w:r>
            <w:r w:rsidR="00DC42BA">
              <w:rPr>
                <w:rFonts w:ascii="Times New Roman" w:eastAsia="Calibri" w:hAnsi="Times New Roman" w:cs="Times New Roman"/>
                <w:sz w:val="16"/>
                <w:szCs w:val="16"/>
              </w:rPr>
              <w:t>]</w:t>
            </w:r>
            <w:r w:rsidRPr="00E33BC8">
              <w:rPr>
                <w:rFonts w:ascii="Times New Roman" w:eastAsia="Calibri" w:hAnsi="Times New Roman" w:cs="Times New Roman"/>
                <w:sz w:val="16"/>
                <w:szCs w:val="16"/>
              </w:rPr>
              <w:t>; American Public Power Association (2025)</w:t>
            </w:r>
            <w:r w:rsidR="00DC42BA">
              <w:rPr>
                <w:rFonts w:ascii="Times New Roman" w:eastAsia="Calibri" w:hAnsi="Times New Roman" w:cs="Times New Roman"/>
                <w:sz w:val="16"/>
                <w:szCs w:val="16"/>
              </w:rPr>
              <w:t>[</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5</w:t>
            </w:r>
            <w:r w:rsidR="00DC42BA">
              <w:rPr>
                <w:rFonts w:ascii="Times New Roman" w:eastAsia="Calibri" w:hAnsi="Times New Roman" w:cs="Times New Roman"/>
                <w:sz w:val="16"/>
                <w:szCs w:val="16"/>
              </w:rPr>
              <w:t>]</w:t>
            </w:r>
          </w:p>
        </w:tc>
      </w:tr>
      <w:tr w:rsidR="00710748" w:rsidRPr="00A025CD" w14:paraId="05C28441"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1ED326B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743D7E7" w14:textId="6F0288AB"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Post-stress queue absorption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645D8081" w:rsidR="001D6E1E" w:rsidRPr="00A025CD" w:rsidRDefault="00093498" w:rsidP="00036805">
            <w:pPr>
              <w:rPr>
                <w:rFonts w:ascii="Times New Roman" w:hAnsi="Times New Roman" w:cs="Times New Roman"/>
                <w:sz w:val="16"/>
                <w:szCs w:val="16"/>
              </w:rPr>
            </w:pPr>
            <w:r>
              <w:rPr>
                <w:rFonts w:ascii="Times New Roman" w:hAnsi="Times New Roman" w:cs="Times New Roman"/>
                <w:sz w:val="16"/>
                <w:szCs w:val="16"/>
              </w:rPr>
              <w:t>QUEUE</w:t>
            </w:r>
            <w:r w:rsidRPr="005D1770">
              <w:rPr>
                <w:rFonts w:ascii="Times New Roman" w:hAnsi="Times New Roman" w:cs="Times New Roman"/>
                <w:sz w:val="16"/>
                <w:szCs w:val="16"/>
                <w:vertAlign w:val="subscript"/>
              </w:rPr>
              <w:t>ok</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2AD9494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85</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6D1E9D8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Uniform[0.65, 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014DDA41"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DynamoLLM peak-to-valley ratios 3.3× to 34.6× at single-facility scale; fleet-scale saturation extrapolation novel</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0BBC1F4B"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Stojkovic et al., HPCA (2025)</w:t>
            </w:r>
            <w:r w:rsidR="00FA589C">
              <w:rPr>
                <w:rFonts w:ascii="Times New Roman" w:eastAsia="Calibri" w:hAnsi="Times New Roman" w:cs="Times New Roman"/>
                <w:sz w:val="16"/>
                <w:szCs w:val="16"/>
              </w:rPr>
              <w:t>[</w:t>
            </w:r>
            <w:r w:rsidR="00900941">
              <w:rPr>
                <w:rFonts w:ascii="Times New Roman" w:eastAsia="Calibri" w:hAnsi="Times New Roman" w:cs="Times New Roman"/>
                <w:sz w:val="16"/>
                <w:szCs w:val="16"/>
              </w:rPr>
              <w:t>6</w:t>
            </w:r>
            <w:r w:rsidR="00FA589C">
              <w:rPr>
                <w:rFonts w:ascii="Times New Roman" w:eastAsia="Calibri" w:hAnsi="Times New Roman" w:cs="Times New Roman"/>
                <w:sz w:val="16"/>
                <w:szCs w:val="16"/>
              </w:rPr>
              <w:t>]</w:t>
            </w:r>
          </w:p>
        </w:tc>
      </w:tr>
      <w:tr w:rsidR="005657DD" w:rsidRPr="00A025CD" w14:paraId="0C15B68B"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7B88878" w14:textId="3A9F406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5D584C44" w14:textId="280A4FE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Sustained peak-power reduction</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F72C364" w14:textId="7217BBD0" w:rsidR="005657DD" w:rsidRPr="00A025CD"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r w:rsidRPr="005D1770">
              <w:rPr>
                <w:rFonts w:ascii="Times New Roman" w:eastAsia="Calibri" w:hAnsi="Times New Roman" w:cs="Times New Roman"/>
                <w:sz w:val="16"/>
                <w:szCs w:val="16"/>
                <w:vertAlign w:val="subscript"/>
              </w:rPr>
              <w:t>headroom</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0BEA261" w14:textId="202565F9"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0.25 (B)</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C682EEA" w14:textId="22D401BC"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 xml:space="preserve">Ensemble-dependent ±0.07; A: 0.18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0.25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0.32</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DCB261" w14:textId="60DB69A5"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25% sustained cluster-level peak power reduction over 3 hours; corroborated by Patel 21% inference headroom and Dynamo Fig. 13 knee</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B41852" w14:textId="04506D95"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Patel et al., ASPLOS (2024)</w:t>
            </w:r>
            <w:r w:rsidR="00FA589C">
              <w:rPr>
                <w:rFonts w:ascii="Times New Roman" w:eastAsia="Calibri" w:hAnsi="Times New Roman" w:cs="Times New Roman"/>
                <w:sz w:val="16"/>
                <w:szCs w:val="16"/>
              </w:rPr>
              <w:t>[</w:t>
            </w:r>
            <w:r w:rsidR="00482036">
              <w:rPr>
                <w:rFonts w:ascii="Times New Roman" w:eastAsia="Calibri" w:hAnsi="Times New Roman" w:cs="Times New Roman"/>
                <w:sz w:val="16"/>
                <w:szCs w:val="16"/>
              </w:rPr>
              <w:t>2</w:t>
            </w:r>
            <w:r w:rsidR="00D87871">
              <w:rPr>
                <w:rFonts w:ascii="Times New Roman" w:eastAsia="Calibri" w:hAnsi="Times New Roman" w:cs="Times New Roman"/>
                <w:sz w:val="16"/>
                <w:szCs w:val="16"/>
              </w:rPr>
              <w:t>7</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Wu et al., ISCA (2016)</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4</w:t>
            </w:r>
            <w:r w:rsidR="00FA589C">
              <w:rPr>
                <w:rFonts w:ascii="Times New Roman" w:eastAsia="Calibri" w:hAnsi="Times New Roman" w:cs="Times New Roman"/>
                <w:sz w:val="16"/>
                <w:szCs w:val="16"/>
              </w:rPr>
              <w:t>]</w:t>
            </w:r>
            <w:r w:rsidRPr="00E33BC8">
              <w:rPr>
                <w:rFonts w:ascii="Times New Roman" w:eastAsia="Calibri" w:hAnsi="Times New Roman" w:cs="Times New Roman"/>
                <w:sz w:val="16"/>
                <w:szCs w:val="16"/>
              </w:rPr>
              <w:t>; Kakolyris et al., IEEE CAL (2024)</w:t>
            </w:r>
            <w:r w:rsidR="00FA589C">
              <w:rPr>
                <w:rFonts w:ascii="Times New Roman" w:eastAsia="Calibri" w:hAnsi="Times New Roman" w:cs="Times New Roman"/>
                <w:sz w:val="16"/>
                <w:szCs w:val="16"/>
              </w:rPr>
              <w:t>[2</w:t>
            </w:r>
            <w:r w:rsidR="00D87871">
              <w:rPr>
                <w:rFonts w:ascii="Times New Roman" w:eastAsia="Calibri" w:hAnsi="Times New Roman" w:cs="Times New Roman"/>
                <w:sz w:val="16"/>
                <w:szCs w:val="16"/>
              </w:rPr>
              <w:t>8</w:t>
            </w:r>
            <w:r w:rsidR="00FA589C">
              <w:rPr>
                <w:rFonts w:ascii="Times New Roman" w:eastAsia="Calibri" w:hAnsi="Times New Roman" w:cs="Times New Roman"/>
                <w:sz w:val="16"/>
                <w:szCs w:val="16"/>
              </w:rPr>
              <w:t>]</w:t>
            </w:r>
          </w:p>
        </w:tc>
      </w:tr>
      <w:tr w:rsidR="005657DD" w:rsidRPr="00A025CD" w14:paraId="33A3E88A" w14:textId="77777777" w:rsidTr="00AA2EA2">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77266C1" w14:textId="72CA863A"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3ADCCAF6" w14:textId="0C391865"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Within-window S</w:t>
            </w:r>
            <w:r w:rsidR="00501678">
              <w:rPr>
                <w:rFonts w:ascii="Times New Roman" w:eastAsia="Calibri" w:hAnsi="Times New Roman" w:cs="Times New Roman"/>
                <w:sz w:val="16"/>
                <w:szCs w:val="16"/>
              </w:rPr>
              <w:t xml:space="preserve">ervice </w:t>
            </w:r>
            <w:r>
              <w:rPr>
                <w:rFonts w:ascii="Times New Roman" w:eastAsia="Calibri" w:hAnsi="Times New Roman" w:cs="Times New Roman"/>
                <w:sz w:val="16"/>
                <w:szCs w:val="16"/>
              </w:rPr>
              <w:t>L</w:t>
            </w:r>
            <w:r w:rsidR="00501678">
              <w:rPr>
                <w:rFonts w:ascii="Times New Roman" w:eastAsia="Calibri" w:hAnsi="Times New Roman" w:cs="Times New Roman"/>
                <w:sz w:val="16"/>
                <w:szCs w:val="16"/>
              </w:rPr>
              <w:t xml:space="preserve">evel </w:t>
            </w:r>
            <w:r>
              <w:rPr>
                <w:rFonts w:ascii="Times New Roman" w:eastAsia="Calibri" w:hAnsi="Times New Roman" w:cs="Times New Roman"/>
                <w:sz w:val="16"/>
                <w:szCs w:val="16"/>
              </w:rPr>
              <w:t>O</w:t>
            </w:r>
            <w:r w:rsidR="00501678">
              <w:rPr>
                <w:rFonts w:ascii="Times New Roman" w:eastAsia="Calibri" w:hAnsi="Times New Roman" w:cs="Times New Roman"/>
                <w:sz w:val="16"/>
                <w:szCs w:val="16"/>
              </w:rPr>
              <w:t>bjective</w:t>
            </w:r>
            <w:r>
              <w:rPr>
                <w:rFonts w:ascii="Times New Roman" w:eastAsia="Calibri" w:hAnsi="Times New Roman" w:cs="Times New Roman"/>
                <w:sz w:val="16"/>
                <w:szCs w:val="16"/>
              </w:rPr>
              <w:t xml:space="preserve"> compliance</w:t>
            </w:r>
          </w:p>
        </w:tc>
        <w:tc>
          <w:tcPr>
            <w:tcW w:w="140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6318D5" w14:textId="138D0A6F" w:rsidR="005657DD"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r w:rsidRPr="005D1770">
              <w:rPr>
                <w:rFonts w:ascii="Times New Roman" w:eastAsia="Calibri" w:hAnsi="Times New Roman" w:cs="Times New Roman"/>
                <w:sz w:val="16"/>
                <w:szCs w:val="16"/>
                <w:vertAlign w:val="subscript"/>
              </w:rPr>
              <w:t>reliabilit</w:t>
            </w:r>
            <w:r w:rsidR="00093498" w:rsidRPr="005D1770">
              <w:rPr>
                <w:rFonts w:ascii="Times New Roman" w:eastAsia="Calibri" w:hAnsi="Times New Roman" w:cs="Times New Roman"/>
                <w:sz w:val="16"/>
                <w:szCs w:val="16"/>
                <w:vertAlign w:val="subscript"/>
              </w:rPr>
              <w:t>y</w:t>
            </w:r>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BBC7892" w14:textId="612B5D7C"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0.98</w:t>
            </w:r>
          </w:p>
        </w:tc>
        <w:tc>
          <w:tcPr>
            <w:tcW w:w="189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6A6709" w14:textId="15BDF1C7"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Uniform[0.95, 0.995]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4FF909F" w14:textId="156CF08D"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zero SLA violations across 33 experiments / 212 jobs; corroborated by Thunderbolt and Flex production precedent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5C0120" w14:textId="51920081"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w:t>
            </w:r>
            <w:r w:rsidR="00FA589C">
              <w:rPr>
                <w:rFonts w:ascii="Times New Roman" w:eastAsia="Calibri" w:hAnsi="Times New Roman" w:cs="Times New Roman"/>
                <w:sz w:val="16"/>
                <w:szCs w:val="16"/>
              </w:rPr>
              <w:t>[8]</w:t>
            </w:r>
            <w:r w:rsidRPr="00E33BC8">
              <w:rPr>
                <w:rFonts w:ascii="Times New Roman" w:eastAsia="Calibri" w:hAnsi="Times New Roman" w:cs="Times New Roman"/>
                <w:sz w:val="16"/>
                <w:szCs w:val="16"/>
              </w:rPr>
              <w:t>; Li et al., OSDI (2020)</w:t>
            </w:r>
            <w:r w:rsidR="00FA589C">
              <w:rPr>
                <w:rFonts w:ascii="Times New Roman" w:eastAsia="Calibri" w:hAnsi="Times New Roman" w:cs="Times New Roman"/>
                <w:sz w:val="16"/>
                <w:szCs w:val="16"/>
              </w:rPr>
              <w:t>[7]</w:t>
            </w:r>
            <w:r w:rsidRPr="00E33BC8">
              <w:rPr>
                <w:rFonts w:ascii="Times New Roman" w:eastAsia="Calibri" w:hAnsi="Times New Roman" w:cs="Times New Roman"/>
                <w:sz w:val="16"/>
                <w:szCs w:val="16"/>
              </w:rPr>
              <w:t>; Zhang et al., ISCA (2021)</w:t>
            </w:r>
            <w:r w:rsidR="00FA589C">
              <w:rPr>
                <w:rFonts w:ascii="Times New Roman" w:eastAsia="Calibri" w:hAnsi="Times New Roman" w:cs="Times New Roman"/>
                <w:sz w:val="16"/>
                <w:szCs w:val="16"/>
              </w:rPr>
              <w:t>[5]</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4BE0B5C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Composition formulas</w:t>
      </w:r>
    </w:p>
    <w:p w14:paraId="06AB9ED8" w14:textId="331BF560"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three </w:t>
      </w:r>
      <w:r w:rsidR="00102C3F">
        <w:rPr>
          <w:rFonts w:ascii="Times New Roman" w:hAnsi="Times New Roman" w:cs="Times New Roman"/>
          <w:bCs/>
        </w:rPr>
        <w:t>sub</w:t>
      </w:r>
      <w:r w:rsidRPr="00C74245">
        <w:rPr>
          <w:rFonts w:ascii="Times New Roman" w:hAnsi="Times New Roman" w:cs="Times New Roman"/>
          <w:bCs/>
        </w:rPr>
        <w:t>-</w:t>
      </w:r>
      <w:r w:rsidR="0060691A">
        <w:rPr>
          <w:rFonts w:ascii="Times New Roman" w:hAnsi="Times New Roman" w:cs="Times New Roman"/>
          <w:bCs/>
        </w:rPr>
        <w:t>models</w:t>
      </w:r>
      <w:r w:rsidRPr="00C74245">
        <w:rPr>
          <w:rFonts w:ascii="Times New Roman" w:hAnsi="Times New Roman" w:cs="Times New Roman"/>
          <w:bCs/>
        </w:rPr>
        <w:t xml:space="preserve"> com</w:t>
      </w:r>
      <w:r w:rsidR="005D1770">
        <w:rPr>
          <w:rFonts w:ascii="Times New Roman" w:hAnsi="Times New Roman" w:cs="Times New Roman"/>
          <w:bCs/>
        </w:rPr>
        <w:t>bine</w:t>
      </w:r>
      <w:r w:rsidRPr="00C74245">
        <w:rPr>
          <w:rFonts w:ascii="Times New Roman" w:hAnsi="Times New Roman" w:cs="Times New Roman"/>
          <w:bCs/>
        </w:rPr>
        <w:t xml:space="preserve"> multiplicatively within mechanism and additively across mechanisms with sequential ordering:</w:t>
      </w:r>
    </w:p>
    <w:p w14:paraId="00F97361"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Spatial mechanism:</w:t>
      </w:r>
    </w:p>
    <w:p w14:paraId="7CCBF879" w14:textId="1442AFCC" w:rsidR="00C74245" w:rsidRPr="00C74245" w:rsidRDefault="00000000" w:rsidP="00C74245">
      <w:pPr>
        <w:rPr>
          <w:rFonts w:ascii="Times New Roman" w:hAnsi="Times New Roman" w:cs="Times New Roman"/>
          <w:bCs/>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 (nameplate × (1/PUE) × φ_inf,scenario) × (</m:t>
          </m:r>
          <m:sSub>
            <m:sSubPr>
              <m:ctrlPr>
                <w:rPr>
                  <w:rFonts w:ascii="Cambria Math" w:hAnsi="Cambria Math" w:cs="Times New Roman"/>
                  <w:i/>
                </w:rPr>
              </m:ctrlPr>
            </m:sSubPr>
            <m:e>
              <m:r>
                <w:rPr>
                  <w:rFonts w:ascii="Cambria Math" w:hAnsi="Cambria Math" w:cs="Times New Roman"/>
                </w:rPr>
                <m:t>MIG</m:t>
              </m:r>
            </m:e>
            <m:sub>
              <m:r>
                <w:rPr>
                  <w:rFonts w:ascii="Cambria Math" w:hAnsi="Cambria Math" w:cs="Times New Roman"/>
                </w:rPr>
                <m:t>elig</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Drain</m:t>
              </m:r>
            </m:e>
            <m:sub>
              <m:r>
                <w:rPr>
                  <w:rFonts w:ascii="Cambria Math" w:hAnsi="Cambria Math" w:cs="Times New Roman"/>
                </w:rPr>
                <m:t>ok</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DEST</m:t>
              </m:r>
            </m:e>
            <m:sub>
              <m:r>
                <w:rPr>
                  <w:rFonts w:ascii="Cambria Math" w:hAnsi="Cambria Math" w:cs="Times New Roman"/>
                </w:rPr>
                <m:t>avail</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DEST</m:t>
              </m:r>
            </m:e>
            <m:sub>
              <m:r>
                <w:rPr>
                  <w:rFonts w:ascii="Cambria Math" w:hAnsi="Cambria Math" w:cs="Times New Roman"/>
                </w:rPr>
                <m:t>absorb</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ok</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ORCH</m:t>
              </m:r>
            </m:e>
            <m:sub>
              <m:r>
                <w:rPr>
                  <w:rFonts w:ascii="Cambria Math" w:hAnsi="Cambria Math" w:cs="Times New Roman"/>
                </w:rPr>
                <m:t>ok</m:t>
              </m:r>
            </m:sub>
          </m:sSub>
          <m:r>
            <w:rPr>
              <w:rFonts w:ascii="Cambria Math" w:hAnsi="Cambria Math" w:cs="Times New Roman"/>
            </w:rPr>
            <m:t>)</m:t>
          </m:r>
        </m:oMath>
      </m:oMathPara>
    </w:p>
    <w:p w14:paraId="3808288E"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Deferral mechanism (sequential, on residual after spatial):</w:t>
      </w:r>
    </w:p>
    <w:p w14:paraId="2C089280" w14:textId="1E2ED3A4" w:rsidR="00C74245" w:rsidRPr="00C74245" w:rsidRDefault="00000000"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NI</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share</m:t>
                  </m:r>
                </m:sub>
              </m:sSub>
              <m:r>
                <w:rPr>
                  <w:rFonts w:ascii="Cambria Math" w:hAnsi="Cambria Math" w:cs="Times New Roman"/>
                </w:rPr>
                <m:t>× WINDO</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ok</m:t>
                  </m:r>
                </m:sub>
              </m:sSub>
              <m:r>
                <w:rPr>
                  <w:rFonts w:ascii="Cambria Math" w:hAnsi="Cambria Math" w:cs="Times New Roman"/>
                </w:rPr>
                <m:t>× QUEU</m:t>
              </m:r>
              <m:sSub>
                <m:sSubPr>
                  <m:ctrlPr>
                    <w:rPr>
                      <w:rFonts w:ascii="Cambria Math" w:hAnsi="Cambria Math" w:cs="Times New Roman"/>
                      <w:bCs/>
                      <w:i/>
                    </w:rPr>
                  </m:ctrlPr>
                </m:sSubPr>
                <m:e>
                  <m:r>
                    <w:rPr>
                      <w:rFonts w:ascii="Cambria Math" w:hAnsi="Cambria Math" w:cs="Times New Roman"/>
                    </w:rPr>
                    <m:t>E</m:t>
                  </m:r>
                </m:e>
                <m:sub>
                  <m:r>
                    <w:rPr>
                      <w:rFonts w:ascii="Cambria Math" w:hAnsi="Cambria Math" w:cs="Times New Roman"/>
                    </w:rPr>
                    <m:t>ok</m:t>
                  </m:r>
                </m:sub>
              </m:sSub>
            </m:e>
          </m:d>
        </m:oMath>
      </m:oMathPara>
    </w:p>
    <w:p w14:paraId="5FE8F3D7"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DVFS mechanism (sequential, on residual after spatial + deferral):</w:t>
      </w:r>
    </w:p>
    <w:p w14:paraId="06DF79EB" w14:textId="21AB001E" w:rsidR="00C74245" w:rsidRPr="00C74245" w:rsidRDefault="00000000"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headroom</m:t>
                  </m:r>
                </m:sub>
              </m:sSub>
              <m:r>
                <w:rPr>
                  <w:rFonts w:ascii="Cambria Math" w:hAnsi="Cambria Math" w:cs="Times New Roman"/>
                </w:rPr>
                <m:t>× 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reliability</m:t>
                  </m:r>
                </m:sub>
              </m:sSub>
            </m:e>
          </m:d>
        </m:oMath>
      </m:oMathPara>
    </w:p>
    <w:p w14:paraId="4654D4A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Total commitment depth per facility MW:</w:t>
      </w:r>
    </w:p>
    <w:p w14:paraId="3F700CC6" w14:textId="538D09DD" w:rsidR="00C74245" w:rsidRPr="00C74245" w:rsidRDefault="002A3C16" w:rsidP="00C74245">
      <w:pPr>
        <w:rPr>
          <w:rFonts w:ascii="Times New Roman" w:hAnsi="Times New Roman" w:cs="Times New Roman"/>
          <w:bCs/>
        </w:rPr>
      </w:pPr>
      <m:oMathPara>
        <m:oMath>
          <m:r>
            <w:rPr>
              <w:rFonts w:ascii="Cambria Math" w:hAnsi="Cambria Math" w:cs="Times New Roman"/>
            </w:rPr>
            <m:t>Commitment depth =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 nameplate</m:t>
          </m:r>
        </m:oMath>
      </m:oMathPara>
    </w:p>
    <w:p w14:paraId="35A5B7A8" w14:textId="77777777" w:rsidR="002E5E67" w:rsidRDefault="002E5E67" w:rsidP="00C74245">
      <w:pPr>
        <w:rPr>
          <w:rFonts w:ascii="Times New Roman" w:hAnsi="Times New Roman" w:cs="Times New Roman"/>
          <w:bCs/>
        </w:rPr>
      </w:pPr>
    </w:p>
    <w:p w14:paraId="452774A0" w14:textId="64C04AE9" w:rsidR="00C74245" w:rsidRPr="00C74245" w:rsidRDefault="002E5E67" w:rsidP="00C74245">
      <w:pPr>
        <w:rPr>
          <w:rFonts w:ascii="Times New Roman" w:hAnsi="Times New Roman" w:cs="Times New Roman"/>
          <w:bCs/>
        </w:rPr>
      </w:pPr>
      <w:r w:rsidRPr="002E5E67">
        <w:rPr>
          <w:rFonts w:ascii="Times New Roman" w:hAnsi="Times New Roman" w:cs="Times New Roman"/>
          <w:bCs/>
        </w:rPr>
        <w:t>The sequential ordering implements the overlap correction between DVFS and deferral. Colangelo et al.'s observation that 25% peak-power reduction translates to only 5% energy reduction confirms that DVFS at the source partially substitutes for deferral</w:t>
      </w:r>
      <w:r w:rsidR="000350AC">
        <w:rPr>
          <w:rFonts w:ascii="Times New Roman" w:hAnsi="Times New Roman" w:cs="Times New Roman"/>
          <w:bCs/>
        </w:rPr>
        <w:t>[8]</w:t>
      </w:r>
      <w:r w:rsidRPr="002E5E67">
        <w:rPr>
          <w:rFonts w:ascii="Times New Roman" w:hAnsi="Times New Roman" w:cs="Times New Roman"/>
          <w:bCs/>
        </w:rPr>
        <w:t>; the sequential ordering ensures the same megawatt of</w:t>
      </w:r>
      <w:r w:rsidR="000350AC">
        <w:rPr>
          <w:rFonts w:ascii="Times New Roman" w:hAnsi="Times New Roman" w:cs="Times New Roman"/>
          <w:bCs/>
        </w:rPr>
        <w:t xml:space="preserve"> non-interactive</w:t>
      </w:r>
      <w:r w:rsidRPr="002E5E67">
        <w:rPr>
          <w:rFonts w:ascii="Times New Roman" w:hAnsi="Times New Roman" w:cs="Times New Roman"/>
          <w:bCs/>
        </w:rPr>
        <w:t xml:space="preserve"> </w:t>
      </w:r>
      <w:r w:rsidR="000350AC">
        <w:rPr>
          <w:rFonts w:ascii="Times New Roman" w:hAnsi="Times New Roman" w:cs="Times New Roman"/>
          <w:bCs/>
        </w:rPr>
        <w:t>work</w:t>
      </w:r>
      <w:r w:rsidRPr="002E5E67">
        <w:rPr>
          <w:rFonts w:ascii="Times New Roman" w:hAnsi="Times New Roman" w:cs="Times New Roman"/>
          <w:bCs/>
        </w:rPr>
        <w:t>load</w:t>
      </w:r>
      <w:r w:rsidR="000350AC">
        <w:rPr>
          <w:rFonts w:ascii="Times New Roman" w:hAnsi="Times New Roman" w:cs="Times New Roman"/>
          <w:bCs/>
        </w:rPr>
        <w:t xml:space="preserve"> (NIW)</w:t>
      </w:r>
      <w:r w:rsidRPr="002E5E67">
        <w:rPr>
          <w:rFonts w:ascii="Times New Roman" w:hAnsi="Times New Roman" w:cs="Times New Roman"/>
          <w:bCs/>
        </w:rPr>
        <w:t xml:space="preserve"> is either deferred or DVFS-reduced, not both.</w:t>
      </w:r>
      <w:r w:rsidR="000350AC">
        <w:rPr>
          <w:rFonts w:ascii="Times New Roman" w:hAnsi="Times New Roman" w:cs="Times New Roman"/>
          <w:bCs/>
        </w:rPr>
        <w:t xml:space="preserve"> </w:t>
      </w:r>
      <w:r w:rsidR="00501678" w:rsidRPr="00501678">
        <w:rPr>
          <w:rFonts w:ascii="Times New Roman" w:hAnsi="Times New Roman" w:cs="Times New Roman"/>
          <w:bCs/>
        </w:rPr>
        <w:t>The Power Usage Effectiveness (PUE) assumption of 1.3, the ratio of total facility power to IT-equipment power, is applied at the megawatt-translation layer inside the spatial composition formula above</w:t>
      </w:r>
      <w:r w:rsidR="00C74245" w:rsidRPr="00C74245">
        <w:rPr>
          <w:rFonts w:ascii="Times New Roman" w:hAnsi="Times New Roman" w:cs="Times New Roman"/>
          <w:bCs/>
        </w:rPr>
        <w:t>. Translations to facility-metered quantities in Section 6 therefore do not require an additional PUE step; commitment depth is reported as a fraction of facility nameplate directly.</w:t>
      </w:r>
    </w:p>
    <w:p w14:paraId="15B203E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Conditional Monte Carlo simulation</w:t>
      </w:r>
    </w:p>
    <w:p w14:paraId="694B9BD6" w14:textId="5B6146E1" w:rsidR="00C74245" w:rsidRPr="00C74245" w:rsidRDefault="00C74245" w:rsidP="00C74245">
      <w:pPr>
        <w:rPr>
          <w:rFonts w:ascii="Times New Roman" w:hAnsi="Times New Roman" w:cs="Times New Roman"/>
          <w:bCs/>
        </w:rPr>
      </w:pPr>
      <w:r w:rsidRPr="00C74245">
        <w:rPr>
          <w:rFonts w:ascii="Times New Roman" w:hAnsi="Times New Roman" w:cs="Times New Roman"/>
          <w:bCs/>
        </w:rPr>
        <w:t>For each of the 200 ComEd stress hours, the conditional Monte Carlo simulation identifies the set of unstressed destination zones from DA LMP flags (the DEST</w:t>
      </w:r>
      <w:r w:rsidRPr="005D1770">
        <w:rPr>
          <w:rFonts w:ascii="Times New Roman" w:hAnsi="Times New Roman" w:cs="Times New Roman"/>
          <w:bCs/>
          <w:vertAlign w:val="subscript"/>
        </w:rPr>
        <w:t>avail</w:t>
      </w:r>
      <w:r w:rsidRPr="00C74245">
        <w:rPr>
          <w:rFonts w:ascii="Times New Roman" w:hAnsi="Times New Roman" w:cs="Times New Roman"/>
          <w:bCs/>
        </w:rPr>
        <w:t xml:space="preserve"> observation) and uses their realized capacities directly. For each unstressed destination, available headroom is computed as destination capacity × DEST</w:t>
      </w:r>
      <w:r w:rsidRPr="005D1770">
        <w:rPr>
          <w:rFonts w:ascii="Times New Roman" w:hAnsi="Times New Roman" w:cs="Times New Roman"/>
          <w:bCs/>
          <w:vertAlign w:val="subscript"/>
        </w:rPr>
        <w:t>absorb</w:t>
      </w:r>
      <w:r w:rsidRPr="00C74245">
        <w:rPr>
          <w:rFonts w:ascii="Times New Roman" w:hAnsi="Times New Roman" w:cs="Times New Roman"/>
          <w:bCs/>
        </w:rPr>
        <w:t>. Migrating demand from the source facility or fleet is allocated across destinations in proportion to available headroom; when aggregate demand exceeds aggregate headroom, destinations fill to their individual capacities and the unallocated demand contributes nothing to the spatial mechanism (but the deferral and DVFS mechanisms still contribute on the residual).</w:t>
      </w:r>
    </w:p>
    <w:p w14:paraId="14A65D6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lastRenderedPageBreak/>
        <w:t>The conditional MC uses the following parameter scheme:</w:t>
      </w:r>
    </w:p>
    <w:p w14:paraId="4D5ADBAA" w14:textId="3DE91289" w:rsidR="00C74245" w:rsidRPr="00C74245" w:rsidRDefault="00C74245" w:rsidP="00C74245">
      <w:pPr>
        <w:rPr>
          <w:rFonts w:ascii="Times New Roman" w:hAnsi="Times New Roman" w:cs="Times New Roman"/>
          <w:bCs/>
        </w:rPr>
      </w:pPr>
      <w:r w:rsidRPr="00C74245">
        <w:rPr>
          <w:rFonts w:ascii="Times New Roman" w:hAnsi="Times New Roman" w:cs="Times New Roman"/>
          <w:b/>
          <w:bCs/>
        </w:rPr>
        <w:t>Observed per-hour from empirical data (1 parameter):</w:t>
      </w:r>
      <w:r w:rsidRPr="00C74245">
        <w:rPr>
          <w:rFonts w:ascii="Times New Roman" w:hAnsi="Times New Roman" w:cs="Times New Roman"/>
          <w:bCs/>
        </w:rPr>
        <w:t xml:space="preserve"> DEST</w:t>
      </w:r>
      <w:r w:rsidRPr="005D1770">
        <w:rPr>
          <w:rFonts w:ascii="Times New Roman" w:hAnsi="Times New Roman" w:cs="Times New Roman"/>
          <w:bCs/>
          <w:vertAlign w:val="subscript"/>
        </w:rPr>
        <w:t>avail</w:t>
      </w:r>
      <w:r w:rsidRPr="00C74245">
        <w:rPr>
          <w:rFonts w:ascii="Times New Roman" w:hAnsi="Times New Roman" w:cs="Times New Roman"/>
          <w:bCs/>
        </w:rPr>
        <w:t>. The simulation conditions on the empirical realization rather than drawing from a distribution; this is the "conditional" in conditional Monte Carlo.</w:t>
      </w:r>
    </w:p>
    <w:p w14:paraId="31A9E406" w14:textId="6CCD1CCA" w:rsidR="00C74245" w:rsidRPr="00C74245" w:rsidRDefault="00C74245" w:rsidP="00C74245">
      <w:pPr>
        <w:rPr>
          <w:rFonts w:ascii="Times New Roman" w:hAnsi="Times New Roman" w:cs="Times New Roman"/>
          <w:bCs/>
        </w:rPr>
      </w:pPr>
      <w:r w:rsidRPr="00C74245">
        <w:rPr>
          <w:rFonts w:ascii="Times New Roman" w:hAnsi="Times New Roman" w:cs="Times New Roman"/>
          <w:b/>
          <w:bCs/>
        </w:rPr>
        <w:t>Drawn independently per iteration from specified distributions (3 parameters):</w:t>
      </w:r>
      <w:r w:rsidRPr="00C74245">
        <w:rPr>
          <w:rFonts w:ascii="Times New Roman" w:hAnsi="Times New Roman" w:cs="Times New Roman"/>
          <w:bCs/>
        </w:rPr>
        <w:t xml:space="preserve"> DEST</w:t>
      </w:r>
      <w:r w:rsidRPr="005D1770">
        <w:rPr>
          <w:rFonts w:ascii="Times New Roman" w:hAnsi="Times New Roman" w:cs="Times New Roman"/>
          <w:bCs/>
          <w:vertAlign w:val="subscript"/>
        </w:rPr>
        <w:t>absorb</w:t>
      </w:r>
      <w:r w:rsidRPr="00C74245">
        <w:rPr>
          <w:rFonts w:ascii="Times New Roman" w:hAnsi="Times New Roman" w:cs="Times New Roman"/>
          <w:bCs/>
        </w:rPr>
        <w:t xml:space="preserve"> (Uniform[0.15, 0.55]), QUEUE</w:t>
      </w:r>
      <w:r w:rsidRPr="005D1770">
        <w:rPr>
          <w:rFonts w:ascii="Times New Roman" w:hAnsi="Times New Roman" w:cs="Times New Roman"/>
          <w:bCs/>
          <w:vertAlign w:val="subscript"/>
        </w:rPr>
        <w:t>ok</w:t>
      </w:r>
      <w:r w:rsidRPr="00C74245">
        <w:rPr>
          <w:rFonts w:ascii="Times New Roman" w:hAnsi="Times New Roman" w:cs="Times New Roman"/>
          <w:bCs/>
        </w:rPr>
        <w:t xml:space="preserve"> (Uniform[0.65, 0.98]), and one of NIW_share / DVFS</w:t>
      </w:r>
      <w:r w:rsidRPr="005D1770">
        <w:rPr>
          <w:rFonts w:ascii="Times New Roman" w:hAnsi="Times New Roman" w:cs="Times New Roman"/>
          <w:bCs/>
          <w:vertAlign w:val="subscript"/>
        </w:rPr>
        <w:t>headroom</w:t>
      </w:r>
      <w:r w:rsidRPr="00C74245">
        <w:rPr>
          <w:rFonts w:ascii="Times New Roman" w:hAnsi="Times New Roman" w:cs="Times New Roman"/>
          <w:bCs/>
        </w:rPr>
        <w:t xml:space="preserve"> per ensemble specification. These represent the residual absorption uncertainty the operator cannot observe at commitment time.</w:t>
      </w:r>
    </w:p>
    <w:p w14:paraId="5D9D76CC" w14:textId="79F8FD95" w:rsidR="00C74245" w:rsidRPr="00C74245" w:rsidRDefault="00C74245" w:rsidP="00C74245">
      <w:pPr>
        <w:rPr>
          <w:rFonts w:ascii="Times New Roman" w:hAnsi="Times New Roman" w:cs="Times New Roman"/>
          <w:bCs/>
        </w:rPr>
      </w:pPr>
      <w:r w:rsidRPr="00C74245">
        <w:rPr>
          <w:rFonts w:ascii="Times New Roman" w:hAnsi="Times New Roman" w:cs="Times New Roman"/>
          <w:b/>
          <w:bCs/>
        </w:rPr>
        <w:t>Held fixed at central values (7 parameters):</w:t>
      </w:r>
      <w:r w:rsidRPr="00C74245">
        <w:rPr>
          <w:rFonts w:ascii="Times New Roman" w:hAnsi="Times New Roman" w:cs="Times New Roman"/>
          <w:bCs/>
        </w:rPr>
        <w:t xml:space="preserve"> φ_inf at the scope-scenario value (run separately for mixed-use and inference-dominant), MIG</w:t>
      </w:r>
      <w:r w:rsidRPr="005D1770">
        <w:rPr>
          <w:rFonts w:ascii="Times New Roman" w:hAnsi="Times New Roman" w:cs="Times New Roman"/>
          <w:bCs/>
          <w:vertAlign w:val="subscript"/>
        </w:rPr>
        <w:t>elig</w:t>
      </w:r>
      <w:r w:rsidRPr="00C74245">
        <w:rPr>
          <w:rFonts w:ascii="Times New Roman" w:hAnsi="Times New Roman" w:cs="Times New Roman"/>
          <w:bCs/>
        </w:rPr>
        <w:t xml:space="preserve"> = 0.65, DRAIN</w:t>
      </w:r>
      <w:r w:rsidRPr="005D1770">
        <w:rPr>
          <w:rFonts w:ascii="Times New Roman" w:hAnsi="Times New Roman" w:cs="Times New Roman"/>
          <w:bCs/>
          <w:vertAlign w:val="subscript"/>
        </w:rPr>
        <w:t>ok</w:t>
      </w:r>
      <w:r w:rsidRPr="00C74245">
        <w:rPr>
          <w:rFonts w:ascii="Times New Roman" w:hAnsi="Times New Roman" w:cs="Times New Roman"/>
          <w:bCs/>
        </w:rPr>
        <w:t xml:space="preserve"> = 0.95, NET</w:t>
      </w:r>
      <w:r w:rsidRPr="005D1770">
        <w:rPr>
          <w:rFonts w:ascii="Times New Roman" w:hAnsi="Times New Roman" w:cs="Times New Roman"/>
          <w:bCs/>
          <w:vertAlign w:val="subscript"/>
        </w:rPr>
        <w:t>ok</w:t>
      </w:r>
      <w:r w:rsidRPr="00C74245">
        <w:rPr>
          <w:rFonts w:ascii="Times New Roman" w:hAnsi="Times New Roman" w:cs="Times New Roman"/>
          <w:bCs/>
        </w:rPr>
        <w:t xml:space="preserve"> = 0.98, ORCH</w:t>
      </w:r>
      <w:r w:rsidRPr="005D1770">
        <w:rPr>
          <w:rFonts w:ascii="Times New Roman" w:hAnsi="Times New Roman" w:cs="Times New Roman"/>
          <w:bCs/>
          <w:vertAlign w:val="subscript"/>
        </w:rPr>
        <w:t>ok</w:t>
      </w:r>
      <w:r w:rsidRPr="00C74245">
        <w:rPr>
          <w:rFonts w:ascii="Times New Roman" w:hAnsi="Times New Roman" w:cs="Times New Roman"/>
          <w:bCs/>
        </w:rPr>
        <w:t xml:space="preserve"> = 0.95, WINDOW</w:t>
      </w:r>
      <w:r w:rsidRPr="005D1770">
        <w:rPr>
          <w:rFonts w:ascii="Times New Roman" w:hAnsi="Times New Roman" w:cs="Times New Roman"/>
          <w:bCs/>
          <w:vertAlign w:val="subscript"/>
        </w:rPr>
        <w:t>ok</w:t>
      </w:r>
      <w:r w:rsidRPr="00C74245">
        <w:rPr>
          <w:rFonts w:ascii="Times New Roman" w:hAnsi="Times New Roman" w:cs="Times New Roman"/>
          <w:bCs/>
        </w:rPr>
        <w:t xml:space="preserve"> = 0.95, DVFS</w:t>
      </w:r>
      <w:r w:rsidRPr="005D1770">
        <w:rPr>
          <w:rFonts w:ascii="Times New Roman" w:hAnsi="Times New Roman" w:cs="Times New Roman"/>
          <w:bCs/>
          <w:vertAlign w:val="subscript"/>
        </w:rPr>
        <w:t>reliability</w:t>
      </w:r>
      <w:r w:rsidRPr="00C74245">
        <w:rPr>
          <w:rFonts w:ascii="Times New Roman" w:hAnsi="Times New Roman" w:cs="Times New Roman"/>
          <w:bCs/>
        </w:rPr>
        <w:t xml:space="preserve"> = 0.98. These are either </w:t>
      </w:r>
      <w:r w:rsidR="0060691A">
        <w:rPr>
          <w:rFonts w:ascii="Times New Roman" w:hAnsi="Times New Roman" w:cs="Times New Roman"/>
          <w:bCs/>
        </w:rPr>
        <w:t>scenario</w:t>
      </w:r>
      <w:r w:rsidRPr="00C74245">
        <w:rPr>
          <w:rFonts w:ascii="Times New Roman" w:hAnsi="Times New Roman" w:cs="Times New Roman"/>
          <w:bCs/>
        </w:rPr>
        <w:t>-defining (φ</w:t>
      </w:r>
      <w:r w:rsidRPr="005D1770">
        <w:rPr>
          <w:rFonts w:ascii="Times New Roman" w:hAnsi="Times New Roman" w:cs="Times New Roman"/>
          <w:bCs/>
          <w:vertAlign w:val="subscript"/>
        </w:rPr>
        <w:t>inf</w:t>
      </w:r>
      <w:r w:rsidRPr="00C74245">
        <w:rPr>
          <w:rFonts w:ascii="Times New Roman" w:hAnsi="Times New Roman" w:cs="Times New Roman"/>
          <w:bCs/>
        </w:rPr>
        <w:t>), known by-construction software properties (DRAIN</w:t>
      </w:r>
      <w:r w:rsidRPr="005D1770">
        <w:rPr>
          <w:rFonts w:ascii="Times New Roman" w:hAnsi="Times New Roman" w:cs="Times New Roman"/>
          <w:bCs/>
          <w:vertAlign w:val="subscript"/>
        </w:rPr>
        <w:t>ok</w:t>
      </w:r>
      <w:r w:rsidRPr="00C74245">
        <w:rPr>
          <w:rFonts w:ascii="Times New Roman" w:hAnsi="Times New Roman" w:cs="Times New Roman"/>
          <w:bCs/>
        </w:rPr>
        <w:t>), or high-confidence infrastructure SLAs (NET</w:t>
      </w:r>
      <w:r w:rsidRPr="005D1770">
        <w:rPr>
          <w:rFonts w:ascii="Times New Roman" w:hAnsi="Times New Roman" w:cs="Times New Roman"/>
          <w:bCs/>
          <w:vertAlign w:val="subscript"/>
        </w:rPr>
        <w:t>ok</w:t>
      </w:r>
      <w:r w:rsidRPr="00C74245">
        <w:rPr>
          <w:rFonts w:ascii="Times New Roman" w:hAnsi="Times New Roman" w:cs="Times New Roman"/>
          <w:bCs/>
        </w:rPr>
        <w:t>, ORCH</w:t>
      </w:r>
      <w:r w:rsidRPr="005D1770">
        <w:rPr>
          <w:rFonts w:ascii="Times New Roman" w:hAnsi="Times New Roman" w:cs="Times New Roman"/>
          <w:bCs/>
          <w:vertAlign w:val="subscript"/>
        </w:rPr>
        <w:t>ok</w:t>
      </w:r>
      <w:r w:rsidRPr="00C74245">
        <w:rPr>
          <w:rFonts w:ascii="Times New Roman" w:hAnsi="Times New Roman" w:cs="Times New Roman"/>
          <w:bCs/>
        </w:rPr>
        <w:t>, DVFS</w:t>
      </w:r>
      <w:r w:rsidRPr="005D1770">
        <w:rPr>
          <w:rFonts w:ascii="Times New Roman" w:hAnsi="Times New Roman" w:cs="Times New Roman"/>
          <w:bCs/>
          <w:vertAlign w:val="subscript"/>
        </w:rPr>
        <w:t>reliability</w:t>
      </w:r>
      <w:r w:rsidRPr="00C74245">
        <w:rPr>
          <w:rFonts w:ascii="Times New Roman" w:hAnsi="Times New Roman" w:cs="Times New Roman"/>
          <w:bCs/>
        </w:rPr>
        <w:t>).</w:t>
      </w:r>
    </w:p>
    <w:p w14:paraId="364B2471" w14:textId="12762EFA" w:rsidR="00C74245" w:rsidRPr="00C74245" w:rsidRDefault="00661543" w:rsidP="00C74245">
      <w:pPr>
        <w:rPr>
          <w:rFonts w:ascii="Times New Roman" w:hAnsi="Times New Roman" w:cs="Times New Roman"/>
          <w:bCs/>
        </w:rPr>
      </w:pPr>
      <w:r>
        <w:rPr>
          <w:rFonts w:ascii="Times New Roman" w:hAnsi="Times New Roman" w:cs="Times New Roman"/>
          <w:bCs/>
        </w:rPr>
        <w:t>I</w:t>
      </w:r>
      <w:r w:rsidR="006C38FF" w:rsidRPr="006C38FF">
        <w:rPr>
          <w:rFonts w:ascii="Times New Roman" w:hAnsi="Times New Roman" w:cs="Times New Roman"/>
          <w:bCs/>
        </w:rPr>
        <w:t xml:space="preserve"> additionally ran the conditional MC with PJM Dominion as the source zone as a robustness check; results are reported in Extended Data Table 3.</w:t>
      </w:r>
    </w:p>
    <w:p w14:paraId="3CC8E07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Variance decomposition</w:t>
      </w:r>
    </w:p>
    <w:p w14:paraId="015717F6" w14:textId="1485FF7B" w:rsidR="00C74245" w:rsidRDefault="00C74245" w:rsidP="00C74245">
      <w:pPr>
        <w:rPr>
          <w:rFonts w:ascii="Times New Roman" w:hAnsi="Times New Roman" w:cs="Times New Roman"/>
          <w:bCs/>
        </w:rPr>
      </w:pPr>
      <w:r w:rsidRPr="00C74245">
        <w:rPr>
          <w:rFonts w:ascii="Times New Roman" w:hAnsi="Times New Roman" w:cs="Times New Roman"/>
          <w:bCs/>
        </w:rPr>
        <w:t xml:space="preserve">The unconditional Monte Carlo </w:t>
      </w:r>
      <w:r w:rsidR="0060691A">
        <w:rPr>
          <w:rFonts w:ascii="Times New Roman" w:hAnsi="Times New Roman" w:cs="Times New Roman"/>
          <w:bCs/>
        </w:rPr>
        <w:t xml:space="preserve">model </w:t>
      </w:r>
      <w:r w:rsidRPr="00C74245">
        <w:rPr>
          <w:rFonts w:ascii="Times New Roman" w:hAnsi="Times New Roman" w:cs="Times New Roman"/>
          <w:bCs/>
        </w:rPr>
        <w:t xml:space="preserve">(N = 50,000) draws all variable parameters independently from their specified distributions, computes the multiplicative-within-mechanism and additive-across-mechanism composition, and applies the commitment depth formula. </w:t>
      </w:r>
      <w:r w:rsidR="006C38FF" w:rsidRPr="006C38FF">
        <w:rPr>
          <w:rFonts w:ascii="Times New Roman" w:hAnsi="Times New Roman" w:cs="Times New Roman"/>
          <w:bCs/>
        </w:rPr>
        <w:t>φ</w:t>
      </w:r>
      <w:r w:rsidR="006C38FF" w:rsidRPr="005D1770">
        <w:rPr>
          <w:rFonts w:ascii="Times New Roman" w:hAnsi="Times New Roman" w:cs="Times New Roman"/>
          <w:bCs/>
          <w:vertAlign w:val="subscript"/>
        </w:rPr>
        <w:t>inf</w:t>
      </w:r>
      <w:r w:rsidR="006C38FF" w:rsidRPr="006C38FF">
        <w:rPr>
          <w:rFonts w:ascii="Times New Roman" w:hAnsi="Times New Roman" w:cs="Times New Roman"/>
          <w:bCs/>
        </w:rPr>
        <w:t xml:space="preserve"> is held at one of the two scope-scenario centrals (run separately for each sc</w:t>
      </w:r>
      <w:r w:rsidR="00BB2825">
        <w:rPr>
          <w:rFonts w:ascii="Times New Roman" w:hAnsi="Times New Roman" w:cs="Times New Roman"/>
          <w:bCs/>
        </w:rPr>
        <w:t>enario</w:t>
      </w:r>
      <w:r w:rsidR="006C38FF" w:rsidRPr="006C38FF">
        <w:rPr>
          <w:rFonts w:ascii="Times New Roman" w:hAnsi="Times New Roman" w:cs="Times New Roman"/>
          <w:bCs/>
        </w:rPr>
        <w:t>); all eleven non-</w:t>
      </w:r>
      <w:r w:rsidR="00BB2825">
        <w:rPr>
          <w:rFonts w:ascii="Times New Roman" w:hAnsi="Times New Roman" w:cs="Times New Roman"/>
          <w:bCs/>
        </w:rPr>
        <w:t>scenario</w:t>
      </w:r>
      <w:r w:rsidR="00BB2825" w:rsidRPr="006C38FF">
        <w:rPr>
          <w:rFonts w:ascii="Times New Roman" w:hAnsi="Times New Roman" w:cs="Times New Roman"/>
          <w:bCs/>
        </w:rPr>
        <w:t xml:space="preserve"> </w:t>
      </w:r>
      <w:r w:rsidR="006C38FF" w:rsidRPr="006C38FF">
        <w:rPr>
          <w:rFonts w:ascii="Times New Roman" w:hAnsi="Times New Roman" w:cs="Times New Roman"/>
          <w:bCs/>
        </w:rPr>
        <w:t>parameters are drawn independently from their specified ranges.</w:t>
      </w:r>
      <w:r w:rsidRPr="00C74245">
        <w:rPr>
          <w:rFonts w:ascii="Times New Roman" w:hAnsi="Times New Roman" w:cs="Times New Roman"/>
          <w:bCs/>
        </w:rPr>
        <w:t xml:space="preserve"> Variance attribution uses the η² correlation ratio, computed by digitizing each variable parameter into 20 quantile bins and measuring the between-bin variance of </w:t>
      </w:r>
      <w:r w:rsidR="00BB2825">
        <w:rPr>
          <w:rFonts w:ascii="Times New Roman" w:hAnsi="Times New Roman" w:cs="Times New Roman"/>
          <w:bCs/>
        </w:rPr>
        <w:t>model</w:t>
      </w:r>
      <w:r w:rsidR="00BB2825" w:rsidRPr="00C74245">
        <w:rPr>
          <w:rFonts w:ascii="Times New Roman" w:hAnsi="Times New Roman" w:cs="Times New Roman"/>
          <w:bCs/>
        </w:rPr>
        <w:t xml:space="preserve"> </w:t>
      </w:r>
      <w:r w:rsidRPr="00C74245">
        <w:rPr>
          <w:rFonts w:ascii="Times New Roman" w:hAnsi="Times New Roman" w:cs="Times New Roman"/>
          <w:bCs/>
        </w:rPr>
        <w:t>output as a fraction of total variance.</w:t>
      </w:r>
    </w:p>
    <w:p w14:paraId="024DEA5A" w14:textId="10C919A0" w:rsidR="006C38FF" w:rsidRPr="00C74245" w:rsidRDefault="006C38FF" w:rsidP="00C74245">
      <w:pPr>
        <w:rPr>
          <w:rFonts w:ascii="Times New Roman" w:hAnsi="Times New Roman" w:cs="Times New Roman"/>
          <w:bCs/>
        </w:rPr>
      </w:pPr>
      <w:r w:rsidRPr="006C38FF">
        <w:rPr>
          <w:rFonts w:ascii="Times New Roman" w:hAnsi="Times New Roman" w:cs="Times New Roman"/>
          <w:bCs/>
        </w:rPr>
        <w:t xml:space="preserve">Variance attribution under inference-dominant </w:t>
      </w:r>
      <w:r w:rsidR="0060691A">
        <w:rPr>
          <w:rFonts w:ascii="Times New Roman" w:hAnsi="Times New Roman" w:cs="Times New Roman"/>
          <w:bCs/>
        </w:rPr>
        <w:t>scenario</w:t>
      </w:r>
      <w:r w:rsidRPr="006C38FF">
        <w:rPr>
          <w:rFonts w:ascii="Times New Roman" w:hAnsi="Times New Roman" w:cs="Times New Roman"/>
          <w:bCs/>
        </w:rPr>
        <w:t xml:space="preserve"> identifies five parameters that together account for over 96% of </w:t>
      </w:r>
      <w:r w:rsidR="00BB2825">
        <w:rPr>
          <w:rFonts w:ascii="Times New Roman" w:hAnsi="Times New Roman" w:cs="Times New Roman"/>
          <w:bCs/>
        </w:rPr>
        <w:t>model</w:t>
      </w:r>
      <w:r w:rsidR="00BB2825" w:rsidRPr="006C38FF">
        <w:rPr>
          <w:rFonts w:ascii="Times New Roman" w:hAnsi="Times New Roman" w:cs="Times New Roman"/>
          <w:bCs/>
        </w:rPr>
        <w:t xml:space="preserve"> </w:t>
      </w:r>
      <w:r w:rsidRPr="006C38FF">
        <w:rPr>
          <w:rFonts w:ascii="Times New Roman" w:hAnsi="Times New Roman" w:cs="Times New Roman"/>
          <w:bCs/>
        </w:rPr>
        <w:t>output variance: DEST</w:t>
      </w:r>
      <w:r w:rsidRPr="005D1770">
        <w:rPr>
          <w:rFonts w:ascii="Times New Roman" w:hAnsi="Times New Roman" w:cs="Times New Roman"/>
          <w:bCs/>
          <w:vertAlign w:val="subscript"/>
        </w:rPr>
        <w:t>absorb</w:t>
      </w:r>
      <w:r w:rsidRPr="006C38FF">
        <w:rPr>
          <w:rFonts w:ascii="Times New Roman" w:hAnsi="Times New Roman" w:cs="Times New Roman"/>
          <w:bCs/>
        </w:rPr>
        <w:t xml:space="preserve"> (η² = 0.43, 44% of total), DVFS</w:t>
      </w:r>
      <w:r w:rsidRPr="005D1770">
        <w:rPr>
          <w:rFonts w:ascii="Times New Roman" w:hAnsi="Times New Roman" w:cs="Times New Roman"/>
          <w:bCs/>
          <w:vertAlign w:val="subscript"/>
        </w:rPr>
        <w:t>headroom</w:t>
      </w:r>
      <w:r w:rsidRPr="006C38FF">
        <w:rPr>
          <w:rFonts w:ascii="Times New Roman" w:hAnsi="Times New Roman" w:cs="Times New Roman"/>
          <w:bCs/>
        </w:rPr>
        <w:t xml:space="preserve"> (0.22, 22%), MIG</w:t>
      </w:r>
      <w:r w:rsidRPr="005D1770">
        <w:rPr>
          <w:rFonts w:ascii="Times New Roman" w:hAnsi="Times New Roman" w:cs="Times New Roman"/>
          <w:bCs/>
          <w:vertAlign w:val="subscript"/>
        </w:rPr>
        <w:t>elig</w:t>
      </w:r>
      <w:r w:rsidRPr="006C38FF">
        <w:rPr>
          <w:rFonts w:ascii="Times New Roman" w:hAnsi="Times New Roman" w:cs="Times New Roman"/>
          <w:bCs/>
        </w:rPr>
        <w:t xml:space="preserve"> (0.13, 13%), NIW</w:t>
      </w:r>
      <w:r w:rsidRPr="005D1770">
        <w:rPr>
          <w:rFonts w:ascii="Times New Roman" w:hAnsi="Times New Roman" w:cs="Times New Roman"/>
          <w:bCs/>
          <w:vertAlign w:val="subscript"/>
        </w:rPr>
        <w:t>share</w:t>
      </w:r>
      <w:r w:rsidRPr="006C38FF">
        <w:rPr>
          <w:rFonts w:ascii="Times New Roman" w:hAnsi="Times New Roman" w:cs="Times New Roman"/>
          <w:bCs/>
        </w:rPr>
        <w:t xml:space="preserve"> (0.10, 10%), and QUEUE</w:t>
      </w:r>
      <w:r w:rsidRPr="005D1770">
        <w:rPr>
          <w:rFonts w:ascii="Times New Roman" w:hAnsi="Times New Roman" w:cs="Times New Roman"/>
          <w:bCs/>
          <w:vertAlign w:val="subscript"/>
        </w:rPr>
        <w:t>ok</w:t>
      </w:r>
      <w:r w:rsidRPr="006C38FF">
        <w:rPr>
          <w:rFonts w:ascii="Times New Roman" w:hAnsi="Times New Roman" w:cs="Times New Roman"/>
          <w:bCs/>
        </w:rPr>
        <w:t xml:space="preserve"> (0.07, 8%). The remaining six parameters together contribute under 4% of variance, reflecting their tighter empirical anchoring (DRAIN</w:t>
      </w:r>
      <w:r w:rsidRPr="005D1770">
        <w:rPr>
          <w:rFonts w:ascii="Times New Roman" w:hAnsi="Times New Roman" w:cs="Times New Roman"/>
          <w:bCs/>
          <w:vertAlign w:val="subscript"/>
        </w:rPr>
        <w:t>ok</w:t>
      </w:r>
      <w:r w:rsidRPr="006C38FF">
        <w:rPr>
          <w:rFonts w:ascii="Times New Roman" w:hAnsi="Times New Roman" w:cs="Times New Roman"/>
          <w:bCs/>
        </w:rPr>
        <w:t>, DEST</w:t>
      </w:r>
      <w:r w:rsidRPr="005D1770">
        <w:rPr>
          <w:rFonts w:ascii="Times New Roman" w:hAnsi="Times New Roman" w:cs="Times New Roman"/>
          <w:bCs/>
          <w:vertAlign w:val="subscript"/>
        </w:rPr>
        <w:t>avail</w:t>
      </w:r>
      <w:r w:rsidRPr="006C38FF">
        <w:rPr>
          <w:rFonts w:ascii="Times New Roman" w:hAnsi="Times New Roman" w:cs="Times New Roman"/>
          <w:bCs/>
        </w:rPr>
        <w:t>, NET</w:t>
      </w:r>
      <w:r w:rsidRPr="005D1770">
        <w:rPr>
          <w:rFonts w:ascii="Times New Roman" w:hAnsi="Times New Roman" w:cs="Times New Roman"/>
          <w:bCs/>
          <w:vertAlign w:val="subscript"/>
        </w:rPr>
        <w:t>ok</w:t>
      </w:r>
      <w:r w:rsidRPr="006C38FF">
        <w:rPr>
          <w:rFonts w:ascii="Times New Roman" w:hAnsi="Times New Roman" w:cs="Times New Roman"/>
          <w:bCs/>
        </w:rPr>
        <w:t>, DVFS</w:t>
      </w:r>
      <w:r w:rsidRPr="005D1770">
        <w:rPr>
          <w:rFonts w:ascii="Times New Roman" w:hAnsi="Times New Roman" w:cs="Times New Roman"/>
          <w:bCs/>
          <w:vertAlign w:val="subscript"/>
        </w:rPr>
        <w:t>reliability</w:t>
      </w:r>
      <w:r w:rsidRPr="006C38FF">
        <w:rPr>
          <w:rFonts w:ascii="Times New Roman" w:hAnsi="Times New Roman" w:cs="Times New Roman"/>
          <w:bCs/>
        </w:rPr>
        <w:t>) or narrower operational ranges (WINDOW</w:t>
      </w:r>
      <w:r w:rsidRPr="005D1770">
        <w:rPr>
          <w:rFonts w:ascii="Times New Roman" w:hAnsi="Times New Roman" w:cs="Times New Roman"/>
          <w:bCs/>
          <w:vertAlign w:val="subscript"/>
        </w:rPr>
        <w:t>ok</w:t>
      </w:r>
      <w:r w:rsidRPr="006C38FF">
        <w:rPr>
          <w:rFonts w:ascii="Times New Roman" w:hAnsi="Times New Roman" w:cs="Times New Roman"/>
          <w:bCs/>
        </w:rPr>
        <w:t>, ORCH</w:t>
      </w:r>
      <w:r w:rsidRPr="005D1770">
        <w:rPr>
          <w:rFonts w:ascii="Times New Roman" w:hAnsi="Times New Roman" w:cs="Times New Roman"/>
          <w:bCs/>
          <w:vertAlign w:val="subscript"/>
        </w:rPr>
        <w:t>ok</w:t>
      </w:r>
      <w:r w:rsidRPr="006C38FF">
        <w:rPr>
          <w:rFonts w:ascii="Times New Roman" w:hAnsi="Times New Roman" w:cs="Times New Roman"/>
          <w:bCs/>
        </w:rPr>
        <w:t xml:space="preserve">). Of the dominant contributors, three are </w:t>
      </w:r>
      <w:r w:rsidR="000350AC">
        <w:rPr>
          <w:rFonts w:ascii="Times New Roman" w:hAnsi="Times New Roman" w:cs="Times New Roman"/>
          <w:bCs/>
        </w:rPr>
        <w:t>weak or moderate grounding estimates</w:t>
      </w:r>
      <w:r w:rsidRPr="006C38FF">
        <w:rPr>
          <w:rFonts w:ascii="Times New Roman" w:hAnsi="Times New Roman" w:cs="Times New Roman"/>
          <w:bCs/>
        </w:rPr>
        <w:t xml:space="preserve"> (DEST</w:t>
      </w:r>
      <w:r w:rsidRPr="005D1770">
        <w:rPr>
          <w:rFonts w:ascii="Times New Roman" w:hAnsi="Times New Roman" w:cs="Times New Roman"/>
          <w:bCs/>
          <w:vertAlign w:val="subscript"/>
        </w:rPr>
        <w:t>absorb</w:t>
      </w:r>
      <w:r w:rsidRPr="006C38FF">
        <w:rPr>
          <w:rFonts w:ascii="Times New Roman" w:hAnsi="Times New Roman" w:cs="Times New Roman"/>
          <w:bCs/>
        </w:rPr>
        <w:t>, MIG</w:t>
      </w:r>
      <w:r w:rsidRPr="005D1770">
        <w:rPr>
          <w:rFonts w:ascii="Times New Roman" w:hAnsi="Times New Roman" w:cs="Times New Roman"/>
          <w:bCs/>
          <w:vertAlign w:val="subscript"/>
        </w:rPr>
        <w:t>elig</w:t>
      </w:r>
      <w:r w:rsidRPr="006C38FF">
        <w:rPr>
          <w:rFonts w:ascii="Times New Roman" w:hAnsi="Times New Roman" w:cs="Times New Roman"/>
          <w:bCs/>
        </w:rPr>
        <w:t xml:space="preserve"> Component B, QUEUE</w:t>
      </w:r>
      <w:r w:rsidRPr="005D1770">
        <w:rPr>
          <w:rFonts w:ascii="Times New Roman" w:hAnsi="Times New Roman" w:cs="Times New Roman"/>
          <w:bCs/>
          <w:vertAlign w:val="subscript"/>
        </w:rPr>
        <w:t>ok</w:t>
      </w:r>
      <w:r w:rsidRPr="006C38FF">
        <w:rPr>
          <w:rFonts w:ascii="Times New Roman" w:hAnsi="Times New Roman" w:cs="Times New Roman"/>
          <w:bCs/>
        </w:rPr>
        <w:t>), and two reflect ensemble-construction uncertainty rather than measurement (DVFS</w:t>
      </w:r>
      <w:r w:rsidRPr="005D1770">
        <w:rPr>
          <w:rFonts w:ascii="Times New Roman" w:hAnsi="Times New Roman" w:cs="Times New Roman"/>
          <w:bCs/>
          <w:vertAlign w:val="subscript"/>
        </w:rPr>
        <w:t>headroom</w:t>
      </w:r>
      <w:r w:rsidRPr="006C38FF">
        <w:rPr>
          <w:rFonts w:ascii="Times New Roman" w:hAnsi="Times New Roman" w:cs="Times New Roman"/>
          <w:bCs/>
        </w:rPr>
        <w:t>, NIW</w:t>
      </w:r>
      <w:r w:rsidRPr="005D1770">
        <w:rPr>
          <w:rFonts w:ascii="Times New Roman" w:hAnsi="Times New Roman" w:cs="Times New Roman"/>
          <w:bCs/>
          <w:vertAlign w:val="subscript"/>
        </w:rPr>
        <w:t>share</w:t>
      </w:r>
      <w:r w:rsidRPr="006C38FF">
        <w:rPr>
          <w:rFonts w:ascii="Times New Roman" w:hAnsi="Times New Roman" w:cs="Times New Roman"/>
          <w:bCs/>
        </w:rPr>
        <w:t>).</w:t>
      </w:r>
    </w:p>
    <w:p w14:paraId="58668099"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Stress threshold definition</w:t>
      </w:r>
    </w:p>
    <w:p w14:paraId="6F6065B9" w14:textId="538C3FA2"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w:t>
      </w:r>
      <w:r w:rsidRPr="00C74245">
        <w:rPr>
          <w:rFonts w:ascii="Times New Roman" w:hAnsi="Times New Roman" w:cs="Times New Roman"/>
          <w:bCs/>
        </w:rPr>
        <w:lastRenderedPageBreak/>
        <w:t>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602B59A0"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Workload datasets</w:t>
      </w:r>
    </w:p>
    <w:p w14:paraId="7A1A2CDB" w14:textId="1ABF60C2" w:rsidR="00C74245" w:rsidRPr="00C74245" w:rsidRDefault="00661543" w:rsidP="00C74245">
      <w:pPr>
        <w:rPr>
          <w:rFonts w:ascii="Times New Roman" w:hAnsi="Times New Roman" w:cs="Times New Roman"/>
          <w:bCs/>
        </w:rPr>
      </w:pPr>
      <w:r>
        <w:rPr>
          <w:rFonts w:ascii="Times New Roman" w:hAnsi="Times New Roman" w:cs="Times New Roman"/>
          <w:bCs/>
        </w:rPr>
        <w:t>I</w:t>
      </w:r>
      <w:r w:rsidR="00C74245" w:rsidRPr="00C74245">
        <w:rPr>
          <w:rFonts w:ascii="Times New Roman" w:hAnsi="Times New Roman" w:cs="Times New Roman"/>
          <w:bCs/>
        </w:rPr>
        <w:t xml:space="preserve"> analyzed 44.1 million production LLM inference requests across two Azure services (Coding and Conversation) drawn from the DynamoLLM trace release on the Azure Public Dataset repository, spanning seven days in May 2024. The underlying traces were characterized for energy-management purposes by Stojkovic et al.</w:t>
      </w:r>
      <w:r w:rsidR="000350AC">
        <w:rPr>
          <w:rFonts w:ascii="Times New Roman" w:hAnsi="Times New Roman" w:cs="Times New Roman"/>
          <w:bCs/>
        </w:rPr>
        <w:t>[6]</w:t>
      </w:r>
      <w:r w:rsidR="00114017">
        <w:rPr>
          <w:rFonts w:ascii="Times New Roman" w:hAnsi="Times New Roman" w:cs="Times New Roman"/>
          <w:bCs/>
        </w:rPr>
        <w:t>.</w:t>
      </w:r>
      <w:r w:rsidR="00C74245" w:rsidRPr="00C74245">
        <w:rPr>
          <w:rFonts w:ascii="Times New Roman" w:hAnsi="Times New Roman" w:cs="Times New Roman"/>
          <w:bCs/>
        </w:rPr>
        <w:t xml:space="preserve"> </w:t>
      </w:r>
      <w:r>
        <w:rPr>
          <w:rFonts w:ascii="Times New Roman" w:hAnsi="Times New Roman" w:cs="Times New Roman"/>
          <w:bCs/>
        </w:rPr>
        <w:t>I</w:t>
      </w:r>
      <w:r w:rsidR="00C74245" w:rsidRPr="00C74245">
        <w:rPr>
          <w:rFonts w:ascii="Times New Roman" w:hAnsi="Times New Roman" w:cs="Times New Roman"/>
          <w:bCs/>
        </w:rPr>
        <w:t xml:space="preserve"> separately analyzed the BurstGPT dataset (arXiv v3 release)</w:t>
      </w:r>
      <w:r w:rsidR="000350AC">
        <w:rPr>
          <w:rFonts w:ascii="Times New Roman" w:hAnsi="Times New Roman" w:cs="Times New Roman"/>
          <w:bCs/>
        </w:rPr>
        <w:t>[28]</w:t>
      </w:r>
      <w:r w:rsidR="00C74245" w:rsidRPr="00C74245">
        <w:rPr>
          <w:rFonts w:ascii="Times New Roman" w:hAnsi="Times New Roman" w:cs="Times New Roman"/>
          <w:bCs/>
        </w:rPr>
        <w:t>, comprising 5.29 million requests from Azure OpenAI regional endpoints over 121 days of continuous observation. Both datasets represent production inference traffic. Drain times are computed as generated tokens divided by a central generation rate of 60 tokens per second, with sensitivity across 30–120 tokens/sec reported in Extended Data Fig. 2.</w:t>
      </w:r>
    </w:p>
    <w:p w14:paraId="5937D6AD" w14:textId="38E5586F" w:rsidR="00C74245" w:rsidRPr="00C74245" w:rsidRDefault="00C74245" w:rsidP="00C74245">
      <w:pPr>
        <w:rPr>
          <w:rFonts w:ascii="Times New Roman" w:hAnsi="Times New Roman" w:cs="Times New Roman"/>
          <w:bCs/>
        </w:rPr>
      </w:pPr>
      <w:r w:rsidRPr="00C74245">
        <w:rPr>
          <w:rFonts w:ascii="Times New Roman" w:hAnsi="Times New Roman" w:cs="Times New Roman"/>
          <w:bCs/>
        </w:rPr>
        <w:t>The two datasets differ in temporal structure</w:t>
      </w:r>
      <w:r w:rsidR="000350AC">
        <w:rPr>
          <w:rFonts w:ascii="Times New Roman" w:hAnsi="Times New Roman" w:cs="Times New Roman"/>
          <w:bCs/>
        </w:rPr>
        <w:t>.</w:t>
      </w:r>
      <w:r w:rsidRPr="00C74245">
        <w:rPr>
          <w:rFonts w:ascii="Times New Roman" w:hAnsi="Times New Roman" w:cs="Times New Roman"/>
          <w:bCs/>
        </w:rPr>
        <w:t xml:space="preserve"> DynamoLLM shows strong diurnal variation (3.3× peak-to-trough for conversational workloads, 34.6× for coding workloads) while BurstGPT exhibits near-continuous 24-hour activity with minimal weekly periodicity. The DynamoLLM peak-to-valley structure provides the empirical anchor for the QUEUE</w:t>
      </w:r>
      <w:r w:rsidRPr="005D1770">
        <w:rPr>
          <w:rFonts w:ascii="Times New Roman" w:hAnsi="Times New Roman" w:cs="Times New Roman"/>
          <w:bCs/>
          <w:vertAlign w:val="subscript"/>
        </w:rPr>
        <w:t>ok</w:t>
      </w:r>
      <w:r w:rsidRPr="00C74245">
        <w:rPr>
          <w:rFonts w:ascii="Times New Roman" w:hAnsi="Times New Roman" w:cs="Times New Roman"/>
          <w:bCs/>
        </w:rPr>
        <w:t xml:space="preserve"> parameter at single-facility scale (the post-stress recovery hours have meaningful absorption headroom because peak-to-valley ratios are wide). This divergence reflects differing user populations and does not affect the DRAIN</w:t>
      </w:r>
      <w:r w:rsidRPr="005D1770">
        <w:rPr>
          <w:rFonts w:ascii="Times New Roman" w:hAnsi="Times New Roman" w:cs="Times New Roman"/>
          <w:bCs/>
          <w:vertAlign w:val="subscript"/>
        </w:rPr>
        <w:t>ok</w:t>
      </w:r>
      <w:r w:rsidRPr="00C74245">
        <w:rPr>
          <w:rFonts w:ascii="Times New Roman" w:hAnsi="Times New Roman" w:cs="Times New Roman"/>
          <w:bCs/>
        </w:rPr>
        <w:t xml:space="preserve"> parameterization, which depends on per-request drain time rather than aggregate traffic volume.</w:t>
      </w:r>
    </w:p>
    <w:p w14:paraId="4E339445"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Per-GW parametric sweep</w:t>
      </w:r>
    </w:p>
    <w:p w14:paraId="03756F24" w14:textId="19D628AD" w:rsidR="00C74245" w:rsidRPr="00C74245" w:rsidRDefault="00F407A0" w:rsidP="00C74245">
      <w:pPr>
        <w:rPr>
          <w:rFonts w:ascii="Times New Roman" w:hAnsi="Times New Roman" w:cs="Times New Roman"/>
          <w:bCs/>
        </w:rPr>
      </w:pPr>
      <w:r w:rsidRPr="00F407A0">
        <w:rPr>
          <w:rFonts w:ascii="Times New Roman" w:hAnsi="Times New Roman" w:cs="Times New Roman"/>
          <w:bCs/>
        </w:rPr>
        <w:t>The fleet-level analysis evaluates commitment depth as a continuous function of fleet size from 0.5 to 15 GW under each scope scenario. At each fleet size, the migrating demand in each stress hour is fleet</w:t>
      </w:r>
      <w:r w:rsidRPr="005D1770">
        <w:rPr>
          <w:rFonts w:ascii="Times New Roman" w:hAnsi="Times New Roman" w:cs="Times New Roman"/>
          <w:bCs/>
          <w:vertAlign w:val="subscript"/>
        </w:rPr>
        <w:t>MW</w:t>
      </w:r>
      <w:r w:rsidRPr="00F407A0">
        <w:rPr>
          <w:rFonts w:ascii="Times New Roman" w:hAnsi="Times New Roman" w:cs="Times New Roman"/>
          <w:bCs/>
        </w:rPr>
        <w:t xml:space="preserve"> × (1/PUE) × φ</w:t>
      </w:r>
      <w:r w:rsidRPr="005D1770">
        <w:rPr>
          <w:rFonts w:ascii="Times New Roman" w:hAnsi="Times New Roman" w:cs="Times New Roman"/>
          <w:bCs/>
          <w:vertAlign w:val="subscript"/>
        </w:rPr>
        <w:t>inf,</w:t>
      </w:r>
      <w:r w:rsidR="0060691A" w:rsidRPr="005D1770">
        <w:rPr>
          <w:rFonts w:ascii="Times New Roman" w:hAnsi="Times New Roman" w:cs="Times New Roman"/>
          <w:bCs/>
          <w:vertAlign w:val="subscript"/>
        </w:rPr>
        <w:t>sc</w:t>
      </w:r>
      <w:r w:rsidR="0060691A">
        <w:rPr>
          <w:rFonts w:ascii="Times New Roman" w:hAnsi="Times New Roman" w:cs="Times New Roman"/>
          <w:bCs/>
          <w:vertAlign w:val="subscript"/>
        </w:rPr>
        <w:t>enario</w:t>
      </w:r>
      <w:r w:rsidR="0060691A" w:rsidRPr="00F407A0">
        <w:rPr>
          <w:rFonts w:ascii="Times New Roman" w:hAnsi="Times New Roman" w:cs="Times New Roman"/>
          <w:bCs/>
        </w:rPr>
        <w:t xml:space="preserve"> </w:t>
      </w:r>
      <w:r w:rsidRPr="00F407A0">
        <w:rPr>
          <w:rFonts w:ascii="Times New Roman" w:hAnsi="Times New Roman" w:cs="Times New Roman"/>
          <w:bCs/>
        </w:rPr>
        <w:t>× MIG</w:t>
      </w:r>
      <w:r w:rsidRPr="005D1770">
        <w:rPr>
          <w:rFonts w:ascii="Times New Roman" w:hAnsi="Times New Roman" w:cs="Times New Roman"/>
          <w:bCs/>
          <w:vertAlign w:val="subscript"/>
        </w:rPr>
        <w:t>elig</w:t>
      </w:r>
      <w:r w:rsidRPr="00F407A0">
        <w:rPr>
          <w:rFonts w:ascii="Times New Roman" w:hAnsi="Times New Roman" w:cs="Times New Roman"/>
          <w:bCs/>
        </w:rPr>
        <w:t xml:space="preserve"> × DRAIN</w:t>
      </w:r>
      <w:r w:rsidRPr="005D1770">
        <w:rPr>
          <w:rFonts w:ascii="Times New Roman" w:hAnsi="Times New Roman" w:cs="Times New Roman"/>
          <w:bCs/>
          <w:vertAlign w:val="subscript"/>
        </w:rPr>
        <w:t>ok</w:t>
      </w:r>
      <w:r w:rsidRPr="00F407A0">
        <w:rPr>
          <w:rFonts w:ascii="Times New Roman" w:hAnsi="Times New Roman" w:cs="Times New Roman"/>
          <w:bCs/>
        </w:rPr>
        <w:t xml:space="preserve"> (the source-side spatial-</w:t>
      </w:r>
      <w:r w:rsidR="00BB2825">
        <w:rPr>
          <w:rFonts w:ascii="Times New Roman" w:hAnsi="Times New Roman" w:cs="Times New Roman"/>
          <w:bCs/>
        </w:rPr>
        <w:t>model</w:t>
      </w:r>
      <w:r w:rsidR="00BB2825" w:rsidRPr="00F407A0">
        <w:rPr>
          <w:rFonts w:ascii="Times New Roman" w:hAnsi="Times New Roman" w:cs="Times New Roman"/>
          <w:bCs/>
        </w:rPr>
        <w:t xml:space="preserve"> </w:t>
      </w:r>
      <w:r w:rsidRPr="00F407A0">
        <w:rPr>
          <w:rFonts w:ascii="Times New Roman" w:hAnsi="Times New Roman" w:cs="Times New Roman"/>
          <w:bCs/>
        </w:rPr>
        <w:t>product, evaluated at central values for the fixed parameters). This demand competes for the same per-hour destination headroom computed in the conditional MC. The same DEST</w:t>
      </w:r>
      <w:r w:rsidRPr="005D1770">
        <w:rPr>
          <w:rFonts w:ascii="Times New Roman" w:hAnsi="Times New Roman" w:cs="Times New Roman"/>
          <w:bCs/>
          <w:vertAlign w:val="subscript"/>
        </w:rPr>
        <w:t>absorb</w:t>
      </w:r>
      <w:r w:rsidRPr="00F407A0">
        <w:rPr>
          <w:rFonts w:ascii="Times New Roman" w:hAnsi="Times New Roman" w:cs="Times New Roman"/>
          <w:bCs/>
        </w:rPr>
        <w:t xml:space="preserve"> / QUEUE</w:t>
      </w:r>
      <w:r w:rsidRPr="005D1770">
        <w:rPr>
          <w:rFonts w:ascii="Times New Roman" w:hAnsi="Times New Roman" w:cs="Times New Roman"/>
          <w:bCs/>
          <w:vertAlign w:val="subscript"/>
        </w:rPr>
        <w:t>ok</w:t>
      </w:r>
      <w:r w:rsidRPr="00F407A0">
        <w:rPr>
          <w:rFonts w:ascii="Times New Roman" w:hAnsi="Times New Roman" w:cs="Times New Roman"/>
          <w:bCs/>
        </w:rPr>
        <w:t xml:space="preserve"> ensemble draws are reused across all fleet sizes to isolate the scale effect from Monte Carlo variance. The sweep identifies the spatial contention onset — the fleet size at which more than 50% of draw-hour combinations are destination-constrained for spatial migration. Within the swept range, spatial contention does not exceed the 50% threshold under either scope scenario, with onset projected beyond 15 GW.</w:t>
      </w:r>
    </w:p>
    <w:p w14:paraId="4B35687B"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Sensitivity analysis</w:t>
      </w:r>
    </w:p>
    <w:p w14:paraId="5AF61D8F" w14:textId="15E64036" w:rsidR="00C74245" w:rsidRPr="00C74245" w:rsidRDefault="00C74245" w:rsidP="00C74245">
      <w:pPr>
        <w:rPr>
          <w:rFonts w:ascii="Times New Roman" w:hAnsi="Times New Roman" w:cs="Times New Roman"/>
          <w:bCs/>
        </w:rPr>
      </w:pPr>
      <w:r w:rsidRPr="00C74245">
        <w:rPr>
          <w:rFonts w:ascii="Times New Roman" w:hAnsi="Times New Roman" w:cs="Times New Roman"/>
          <w:bCs/>
        </w:rPr>
        <w:t>The two-dimensional sensitivity surface evaluates fleet commitment depth at 10 GW across a 10×10 grid of DEST</w:t>
      </w:r>
      <w:r w:rsidRPr="005D1770">
        <w:rPr>
          <w:rFonts w:ascii="Times New Roman" w:hAnsi="Times New Roman" w:cs="Times New Roman"/>
          <w:bCs/>
          <w:vertAlign w:val="subscript"/>
        </w:rPr>
        <w:t>absorb</w:t>
      </w:r>
      <w:r w:rsidRPr="00C74245">
        <w:rPr>
          <w:rFonts w:ascii="Times New Roman" w:hAnsi="Times New Roman" w:cs="Times New Roman"/>
          <w:bCs/>
        </w:rPr>
        <w:t xml:space="preserve"> and QUEUE</w:t>
      </w:r>
      <w:r w:rsidRPr="005D1770">
        <w:rPr>
          <w:rFonts w:ascii="Times New Roman" w:hAnsi="Times New Roman" w:cs="Times New Roman"/>
          <w:bCs/>
          <w:vertAlign w:val="subscript"/>
        </w:rPr>
        <w:t>ok</w:t>
      </w:r>
      <w:r w:rsidRPr="00C74245">
        <w:rPr>
          <w:rFonts w:ascii="Times New Roman" w:hAnsi="Times New Roman" w:cs="Times New Roman"/>
          <w:bCs/>
        </w:rPr>
        <w:t xml:space="preserve"> values, under the inference-dominant </w:t>
      </w:r>
      <w:r w:rsidR="0060691A">
        <w:rPr>
          <w:rFonts w:ascii="Times New Roman" w:hAnsi="Times New Roman" w:cs="Times New Roman"/>
          <w:bCs/>
        </w:rPr>
        <w:t>scenario</w:t>
      </w:r>
      <w:r w:rsidRPr="00C74245">
        <w:rPr>
          <w:rFonts w:ascii="Times New Roman" w:hAnsi="Times New Roman" w:cs="Times New Roman"/>
          <w:bCs/>
        </w:rPr>
        <w:t>. Other parameters are held at the conditional MC central values, and DEST</w:t>
      </w:r>
      <w:r w:rsidRPr="005D1770">
        <w:rPr>
          <w:rFonts w:ascii="Times New Roman" w:hAnsi="Times New Roman" w:cs="Times New Roman"/>
          <w:bCs/>
          <w:vertAlign w:val="subscript"/>
        </w:rPr>
        <w:t>avail</w:t>
      </w:r>
      <w:r w:rsidRPr="00C74245">
        <w:rPr>
          <w:rFonts w:ascii="Times New Roman" w:hAnsi="Times New Roman" w:cs="Times New Roman"/>
          <w:bCs/>
        </w:rPr>
        <w:t xml:space="preserve"> is observed per-hour </w:t>
      </w:r>
      <w:r w:rsidRPr="00C74245">
        <w:rPr>
          <w:rFonts w:ascii="Times New Roman" w:hAnsi="Times New Roman" w:cs="Times New Roman"/>
          <w:bCs/>
        </w:rPr>
        <w:lastRenderedPageBreak/>
        <w:t>from the empirical pricing data as in the base conditional MC. Each grid point computes deterministic hour-by-hour commitment depth under these fixed parameter choices.</w:t>
      </w:r>
    </w:p>
    <w:p w14:paraId="51106D0F" w14:textId="1659D936"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tornado chart quantifies one-at-a-time sensitivity at 10 GW fleet size across the variable parameters under the inference-dominant </w:t>
      </w:r>
      <w:r w:rsidR="0060691A">
        <w:rPr>
          <w:rFonts w:ascii="Times New Roman" w:hAnsi="Times New Roman" w:cs="Times New Roman"/>
          <w:bCs/>
        </w:rPr>
        <w:t>scenario</w:t>
      </w:r>
      <w:r w:rsidRPr="00C74245">
        <w:rPr>
          <w:rFonts w:ascii="Times New Roman" w:hAnsi="Times New Roman" w:cs="Times New Roman"/>
          <w:bCs/>
        </w:rPr>
        <w:t xml:space="preserve">, sweeping each from its lower to upper bound while holding all others at central values. </w:t>
      </w:r>
      <w:r w:rsidR="00EF2942" w:rsidRPr="00EF2942">
        <w:rPr>
          <w:rFonts w:ascii="Times New Roman" w:hAnsi="Times New Roman" w:cs="Times New Roman"/>
          <w:bCs/>
        </w:rPr>
        <w:t>φ</w:t>
      </w:r>
      <w:r w:rsidR="00EF2942" w:rsidRPr="005D1770">
        <w:rPr>
          <w:rFonts w:ascii="Times New Roman" w:hAnsi="Times New Roman" w:cs="Times New Roman"/>
          <w:bCs/>
          <w:vertAlign w:val="subscript"/>
        </w:rPr>
        <w:t>inf</w:t>
      </w:r>
      <w:r w:rsidR="00EF2942" w:rsidRPr="00EF2942">
        <w:rPr>
          <w:rFonts w:ascii="Times New Roman" w:hAnsi="Times New Roman" w:cs="Times New Roman"/>
          <w:bCs/>
        </w:rPr>
        <w:t xml:space="preserve"> is excluded; the two-</w:t>
      </w:r>
      <w:r w:rsidR="0060691A">
        <w:rPr>
          <w:rFonts w:ascii="Times New Roman" w:hAnsi="Times New Roman" w:cs="Times New Roman"/>
          <w:bCs/>
        </w:rPr>
        <w:t>scenario</w:t>
      </w:r>
      <w:r w:rsidR="0060691A" w:rsidRPr="00EF2942">
        <w:rPr>
          <w:rFonts w:ascii="Times New Roman" w:hAnsi="Times New Roman" w:cs="Times New Roman"/>
          <w:bCs/>
        </w:rPr>
        <w:t xml:space="preserve"> </w:t>
      </w:r>
      <w:r w:rsidR="00EF2942" w:rsidRPr="00EF2942">
        <w:rPr>
          <w:rFonts w:ascii="Times New Roman" w:hAnsi="Times New Roman" w:cs="Times New Roman"/>
          <w:bCs/>
        </w:rPr>
        <w:t>reporting captures its sensitivity.</w:t>
      </w:r>
      <w:r w:rsidRPr="00C74245">
        <w:rPr>
          <w:rFonts w:ascii="Times New Roman" w:hAnsi="Times New Roman" w:cs="Times New Roman"/>
          <w:bCs/>
        </w:rPr>
        <w:t xml:space="preserve"> </w:t>
      </w:r>
      <w:r w:rsidR="00EF2942" w:rsidRPr="00EF2942">
        <w:rPr>
          <w:rFonts w:ascii="Times New Roman" w:hAnsi="Times New Roman" w:cs="Times New Roman"/>
          <w:bCs/>
        </w:rPr>
        <w:t>DEST</w:t>
      </w:r>
      <w:r w:rsidR="00EF2942" w:rsidRPr="005D1770">
        <w:rPr>
          <w:rFonts w:ascii="Times New Roman" w:hAnsi="Times New Roman" w:cs="Times New Roman"/>
          <w:bCs/>
          <w:vertAlign w:val="subscript"/>
        </w:rPr>
        <w:t>avail</w:t>
      </w:r>
      <w:r w:rsidR="00EF2942" w:rsidRPr="00EF2942">
        <w:rPr>
          <w:rFonts w:ascii="Times New Roman" w:hAnsi="Times New Roman" w:cs="Times New Roman"/>
          <w:bCs/>
        </w:rPr>
        <w:t xml:space="preserve"> is swept parametrically rather than observed per-hour for direct comparability with other parameters</w:t>
      </w:r>
      <w:r w:rsidRPr="00C74245">
        <w:rPr>
          <w:rFonts w:ascii="Times New Roman" w:hAnsi="Times New Roman" w:cs="Times New Roman"/>
          <w:bCs/>
        </w:rPr>
        <w:t>.</w:t>
      </w:r>
    </w:p>
    <w:p w14:paraId="7E34C17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System-level calculations</w:t>
      </w:r>
    </w:p>
    <w:p w14:paraId="140A972C" w14:textId="397485C2" w:rsidR="00BE4AEC" w:rsidRPr="00F407A0" w:rsidRDefault="00B140BA" w:rsidP="00A42F23">
      <w:pPr>
        <w:rPr>
          <w:rFonts w:ascii="Times New Roman" w:hAnsi="Times New Roman" w:cs="Times New Roman"/>
          <w:bCs/>
        </w:rPr>
      </w:pPr>
      <w:r w:rsidRPr="00B140BA">
        <w:rPr>
          <w:rFonts w:ascii="Times New Roman" w:hAnsi="Times New Roman" w:cs="Times New Roman"/>
          <w:bCs/>
        </w:rPr>
        <w:t>The 92% ELCC applied to committed MW follows PJM precedent for demand response resources</w:t>
      </w:r>
      <w:r w:rsidR="00B717CE">
        <w:rPr>
          <w:rFonts w:ascii="Times New Roman" w:hAnsi="Times New Roman" w:cs="Times New Roman"/>
          <w:bCs/>
        </w:rPr>
        <w:t>[12]</w:t>
      </w:r>
      <w:r w:rsidRPr="00B140BA">
        <w:rPr>
          <w:rFonts w:ascii="Times New Roman" w:hAnsi="Times New Roman" w:cs="Times New Roman"/>
          <w:bCs/>
        </w:rPr>
        <w:t>. Avoided capacity cost is computed using the levelized CT cost of $180,000/MW-yr from the E3 2025 Resource Adequacy Study for Illinois</w:t>
      </w:r>
      <w:r w:rsidR="00B717CE">
        <w:rPr>
          <w:rFonts w:ascii="Times New Roman" w:hAnsi="Times New Roman" w:cs="Times New Roman"/>
          <w:bCs/>
        </w:rPr>
        <w:t>[1</w:t>
      </w:r>
      <w:r w:rsidR="00A104C3">
        <w:rPr>
          <w:rFonts w:ascii="Times New Roman" w:hAnsi="Times New Roman" w:cs="Times New Roman"/>
          <w:bCs/>
        </w:rPr>
        <w:t>4</w:t>
      </w:r>
      <w:r w:rsidR="00B717CE">
        <w:rPr>
          <w:rFonts w:ascii="Times New Roman" w:hAnsi="Times New Roman" w:cs="Times New Roman"/>
          <w:bCs/>
        </w:rPr>
        <w:t>]</w:t>
      </w:r>
      <w:r w:rsidRPr="00B140BA">
        <w:rPr>
          <w:rFonts w:ascii="Times New Roman" w:hAnsi="Times New Roman" w:cs="Times New Roman"/>
          <w:bCs/>
        </w:rPr>
        <w:t>. Interconnection acceleration NPV is computed using H100 GPU spot rates of $2.20/GPU-hour (Silicon Data GPU Rental Index, January 2026)</w:t>
      </w:r>
      <w:r w:rsidR="00B717CE">
        <w:rPr>
          <w:rFonts w:ascii="Times New Roman" w:hAnsi="Times New Roman" w:cs="Times New Roman"/>
          <w:bCs/>
        </w:rPr>
        <w:t>[</w:t>
      </w:r>
      <w:r w:rsidR="00A104C3">
        <w:rPr>
          <w:rFonts w:ascii="Times New Roman" w:hAnsi="Times New Roman" w:cs="Times New Roman"/>
          <w:bCs/>
        </w:rPr>
        <w:t>30</w:t>
      </w:r>
      <w:r w:rsidR="00B717CE">
        <w:rPr>
          <w:rFonts w:ascii="Times New Roman" w:hAnsi="Times New Roman" w:cs="Times New Roman"/>
          <w:bCs/>
        </w:rPr>
        <w:t>]</w:t>
      </w:r>
      <w:r w:rsidRPr="00B140BA">
        <w:rPr>
          <w:rFonts w:ascii="Times New Roman" w:hAnsi="Times New Roman" w:cs="Times New Roman"/>
          <w:bCs/>
        </w:rPr>
        <w:t>, 603 H100s per MW grid capacity (derived from 10.2 kW × 8 GPUs × 1.3 PUE), 80% utilization, and a 10% weighted average cost of capital. The central case applies a three-year acceleration window; conservative (two-year) and optimistic (four-year) values are reported in Extended Data Table 2</w:t>
      </w:r>
      <w:r w:rsidR="00C74245" w:rsidRPr="00C74245">
        <w:rPr>
          <w:rFonts w:ascii="Times New Roman" w:hAnsi="Times New Roman" w:cs="Times New Roman"/>
          <w:bCs/>
        </w:rPr>
        <w:t>.</w:t>
      </w:r>
    </w:p>
    <w:p w14:paraId="3BCDB6A8" w14:textId="77777777" w:rsidR="0098133A" w:rsidRPr="00C74245" w:rsidRDefault="0098133A" w:rsidP="0098133A">
      <w:pPr>
        <w:rPr>
          <w:rFonts w:ascii="Times New Roman" w:hAnsi="Times New Roman" w:cs="Times New Roman"/>
          <w:bCs/>
          <w:sz w:val="28"/>
          <w:szCs w:val="28"/>
        </w:rPr>
      </w:pPr>
      <w:r w:rsidRPr="00C74245">
        <w:rPr>
          <w:rFonts w:ascii="Times New Roman" w:hAnsi="Times New Roman" w:cs="Times New Roman"/>
          <w:b/>
          <w:bCs/>
          <w:sz w:val="28"/>
          <w:szCs w:val="28"/>
        </w:rPr>
        <w:t>Data and Code Availability</w:t>
      </w:r>
    </w:p>
    <w:p w14:paraId="5CFA752F" w14:textId="680B5BD6" w:rsidR="00F30CDA" w:rsidRPr="00C74245" w:rsidRDefault="00F30CDA" w:rsidP="00FB45F0">
      <w:pPr>
        <w:rPr>
          <w:rFonts w:ascii="Times New Roman" w:hAnsi="Times New Roman" w:cs="Times New Roman"/>
          <w:bCs/>
        </w:rPr>
      </w:pPr>
      <w:r w:rsidRPr="00C74245">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(DynamoLLM traces) is publicly available at https://github.com/Azure/AzurePublicDataset under AzureLLMInferenceDataset2024. The BurstGPT dataset is publicly available at https://github.com/HPMLL/BurstGPT. Data center location data are from the U.S. Department of Energy / National Renewable Energy Laboratory Accelerating Speed to Power Data Viewer (</w:t>
      </w:r>
      <w:r w:rsidR="00170FFE" w:rsidRPr="00C74245">
        <w:rPr>
          <w:rFonts w:ascii="Times New Roman" w:hAnsi="Times New Roman" w:cs="Times New Roman"/>
          <w:bCs/>
        </w:rPr>
        <w:t>https://maps.nrel.gov/speed-to-power</w:t>
      </w:r>
      <w:r w:rsidRPr="00C74245">
        <w:rPr>
          <w:rFonts w:ascii="Times New Roman" w:hAnsi="Times New Roman" w:cs="Times New Roman"/>
          <w:bCs/>
        </w:rPr>
        <w:t>)</w:t>
      </w:r>
      <w:r w:rsidR="00A104C3">
        <w:rPr>
          <w:rFonts w:ascii="Times New Roman" w:hAnsi="Times New Roman" w:cs="Times New Roman"/>
          <w:bCs/>
        </w:rPr>
        <w:t>[13]</w:t>
      </w:r>
      <w:r w:rsidR="00170FFE" w:rsidRPr="00C74245">
        <w:rPr>
          <w:rFonts w:ascii="Times New Roman" w:hAnsi="Times New Roman" w:cs="Times New Roman"/>
          <w:bCs/>
        </w:rPr>
        <w:t>, accessed via its public backend API</w:t>
      </w:r>
      <w:r w:rsidRPr="00C74245">
        <w:rPr>
          <w:rFonts w:ascii="Times New Roman" w:hAnsi="Times New Roman" w:cs="Times New Roman"/>
          <w:bCs/>
        </w:rPr>
        <w:t>. Analysis code and processed datasets are available at https://github.com/ctdunlap32/data-center-flexibility-resource-adequacy.</w:t>
      </w:r>
    </w:p>
    <w:p w14:paraId="1E0AC5B8" w14:textId="6C5D93C2" w:rsidR="00FB45F0" w:rsidRPr="00C74245" w:rsidRDefault="00FB45F0" w:rsidP="00FB45F0">
      <w:pPr>
        <w:rPr>
          <w:rFonts w:ascii="Times New Roman" w:hAnsi="Times New Roman" w:cs="Times New Roman"/>
          <w:bCs/>
          <w:sz w:val="28"/>
          <w:szCs w:val="28"/>
        </w:rPr>
      </w:pPr>
      <w:r w:rsidRPr="00C74245">
        <w:rPr>
          <w:rFonts w:ascii="Times New Roman" w:hAnsi="Times New Roman" w:cs="Times New Roman"/>
          <w:b/>
          <w:bCs/>
          <w:sz w:val="28"/>
          <w:szCs w:val="28"/>
        </w:rPr>
        <w:t>Acknowledgments</w:t>
      </w:r>
    </w:p>
    <w:p w14:paraId="26D928A5" w14:textId="004A42DC" w:rsidR="001C53D0" w:rsidRDefault="00FF6FF9" w:rsidP="0059191C">
      <w:pPr>
        <w:rPr>
          <w:rFonts w:ascii="Times New Roman" w:hAnsi="Times New Roman" w:cs="Times New Roman"/>
          <w:bCs/>
        </w:rPr>
      </w:pPr>
      <w:r w:rsidRPr="00C74245">
        <w:rPr>
          <w:rFonts w:ascii="Times New Roman" w:hAnsi="Times New Roman" w:cs="Times New Roman"/>
          <w:bCs/>
        </w:rPr>
        <w:t>The author thanks Robert Rosner for advisory support. This research was supported by the Bartlett Fellowship at</w:t>
      </w:r>
      <w:r w:rsidR="00C85773" w:rsidRPr="00C74245">
        <w:rPr>
          <w:rFonts w:ascii="Times New Roman" w:hAnsi="Times New Roman" w:cs="Times New Roman"/>
          <w:bCs/>
        </w:rPr>
        <w:t xml:space="preserve"> the Energy Policy Institute at Chicago</w:t>
      </w:r>
      <w:r w:rsidRPr="00C74245">
        <w:rPr>
          <w:rFonts w:ascii="Times New Roman" w:hAnsi="Times New Roman" w:cs="Times New Roman"/>
          <w:bCs/>
        </w:rPr>
        <w:t xml:space="preserve"> </w:t>
      </w:r>
      <w:r w:rsidR="00C85773" w:rsidRPr="00C74245">
        <w:rPr>
          <w:rFonts w:ascii="Times New Roman" w:hAnsi="Times New Roman" w:cs="Times New Roman"/>
          <w:bCs/>
        </w:rPr>
        <w:t>(</w:t>
      </w:r>
      <w:r w:rsidRPr="00C74245">
        <w:rPr>
          <w:rFonts w:ascii="Times New Roman" w:hAnsi="Times New Roman" w:cs="Times New Roman"/>
          <w:bCs/>
        </w:rPr>
        <w:t>EPIC</w:t>
      </w:r>
      <w:r w:rsidR="00C85773" w:rsidRPr="00C74245">
        <w:rPr>
          <w:rFonts w:ascii="Times New Roman" w:hAnsi="Times New Roman" w:cs="Times New Roman"/>
          <w:bCs/>
        </w:rPr>
        <w:t>)</w:t>
      </w:r>
      <w:r w:rsidRPr="00C74245">
        <w:rPr>
          <w:rFonts w:ascii="Times New Roman" w:hAnsi="Times New Roman" w:cs="Times New Roman"/>
          <w:bCs/>
        </w:rPr>
        <w:t xml:space="preserve">. The author used Anthropic's Claude for assistance with structural organization, literature search, computational code development, and prose drafting. </w:t>
      </w:r>
      <w:r w:rsidR="00C85773" w:rsidRPr="00C74245">
        <w:rPr>
          <w:rFonts w:ascii="Times New Roman" w:hAnsi="Times New Roman" w:cs="Times New Roman"/>
          <w:bCs/>
        </w:rPr>
        <w:t>All analytical design, empirical methodology, results, interpretation, and final editorial decisions are the author’s own</w:t>
      </w:r>
      <w:r w:rsidRPr="00C74245">
        <w:rPr>
          <w:rFonts w:ascii="Times New Roman" w:hAnsi="Times New Roman" w:cs="Times New Roman"/>
          <w:bCs/>
        </w:rPr>
        <w:t>.</w:t>
      </w:r>
    </w:p>
    <w:p w14:paraId="0A6B3645" w14:textId="77777777" w:rsidR="001E1732" w:rsidRPr="001E1732" w:rsidRDefault="001E1732" w:rsidP="0059191C">
      <w:pPr>
        <w:rPr>
          <w:rFonts w:ascii="Times New Roman" w:hAnsi="Times New Roman" w:cs="Times New Roman"/>
          <w:bCs/>
        </w:rPr>
      </w:pPr>
    </w:p>
    <w:p w14:paraId="0C04142D" w14:textId="14D0BC6C" w:rsidR="0059191C" w:rsidRPr="001C53D0" w:rsidRDefault="00C85773" w:rsidP="0059191C">
      <w:pPr>
        <w:rPr>
          <w:rFonts w:ascii="Times New Roman" w:hAnsi="Times New Roman" w:cs="Times New Roman"/>
          <w:bCs/>
          <w:sz w:val="28"/>
          <w:szCs w:val="28"/>
        </w:rPr>
      </w:pPr>
      <w:r w:rsidRPr="001C53D0">
        <w:rPr>
          <w:rFonts w:ascii="Times New Roman" w:hAnsi="Times New Roman" w:cs="Times New Roman"/>
          <w:b/>
          <w:bCs/>
          <w:sz w:val="28"/>
          <w:szCs w:val="28"/>
        </w:rPr>
        <w:lastRenderedPageBreak/>
        <w:t>R</w:t>
      </w:r>
      <w:r w:rsidR="0059191C" w:rsidRPr="001C53D0">
        <w:rPr>
          <w:rFonts w:ascii="Times New Roman" w:hAnsi="Times New Roman" w:cs="Times New Roman"/>
          <w:b/>
          <w:bCs/>
          <w:sz w:val="28"/>
          <w:szCs w:val="28"/>
        </w:rPr>
        <w:t>eferences</w:t>
      </w:r>
    </w:p>
    <w:p w14:paraId="49D48F83" w14:textId="55D7469B" w:rsidR="001C53D0" w:rsidRPr="001C53D0" w:rsidRDefault="001C53D0" w:rsidP="001C53D0">
      <w:pPr>
        <w:rPr>
          <w:rFonts w:ascii="Times New Roman" w:hAnsi="Times New Roman" w:cs="Times New Roman"/>
          <w:bCs/>
        </w:rPr>
      </w:pPr>
      <w:r>
        <w:rPr>
          <w:rFonts w:ascii="Times New Roman" w:hAnsi="Times New Roman" w:cs="Times New Roman"/>
          <w:bCs/>
        </w:rPr>
        <w:t>[1]</w:t>
      </w:r>
      <w:r w:rsidRPr="001C53D0">
        <w:rPr>
          <w:rFonts w:ascii="Times New Roman" w:hAnsi="Times New Roman" w:cs="Times New Roman"/>
          <w:bCs/>
        </w:rPr>
        <w:t xml:space="preserve"> PJM Interconnection, 2027/2028 Base Residual Auction Report (Valley Forge, PA: PJM Interconnection, December 17, 2025).</w:t>
      </w:r>
    </w:p>
    <w:p w14:paraId="7A927D69" w14:textId="0E1A9FBE" w:rsidR="001C53D0" w:rsidRPr="001C53D0" w:rsidRDefault="001C53D0" w:rsidP="001C53D0">
      <w:pPr>
        <w:rPr>
          <w:rFonts w:ascii="Times New Roman" w:hAnsi="Times New Roman" w:cs="Times New Roman"/>
          <w:bCs/>
        </w:rPr>
      </w:pPr>
      <w:r>
        <w:rPr>
          <w:rFonts w:ascii="Times New Roman" w:hAnsi="Times New Roman" w:cs="Times New Roman"/>
          <w:bCs/>
        </w:rPr>
        <w:t xml:space="preserve">[2] </w:t>
      </w:r>
      <w:r w:rsidRPr="001C53D0">
        <w:rPr>
          <w:rFonts w:ascii="Times New Roman" w:hAnsi="Times New Roman" w:cs="Times New Roman"/>
          <w:bCs/>
        </w:rPr>
        <w:t>PJM Interconnection, 2026 Long-Term Load Forecast Report (Valley Forge, PA: PJM Interconnection, January 14, 2026), Tables B-9 and B-9b.</w:t>
      </w:r>
    </w:p>
    <w:p w14:paraId="60E229C4" w14:textId="771C236F" w:rsidR="001C53D0" w:rsidRPr="001C53D0" w:rsidRDefault="001C53D0" w:rsidP="001C53D0">
      <w:pPr>
        <w:rPr>
          <w:rFonts w:ascii="Times New Roman" w:hAnsi="Times New Roman" w:cs="Times New Roman"/>
          <w:bCs/>
        </w:rPr>
      </w:pPr>
      <w:r>
        <w:rPr>
          <w:rFonts w:ascii="Times New Roman" w:hAnsi="Times New Roman" w:cs="Times New Roman"/>
          <w:bCs/>
        </w:rPr>
        <w:t>[3]</w:t>
      </w:r>
      <w:r w:rsidRPr="001C53D0">
        <w:rPr>
          <w:rFonts w:ascii="Times New Roman" w:hAnsi="Times New Roman" w:cs="Times New Roman"/>
          <w:bCs/>
        </w:rPr>
        <w:t xml:space="preserve"> Lawrence Berkeley National Laboratory, Queued Up: 2025 Edition, Characteristics of Power Plants Seeking Transmission Interconnection As of the End of 2024. (Berkeley, CA: LBNL, 2025).</w:t>
      </w:r>
    </w:p>
    <w:p w14:paraId="5F693186" w14:textId="695B8577" w:rsidR="001C53D0" w:rsidRPr="001C53D0" w:rsidRDefault="001C53D0" w:rsidP="001C53D0">
      <w:pPr>
        <w:rPr>
          <w:rFonts w:ascii="Times New Roman" w:hAnsi="Times New Roman" w:cs="Times New Roman"/>
          <w:bCs/>
        </w:rPr>
      </w:pPr>
      <w:r>
        <w:rPr>
          <w:rFonts w:ascii="Times New Roman" w:hAnsi="Times New Roman" w:cs="Times New Roman"/>
          <w:bCs/>
        </w:rPr>
        <w:t xml:space="preserve">[4] </w:t>
      </w:r>
      <w:r w:rsidRPr="001C53D0">
        <w:rPr>
          <w:rFonts w:ascii="Times New Roman" w:hAnsi="Times New Roman" w:cs="Times New Roman"/>
          <w:bCs/>
        </w:rPr>
        <w:t>International Energy Agency. Energy and AI. World Energy Outlook Special Report (2025).</w:t>
      </w:r>
    </w:p>
    <w:p w14:paraId="619DBC0B" w14:textId="0C6930A2" w:rsidR="001C53D0" w:rsidRPr="001C53D0" w:rsidRDefault="001C53D0" w:rsidP="001C53D0">
      <w:pPr>
        <w:rPr>
          <w:rFonts w:ascii="Times New Roman" w:hAnsi="Times New Roman" w:cs="Times New Roman"/>
          <w:bCs/>
        </w:rPr>
      </w:pPr>
      <w:r>
        <w:rPr>
          <w:rFonts w:ascii="Times New Roman" w:hAnsi="Times New Roman" w:cs="Times New Roman"/>
          <w:bCs/>
        </w:rPr>
        <w:t>[5]</w:t>
      </w:r>
      <w:r w:rsidRPr="001C53D0">
        <w:rPr>
          <w:rFonts w:ascii="Times New Roman" w:hAnsi="Times New Roman" w:cs="Times New Roman"/>
          <w:bCs/>
        </w:rPr>
        <w:t xml:space="preserve"> Zhang, C., et al. Flex: High-availability datacenters with zero reserved power. ISCA (2021).</w:t>
      </w:r>
    </w:p>
    <w:p w14:paraId="7B43CE14" w14:textId="23F51667" w:rsidR="001C53D0" w:rsidRPr="001C53D0" w:rsidRDefault="001C53D0" w:rsidP="001C53D0">
      <w:pPr>
        <w:rPr>
          <w:rFonts w:ascii="Times New Roman" w:hAnsi="Times New Roman" w:cs="Times New Roman"/>
          <w:bCs/>
        </w:rPr>
      </w:pPr>
      <w:r>
        <w:rPr>
          <w:rFonts w:ascii="Times New Roman" w:hAnsi="Times New Roman" w:cs="Times New Roman"/>
          <w:bCs/>
        </w:rPr>
        <w:t>[6]</w:t>
      </w:r>
      <w:r w:rsidRPr="001C53D0">
        <w:rPr>
          <w:rFonts w:ascii="Times New Roman" w:hAnsi="Times New Roman" w:cs="Times New Roman"/>
          <w:bCs/>
        </w:rPr>
        <w:t xml:space="preserve"> Stojkovic, J., Zhang, C., Goiri, Í., Torrellas, J., &amp; Choukse, E. DynamoLLM: Designing LLM Inference Clusters for Performance and Energy Efficiency. Proc. HPCA 2025, pp. 1348–1362</w:t>
      </w:r>
    </w:p>
    <w:p w14:paraId="7345DE88" w14:textId="56CFEF0B" w:rsidR="001C53D0" w:rsidRPr="001C53D0" w:rsidRDefault="001C53D0" w:rsidP="001C53D0">
      <w:pPr>
        <w:rPr>
          <w:rFonts w:ascii="Times New Roman" w:hAnsi="Times New Roman" w:cs="Times New Roman"/>
          <w:bCs/>
        </w:rPr>
      </w:pPr>
      <w:r>
        <w:rPr>
          <w:rFonts w:ascii="Times New Roman" w:hAnsi="Times New Roman" w:cs="Times New Roman"/>
          <w:bCs/>
        </w:rPr>
        <w:t xml:space="preserve">[7] </w:t>
      </w:r>
      <w:r w:rsidRPr="001C53D0">
        <w:rPr>
          <w:rFonts w:ascii="Times New Roman" w:hAnsi="Times New Roman" w:cs="Times New Roman"/>
          <w:bCs/>
        </w:rPr>
        <w:t>Li, L., et al. Thunderbolt: Throughput-optimized, quality-of-service-aware power capping at scale. OSDI (2020)</w:t>
      </w:r>
    </w:p>
    <w:p w14:paraId="39A368A6" w14:textId="7E135DAA" w:rsidR="00A36ECE" w:rsidRDefault="00A36ECE" w:rsidP="001C53D0">
      <w:pPr>
        <w:rPr>
          <w:rFonts w:ascii="Times New Roman" w:hAnsi="Times New Roman" w:cs="Times New Roman"/>
          <w:bCs/>
        </w:rPr>
      </w:pPr>
      <w:r>
        <w:rPr>
          <w:rFonts w:ascii="Times New Roman" w:hAnsi="Times New Roman" w:cs="Times New Roman"/>
          <w:bCs/>
        </w:rPr>
        <w:t xml:space="preserve">[8] </w:t>
      </w:r>
      <w:r w:rsidRPr="001C53D0">
        <w:rPr>
          <w:rFonts w:ascii="Times New Roman" w:hAnsi="Times New Roman" w:cs="Times New Roman"/>
          <w:bCs/>
        </w:rPr>
        <w:t>Colangelo, P., Coskun, A. K., Megrue, J., Roberts, C., Sengupta, S., Sivaram, V., Tiao, E., Vijaykar, A., Williams, C., Wilson, D. C., Records, B., MacFarland, Z., Dreiling, D., Morey, N., Ratnayake, A., &amp; Vairamohan, B. AI data centres as grid-interactive assets. Nature Energy 11, 254–261 (2026). https://doi.org/10.1038/s41560-025-01927-1.</w:t>
      </w:r>
    </w:p>
    <w:p w14:paraId="043777CF" w14:textId="42A352D7" w:rsidR="00A36ECE"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9</w:t>
      </w:r>
      <w:r>
        <w:rPr>
          <w:rFonts w:ascii="Times New Roman" w:hAnsi="Times New Roman" w:cs="Times New Roman"/>
          <w:bCs/>
        </w:rPr>
        <w:t>]</w:t>
      </w:r>
      <w:r w:rsidRPr="001C53D0">
        <w:rPr>
          <w:rFonts w:ascii="Times New Roman" w:hAnsi="Times New Roman" w:cs="Times New Roman"/>
          <w:bCs/>
        </w:rPr>
        <w:t xml:space="preserve"> </w:t>
      </w:r>
      <w:r w:rsidR="00A36ECE" w:rsidRPr="001C53D0">
        <w:rPr>
          <w:rFonts w:ascii="Times New Roman" w:hAnsi="Times New Roman" w:cs="Times New Roman"/>
          <w:bCs/>
        </w:rPr>
        <w:t>M Arora, C., Sorel, M., Sachdeva, P., Bhan, A., He, J., Shaw, N., Garg, R., &amp; Ravishankar, S. The next big shifts in AI workloads and hyperscaler strategies. McKinsey &amp; Company, Technology, Media &amp; Telecommunications Practice (December 2025).</w:t>
      </w:r>
    </w:p>
    <w:p w14:paraId="027D1DB1" w14:textId="6AFF9C19" w:rsidR="00A36ECE" w:rsidRDefault="00A36ECE" w:rsidP="001C53D0">
      <w:pPr>
        <w:rPr>
          <w:rFonts w:ascii="Times New Roman" w:hAnsi="Times New Roman" w:cs="Times New Roman"/>
          <w:bCs/>
        </w:rPr>
      </w:pPr>
      <w:r>
        <w:rPr>
          <w:rFonts w:ascii="Times New Roman" w:hAnsi="Times New Roman" w:cs="Times New Roman"/>
          <w:bCs/>
        </w:rPr>
        <w:t xml:space="preserve">[10] </w:t>
      </w:r>
      <w:r w:rsidRPr="001C53D0">
        <w:rPr>
          <w:rFonts w:ascii="Times New Roman" w:hAnsi="Times New Roman" w:cs="Times New Roman"/>
          <w:bCs/>
        </w:rPr>
        <w:t>Zhou, X., et al. AI-Focused HPC Data Centers Can Provide More Power Grid Flexibility and at Lower Cost. arXiv:2410.17435 (2024).</w:t>
      </w:r>
    </w:p>
    <w:p w14:paraId="2A1222B8" w14:textId="73549A59" w:rsidR="001C53D0" w:rsidRPr="001C53D0" w:rsidRDefault="001C53D0" w:rsidP="001C53D0">
      <w:pPr>
        <w:rPr>
          <w:rFonts w:ascii="Times New Roman" w:hAnsi="Times New Roman" w:cs="Times New Roman"/>
          <w:bCs/>
        </w:rPr>
      </w:pPr>
      <w:r>
        <w:rPr>
          <w:rFonts w:ascii="Times New Roman" w:hAnsi="Times New Roman" w:cs="Times New Roman"/>
          <w:bCs/>
        </w:rPr>
        <w:t>[</w:t>
      </w:r>
      <w:r w:rsidR="00A36ECE">
        <w:rPr>
          <w:rFonts w:ascii="Times New Roman" w:hAnsi="Times New Roman" w:cs="Times New Roman"/>
          <w:bCs/>
        </w:rPr>
        <w:t>11</w:t>
      </w:r>
      <w:r>
        <w:rPr>
          <w:rFonts w:ascii="Times New Roman" w:hAnsi="Times New Roman" w:cs="Times New Roman"/>
          <w:bCs/>
        </w:rPr>
        <w:t>]</w:t>
      </w:r>
      <w:r w:rsidRPr="001C53D0">
        <w:rPr>
          <w:rFonts w:ascii="Times New Roman" w:hAnsi="Times New Roman" w:cs="Times New Roman"/>
          <w:bCs/>
        </w:rPr>
        <w:t xml:space="preserve"> U.S. Department of Energy / National Renewable Energy Laboratory. "Data Center Demand Capacity by County." Accelerating Speed to Power Data Viewer. maps.nrel.gov/speed-to-power (accessed December 2025)</w:t>
      </w:r>
    </w:p>
    <w:p w14:paraId="14CAB899" w14:textId="4556445D" w:rsidR="001C53D0" w:rsidRPr="001C53D0" w:rsidRDefault="001C53D0" w:rsidP="001C53D0">
      <w:pPr>
        <w:rPr>
          <w:rFonts w:ascii="Times New Roman" w:hAnsi="Times New Roman" w:cs="Times New Roman"/>
          <w:bCs/>
        </w:rPr>
      </w:pPr>
      <w:r>
        <w:rPr>
          <w:rFonts w:ascii="Times New Roman" w:hAnsi="Times New Roman" w:cs="Times New Roman"/>
          <w:bCs/>
        </w:rPr>
        <w:t>[1</w:t>
      </w:r>
      <w:r w:rsidR="00A36ECE">
        <w:rPr>
          <w:rFonts w:ascii="Times New Roman" w:hAnsi="Times New Roman" w:cs="Times New Roman"/>
          <w:bCs/>
        </w:rPr>
        <w:t>2</w:t>
      </w:r>
      <w:r>
        <w:rPr>
          <w:rFonts w:ascii="Times New Roman" w:hAnsi="Times New Roman" w:cs="Times New Roman"/>
          <w:bCs/>
        </w:rPr>
        <w:t>]</w:t>
      </w:r>
      <w:r w:rsidRPr="001C53D0">
        <w:rPr>
          <w:rFonts w:ascii="Times New Roman" w:hAnsi="Times New Roman" w:cs="Times New Roman"/>
          <w:bCs/>
        </w:rPr>
        <w:t xml:space="preserve"> PJM Interconnection. PJM Manual 13: Emergency Operations. Rev. 97, effective November 20, 2025.</w:t>
      </w:r>
    </w:p>
    <w:p w14:paraId="205E2C55" w14:textId="01CBA98C" w:rsidR="00D87871" w:rsidRDefault="001C53D0" w:rsidP="001C53D0">
      <w:pPr>
        <w:rPr>
          <w:rFonts w:ascii="Times New Roman" w:hAnsi="Times New Roman" w:cs="Times New Roman"/>
          <w:bCs/>
        </w:rPr>
      </w:pPr>
      <w:r>
        <w:rPr>
          <w:rFonts w:ascii="Times New Roman" w:hAnsi="Times New Roman" w:cs="Times New Roman"/>
          <w:bCs/>
        </w:rPr>
        <w:t>[1</w:t>
      </w:r>
      <w:r w:rsidR="00E34A7A">
        <w:rPr>
          <w:rFonts w:ascii="Times New Roman" w:hAnsi="Times New Roman" w:cs="Times New Roman"/>
          <w:bCs/>
        </w:rPr>
        <w:t>3</w:t>
      </w:r>
      <w:r>
        <w:rPr>
          <w:rFonts w:ascii="Times New Roman" w:hAnsi="Times New Roman" w:cs="Times New Roman"/>
          <w:bCs/>
        </w:rPr>
        <w:t>]</w:t>
      </w:r>
      <w:r w:rsidR="00D87871">
        <w:rPr>
          <w:rFonts w:ascii="Times New Roman" w:hAnsi="Times New Roman" w:cs="Times New Roman"/>
          <w:bCs/>
        </w:rPr>
        <w:t xml:space="preserve"> </w:t>
      </w:r>
      <w:r w:rsidR="00D87871" w:rsidRPr="00481538">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p w14:paraId="1762BEB2" w14:textId="0D4B28D7" w:rsidR="00552814" w:rsidRDefault="00D87871" w:rsidP="001C53D0">
      <w:pPr>
        <w:rPr>
          <w:rFonts w:ascii="Times New Roman" w:hAnsi="Times New Roman" w:cs="Times New Roman"/>
          <w:bCs/>
        </w:rPr>
      </w:pPr>
      <w:r>
        <w:rPr>
          <w:rFonts w:ascii="Times New Roman" w:hAnsi="Times New Roman" w:cs="Times New Roman"/>
          <w:bCs/>
        </w:rPr>
        <w:t>[14]</w:t>
      </w:r>
      <w:r w:rsidR="001C53D0" w:rsidRPr="001C53D0">
        <w:rPr>
          <w:rFonts w:ascii="Times New Roman" w:hAnsi="Times New Roman" w:cs="Times New Roman"/>
          <w:bCs/>
        </w:rPr>
        <w:t xml:space="preserve"> E3 (Energy and Environmental Economics). 2025 Resource Adequacy Study for Illinois (2025).</w:t>
      </w:r>
    </w:p>
    <w:p w14:paraId="1C512356" w14:textId="77777777" w:rsidR="00766339" w:rsidRDefault="00766339" w:rsidP="001C53D0">
      <w:pPr>
        <w:rPr>
          <w:rFonts w:ascii="Times New Roman" w:hAnsi="Times New Roman" w:cs="Times New Roman"/>
          <w:bCs/>
        </w:rPr>
      </w:pPr>
    </w:p>
    <w:p w14:paraId="2AC4FA1D" w14:textId="417C1240" w:rsidR="00766339" w:rsidRDefault="00766339" w:rsidP="001C53D0">
      <w:pPr>
        <w:rPr>
          <w:rFonts w:ascii="Times New Roman" w:hAnsi="Times New Roman" w:cs="Times New Roman"/>
          <w:bCs/>
        </w:rPr>
      </w:pPr>
      <w:r>
        <w:rPr>
          <w:rFonts w:ascii="Times New Roman" w:hAnsi="Times New Roman" w:cs="Times New Roman"/>
          <w:bCs/>
        </w:rPr>
        <w:t xml:space="preserve">[15] </w:t>
      </w:r>
      <w:r w:rsidRPr="00900941">
        <w:rPr>
          <w:rFonts w:ascii="Times New Roman" w:hAnsi="Times New Roman" w:cs="Times New Roman"/>
          <w:bCs/>
        </w:rPr>
        <w:t xml:space="preserve">Knittel, C. R., Senga, J. R. L., &amp; Wang, S. Flexible Data Centers and the Grid: Lower Costs, Higher Emissions? </w:t>
      </w:r>
      <w:r w:rsidRPr="00900941">
        <w:rPr>
          <w:rFonts w:ascii="Times New Roman" w:hAnsi="Times New Roman" w:cs="Times New Roman"/>
          <w:bCs/>
          <w:i/>
          <w:iCs/>
        </w:rPr>
        <w:t>NBER Working Paper No. 34065</w:t>
      </w:r>
      <w:r w:rsidRPr="00900941">
        <w:rPr>
          <w:rFonts w:ascii="Times New Roman" w:hAnsi="Times New Roman" w:cs="Times New Roman"/>
          <w:bCs/>
        </w:rPr>
        <w:t>, National Bureau of Economic Research, July 2025. http://www.nber.org/papers/w34065.</w:t>
      </w:r>
    </w:p>
    <w:p w14:paraId="67E7E4B1" w14:textId="6039F6FC" w:rsidR="00E34A7A" w:rsidRDefault="00E34A7A" w:rsidP="001C53D0">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6</w:t>
      </w:r>
      <w:r>
        <w:rPr>
          <w:rFonts w:ascii="Times New Roman" w:hAnsi="Times New Roman" w:cs="Times New Roman"/>
          <w:bCs/>
        </w:rPr>
        <w:t xml:space="preserve">] </w:t>
      </w:r>
      <w:r w:rsidRPr="00633130">
        <w:rPr>
          <w:rFonts w:ascii="Times New Roman" w:hAnsi="Times New Roman" w:cs="Times New Roman"/>
        </w:rPr>
        <w:t xml:space="preserve">Terrell, M. How we're making data centers more flexible to benefit power grids. </w:t>
      </w:r>
      <w:r w:rsidRPr="00633130">
        <w:rPr>
          <w:rFonts w:ascii="Times New Roman" w:hAnsi="Times New Roman" w:cs="Times New Roman"/>
          <w:i/>
          <w:iCs/>
        </w:rPr>
        <w:t>The Keyword</w:t>
      </w:r>
      <w:r w:rsidRPr="00633130">
        <w:rPr>
          <w:rFonts w:ascii="Times New Roman" w:hAnsi="Times New Roman" w:cs="Times New Roman"/>
        </w:rPr>
        <w:t xml:space="preserve"> (Google) </w:t>
      </w:r>
      <w:hyperlink r:id="rId13" w:history="1">
        <w:r w:rsidRPr="00633130">
          <w:rPr>
            <w:rStyle w:val="Hyperlink"/>
            <w:rFonts w:ascii="Times New Roman" w:hAnsi="Times New Roman" w:cs="Times New Roman"/>
            <w:color w:val="auto"/>
            <w:u w:val="none"/>
          </w:rPr>
          <w:t>https://blog.google/innovation-and-ai/infrastructure-and-cloud/global-network/how-were-making-data-centers-more-flexible-to-benefit-power-grids/</w:t>
        </w:r>
      </w:hyperlink>
      <w:r w:rsidRPr="00633130">
        <w:rPr>
          <w:rFonts w:ascii="Times New Roman" w:hAnsi="Times New Roman" w:cs="Times New Roman"/>
        </w:rPr>
        <w:t xml:space="preserve"> (4 August 2025).</w:t>
      </w:r>
    </w:p>
    <w:p w14:paraId="4531F35D" w14:textId="3AD0BA96" w:rsidR="00A36ECE" w:rsidRPr="001C53D0" w:rsidRDefault="00DC42BA" w:rsidP="00A36ECE">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7</w:t>
      </w:r>
      <w:r>
        <w:rPr>
          <w:rFonts w:ascii="Times New Roman" w:hAnsi="Times New Roman" w:cs="Times New Roman"/>
          <w:bCs/>
        </w:rPr>
        <w:t xml:space="preserve">] </w:t>
      </w:r>
      <w:r w:rsidR="00A36ECE" w:rsidRPr="001C53D0">
        <w:rPr>
          <w:rFonts w:ascii="Times New Roman" w:hAnsi="Times New Roman" w:cs="Times New Roman"/>
          <w:bCs/>
        </w:rPr>
        <w:t>Patel, P., Choukse, E., Zhang, C., Goiri, Í., Warrier, S., Mahalingam, N., &amp; Bianchini, R. Splitwise: Efficient generative LLM inference using phase splitting. ISCA (2024).</w:t>
      </w:r>
    </w:p>
    <w:p w14:paraId="285210ED" w14:textId="40CC515F" w:rsidR="00A36ECE" w:rsidRPr="001C53D0" w:rsidRDefault="00A36ECE" w:rsidP="00A36ECE">
      <w:pPr>
        <w:rPr>
          <w:rFonts w:ascii="Times New Roman" w:hAnsi="Times New Roman" w:cs="Times New Roman"/>
          <w:bCs/>
        </w:rPr>
      </w:pPr>
      <w:r>
        <w:rPr>
          <w:rFonts w:ascii="Times New Roman" w:hAnsi="Times New Roman" w:cs="Times New Roman"/>
          <w:bCs/>
        </w:rPr>
        <w:t>[</w:t>
      </w:r>
      <w:r w:rsidR="00DC42BA">
        <w:rPr>
          <w:rFonts w:ascii="Times New Roman" w:hAnsi="Times New Roman" w:cs="Times New Roman"/>
          <w:bCs/>
        </w:rPr>
        <w:t>1</w:t>
      </w:r>
      <w:r w:rsidR="00766339">
        <w:rPr>
          <w:rFonts w:ascii="Times New Roman" w:hAnsi="Times New Roman" w:cs="Times New Roman"/>
          <w:bCs/>
        </w:rPr>
        <w:t>8</w:t>
      </w:r>
      <w:r>
        <w:rPr>
          <w:rFonts w:ascii="Times New Roman" w:hAnsi="Times New Roman" w:cs="Times New Roman"/>
          <w:bCs/>
        </w:rPr>
        <w:t>]</w:t>
      </w:r>
      <w:r w:rsidRPr="001C53D0">
        <w:rPr>
          <w:rFonts w:ascii="Times New Roman" w:hAnsi="Times New Roman" w:cs="Times New Roman"/>
          <w:bCs/>
        </w:rPr>
        <w:t xml:space="preserve"> Zhong, Y., Liu, S., Chen, J., Hu, J., Zhu, Y., Liu, X., Jin, X., &amp; Zhang, H. DistServe: Disaggregating prefill and decoding for goodput-optimized large language model serving. OSDI (2024).</w:t>
      </w:r>
    </w:p>
    <w:p w14:paraId="6F601B47" w14:textId="2211927D" w:rsidR="00A36ECE" w:rsidRPr="001C53D0" w:rsidRDefault="00A36ECE" w:rsidP="00A36ECE">
      <w:pPr>
        <w:rPr>
          <w:rFonts w:ascii="Times New Roman" w:hAnsi="Times New Roman" w:cs="Times New Roman"/>
          <w:bCs/>
        </w:rPr>
      </w:pPr>
      <w:r>
        <w:rPr>
          <w:rFonts w:ascii="Times New Roman" w:hAnsi="Times New Roman" w:cs="Times New Roman"/>
          <w:bCs/>
        </w:rPr>
        <w:t>[1</w:t>
      </w:r>
      <w:r w:rsidR="00766339">
        <w:rPr>
          <w:rFonts w:ascii="Times New Roman" w:hAnsi="Times New Roman" w:cs="Times New Roman"/>
          <w:bCs/>
        </w:rPr>
        <w:t>9</w:t>
      </w:r>
      <w:r w:rsidR="00DC42BA">
        <w:rPr>
          <w:rFonts w:ascii="Times New Roman" w:hAnsi="Times New Roman" w:cs="Times New Roman"/>
          <w:bCs/>
        </w:rPr>
        <w:t>]</w:t>
      </w:r>
      <w:r w:rsidRPr="001C53D0">
        <w:rPr>
          <w:rFonts w:ascii="Times New Roman" w:hAnsi="Times New Roman" w:cs="Times New Roman"/>
          <w:bCs/>
        </w:rPr>
        <w:t xml:space="preserve"> Qin, L., et al. Mooncake: Trading more storage for less computation — a KVCache-centric architecture for serving LLM chatbot. (Moonshot AI, 2024).</w:t>
      </w:r>
    </w:p>
    <w:p w14:paraId="625928E6" w14:textId="1B61D1EF" w:rsidR="003729C7" w:rsidRDefault="003729C7" w:rsidP="00A36ECE">
      <w:pPr>
        <w:rPr>
          <w:rFonts w:ascii="Times New Roman" w:hAnsi="Times New Roman" w:cs="Times New Roman"/>
          <w:bCs/>
        </w:rPr>
      </w:pPr>
      <w:r w:rsidRPr="003729C7">
        <w:rPr>
          <w:rFonts w:ascii="Times New Roman" w:hAnsi="Times New Roman" w:cs="Times New Roman"/>
          <w:bCs/>
        </w:rPr>
        <w:t>[</w:t>
      </w:r>
      <w:r w:rsidR="00A104C3">
        <w:rPr>
          <w:rFonts w:ascii="Times New Roman" w:hAnsi="Times New Roman" w:cs="Times New Roman"/>
          <w:bCs/>
        </w:rPr>
        <w:t>20</w:t>
      </w:r>
      <w:r w:rsidRPr="003729C7">
        <w:rPr>
          <w:rFonts w:ascii="Times New Roman" w:hAnsi="Times New Roman" w:cs="Times New Roman"/>
          <w:bCs/>
        </w:rPr>
        <w:t xml:space="preserve">] NVIDIA Corporation. CUDA Compatibility, Release r595 (NVIDIA Corporation, March 31, 2026). </w:t>
      </w:r>
      <w:r w:rsidRPr="00900941">
        <w:rPr>
          <w:rFonts w:ascii="Times New Roman" w:hAnsi="Times New Roman" w:cs="Times New Roman"/>
          <w:bCs/>
        </w:rPr>
        <w:t>https://docs.nvidia.com/deploy/cuda-compatibility/</w:t>
      </w:r>
      <w:r w:rsidRPr="003729C7">
        <w:rPr>
          <w:rFonts w:ascii="Times New Roman" w:hAnsi="Times New Roman" w:cs="Times New Roman"/>
          <w:bCs/>
        </w:rPr>
        <w:t>.</w:t>
      </w:r>
    </w:p>
    <w:p w14:paraId="0C31E0FA" w14:textId="11B6ADA6" w:rsidR="003729C7" w:rsidRDefault="003729C7" w:rsidP="00A36ECE">
      <w:pPr>
        <w:rPr>
          <w:rFonts w:ascii="Times New Roman" w:hAnsi="Times New Roman" w:cs="Times New Roman"/>
          <w:bCs/>
        </w:rPr>
      </w:pPr>
      <w:r w:rsidRPr="003729C7">
        <w:rPr>
          <w:rFonts w:ascii="Times New Roman" w:hAnsi="Times New Roman" w:cs="Times New Roman"/>
          <w:bCs/>
        </w:rPr>
        <w:t>[</w:t>
      </w:r>
      <w:r w:rsidR="00A104C3">
        <w:rPr>
          <w:rFonts w:ascii="Times New Roman" w:hAnsi="Times New Roman" w:cs="Times New Roman"/>
          <w:bCs/>
        </w:rPr>
        <w:t>21</w:t>
      </w:r>
      <w:r w:rsidRPr="003729C7">
        <w:rPr>
          <w:rFonts w:ascii="Times New Roman" w:hAnsi="Times New Roman" w:cs="Times New Roman"/>
          <w:bCs/>
        </w:rPr>
        <w:t xml:space="preserve">] Dayan, O., Neria, N., &amp; Karabulut, E. Reducing Cold Start Latency for LLM Inference with NVIDIA Run:ai Model Streamer. NVIDIA Technical Blog (September 16, 2025). </w:t>
      </w:r>
      <w:r w:rsidRPr="00900941">
        <w:rPr>
          <w:rFonts w:ascii="Times New Roman" w:hAnsi="Times New Roman" w:cs="Times New Roman"/>
          <w:bCs/>
        </w:rPr>
        <w:t>https://developer.nvidia.com/blog/reducing-cold-start-latency-for-llm-inference-with-nvidia-runai-model-streamer/</w:t>
      </w:r>
      <w:r w:rsidRPr="003729C7">
        <w:rPr>
          <w:rFonts w:ascii="Times New Roman" w:hAnsi="Times New Roman" w:cs="Times New Roman"/>
          <w:bCs/>
        </w:rPr>
        <w:t>.</w:t>
      </w:r>
    </w:p>
    <w:p w14:paraId="6C23AC9D" w14:textId="63B612BE" w:rsidR="003729C7" w:rsidRPr="001C53D0" w:rsidRDefault="003729C7" w:rsidP="00A36ECE">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2</w:t>
      </w:r>
      <w:r w:rsidRPr="003729C7">
        <w:rPr>
          <w:rFonts w:ascii="Times New Roman" w:hAnsi="Times New Roman" w:cs="Times New Roman"/>
          <w:bCs/>
        </w:rPr>
        <w:t>] Jain, S., Kumar, A., Mandal, S., Ong, J., Poutievski, L., Singh, A., Venkata, S., Wanderer, J., Zhou, J., Zhu, M., Zolla, J., Hölzle, U., Stuart, S., &amp; Vahdat, A. B4: Experience with a Globally-Deployed Software Defined WAN. Proceedings of the ACM SIGCOMM 2013 Conference (Hong Kong, China, August 2013), pp. 3–14.</w:t>
      </w:r>
    </w:p>
    <w:p w14:paraId="7C7F92DC" w14:textId="4055880B" w:rsidR="00A36ECE" w:rsidRDefault="003729C7" w:rsidP="001C53D0">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3</w:t>
      </w:r>
      <w:r w:rsidRPr="003729C7">
        <w:rPr>
          <w:rFonts w:ascii="Times New Roman" w:hAnsi="Times New Roman" w:cs="Times New Roman"/>
          <w:bCs/>
        </w:rPr>
        <w:t>] Zayo Group. The Bandwidth Report: Insights &amp; Trends Driving the Bandwidth Boom (Zayo, 2025).</w:t>
      </w:r>
    </w:p>
    <w:p w14:paraId="3AA36EC3" w14:textId="33AA7325" w:rsidR="00482036" w:rsidRDefault="00482036" w:rsidP="00482036">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4</w:t>
      </w:r>
      <w:r w:rsidRPr="003729C7">
        <w:rPr>
          <w:rFonts w:ascii="Times New Roman" w:hAnsi="Times New Roman" w:cs="Times New Roman"/>
          <w:bCs/>
        </w:rPr>
        <w:t>] Wu, Q., Deng, Q., Ganesh, L., Hsu, C.-H., Jin, Y., Kumar, S., Li, B., Meza, J., &amp; Song, Y. J. Dynamo: Facebook's Data Center-Wide Power Management System. Proceedings of the 43rd ACM/IEEE International Symposium on Computer Architecture (ISCA) (Seoul, Korea, June 2016), pp. 469–480. DOI: 10.1109/ISCA.2016.48.</w:t>
      </w:r>
    </w:p>
    <w:p w14:paraId="53E606E5" w14:textId="5D99F931" w:rsidR="00482036" w:rsidRDefault="00482036" w:rsidP="00482036">
      <w:pPr>
        <w:rPr>
          <w:rFonts w:ascii="Times New Roman" w:hAnsi="Times New Roman" w:cs="Times New Roman"/>
          <w:bCs/>
        </w:rPr>
      </w:pPr>
      <w:r w:rsidRPr="003729C7">
        <w:rPr>
          <w:rFonts w:ascii="Times New Roman" w:hAnsi="Times New Roman" w:cs="Times New Roman"/>
          <w:bCs/>
        </w:rPr>
        <w:t>[2</w:t>
      </w:r>
      <w:r w:rsidR="00A104C3">
        <w:rPr>
          <w:rFonts w:ascii="Times New Roman" w:hAnsi="Times New Roman" w:cs="Times New Roman"/>
          <w:bCs/>
        </w:rPr>
        <w:t>5</w:t>
      </w:r>
      <w:r w:rsidRPr="003729C7">
        <w:rPr>
          <w:rFonts w:ascii="Times New Roman" w:hAnsi="Times New Roman" w:cs="Times New Roman"/>
          <w:bCs/>
        </w:rPr>
        <w:t xml:space="preserve">] Ciampoli, P. Google, TVA Enter Agreement Tied to Data Center Demand Response. American Public Power Association (August 4, 2025). </w:t>
      </w:r>
      <w:r w:rsidRPr="00900941">
        <w:rPr>
          <w:rFonts w:ascii="Times New Roman" w:hAnsi="Times New Roman" w:cs="Times New Roman"/>
          <w:bCs/>
        </w:rPr>
        <w:t>https://www.publicpower.org/periodical/article/google-tva-enter-agreement-tied-data-center-demand-response</w:t>
      </w:r>
      <w:r w:rsidRPr="003729C7">
        <w:rPr>
          <w:rFonts w:ascii="Times New Roman" w:hAnsi="Times New Roman" w:cs="Times New Roman"/>
          <w:bCs/>
        </w:rPr>
        <w:t>.</w:t>
      </w:r>
    </w:p>
    <w:p w14:paraId="70913FF7" w14:textId="668584B1" w:rsidR="00482036" w:rsidRDefault="00482036" w:rsidP="00482036">
      <w:pPr>
        <w:rPr>
          <w:rFonts w:ascii="Times New Roman" w:hAnsi="Times New Roman" w:cs="Times New Roman"/>
          <w:bCs/>
        </w:rPr>
      </w:pPr>
      <w:r>
        <w:rPr>
          <w:rFonts w:ascii="Times New Roman" w:hAnsi="Times New Roman" w:cs="Times New Roman"/>
          <w:bCs/>
        </w:rPr>
        <w:lastRenderedPageBreak/>
        <w:t>[2</w:t>
      </w:r>
      <w:r w:rsidR="00A104C3">
        <w:rPr>
          <w:rFonts w:ascii="Times New Roman" w:hAnsi="Times New Roman" w:cs="Times New Roman"/>
          <w:bCs/>
        </w:rPr>
        <w:t>6</w:t>
      </w:r>
      <w:r>
        <w:rPr>
          <w:rFonts w:ascii="Times New Roman" w:hAnsi="Times New Roman" w:cs="Times New Roman"/>
          <w:bCs/>
        </w:rPr>
        <w:t xml:space="preserve">] </w:t>
      </w:r>
      <w:r w:rsidRPr="001C53D0">
        <w:rPr>
          <w:rFonts w:ascii="Times New Roman" w:hAnsi="Times New Roman" w:cs="Times New Roman"/>
          <w:bCs/>
        </w:rPr>
        <w:t>Jaiswal, S., Jain, K., Simmhan, Y., Parayil, A., Mallick, A., St. Amant, R., et al. SageServe: Optimizing LLM Serving on Cloud Data Centers with Forecast Aware Auto-Scaling. arXiv:2502.14617 (2025).</w:t>
      </w:r>
    </w:p>
    <w:p w14:paraId="7C51FE2F" w14:textId="5FC0258A" w:rsidR="00482036" w:rsidRDefault="00482036" w:rsidP="001C53D0">
      <w:pPr>
        <w:rPr>
          <w:rFonts w:ascii="Times New Roman" w:hAnsi="Times New Roman" w:cs="Times New Roman"/>
          <w:bCs/>
        </w:rPr>
      </w:pPr>
      <w:r w:rsidRPr="00482036">
        <w:rPr>
          <w:rFonts w:ascii="Times New Roman" w:hAnsi="Times New Roman" w:cs="Times New Roman"/>
          <w:bCs/>
        </w:rPr>
        <w:t>[2</w:t>
      </w:r>
      <w:r w:rsidR="00A104C3">
        <w:rPr>
          <w:rFonts w:ascii="Times New Roman" w:hAnsi="Times New Roman" w:cs="Times New Roman"/>
          <w:bCs/>
        </w:rPr>
        <w:t>7</w:t>
      </w:r>
      <w:r w:rsidRPr="00482036">
        <w:rPr>
          <w:rFonts w:ascii="Times New Roman" w:hAnsi="Times New Roman" w:cs="Times New Roman"/>
          <w:bCs/>
        </w:rPr>
        <w:t xml:space="preserve">] Patel, P., Choukse, E., Zhang, C., Goiri, Í., Warrier, B., Mahalingam, N., &amp; Bianchini, R. Characterizing Power Management Opportunities for LLMs in the Cloud. </w:t>
      </w:r>
      <w:r w:rsidRPr="00482036">
        <w:rPr>
          <w:rFonts w:ascii="Times New Roman" w:hAnsi="Times New Roman" w:cs="Times New Roman"/>
          <w:bCs/>
          <w:i/>
          <w:iCs/>
        </w:rPr>
        <w:t>Proceedings of the 29th ACM International Conference on Architectural Support for Programming Languages and Operating Systems (ASPLOS '24)</w:t>
      </w:r>
      <w:r w:rsidRPr="00482036">
        <w:rPr>
          <w:rFonts w:ascii="Times New Roman" w:hAnsi="Times New Roman" w:cs="Times New Roman"/>
          <w:bCs/>
        </w:rPr>
        <w:t>, Volume 3 (San Diego, CA, April–May 2024), pp. 207–222.</w:t>
      </w:r>
    </w:p>
    <w:p w14:paraId="0DEE2EFE" w14:textId="16BA618F" w:rsidR="00900941" w:rsidRDefault="00900941" w:rsidP="001C53D0">
      <w:pPr>
        <w:rPr>
          <w:rFonts w:ascii="Times New Roman" w:hAnsi="Times New Roman" w:cs="Times New Roman"/>
          <w:bCs/>
        </w:rPr>
      </w:pPr>
      <w:r w:rsidRPr="00900941">
        <w:rPr>
          <w:rFonts w:ascii="Times New Roman" w:hAnsi="Times New Roman" w:cs="Times New Roman"/>
          <w:bCs/>
        </w:rPr>
        <w:t>[2</w:t>
      </w:r>
      <w:r w:rsidR="00A104C3">
        <w:rPr>
          <w:rFonts w:ascii="Times New Roman" w:hAnsi="Times New Roman" w:cs="Times New Roman"/>
          <w:bCs/>
        </w:rPr>
        <w:t>8</w:t>
      </w:r>
      <w:r w:rsidRPr="00900941">
        <w:rPr>
          <w:rFonts w:ascii="Times New Roman" w:hAnsi="Times New Roman" w:cs="Times New Roman"/>
          <w:bCs/>
        </w:rPr>
        <w:t xml:space="preserve">] Kakolyris, A. K., Masouros, D., Xydis, S., &amp; Soudris, D. SLO-Aware GPU DVFS for Energy-Efficient LLM Inference Serving. </w:t>
      </w:r>
      <w:r w:rsidRPr="00900941">
        <w:rPr>
          <w:rFonts w:ascii="Times New Roman" w:hAnsi="Times New Roman" w:cs="Times New Roman"/>
          <w:bCs/>
          <w:i/>
          <w:iCs/>
        </w:rPr>
        <w:t>IEEE Computer Architecture Letters</w:t>
      </w:r>
      <w:r w:rsidRPr="00900941">
        <w:rPr>
          <w:rFonts w:ascii="Times New Roman" w:hAnsi="Times New Roman" w:cs="Times New Roman"/>
          <w:bCs/>
        </w:rPr>
        <w:t xml:space="preserve"> 23, no. 2 (July–December 2024): 150–153.</w:t>
      </w:r>
    </w:p>
    <w:p w14:paraId="1F807F48" w14:textId="5BAF26FD" w:rsidR="000350AC" w:rsidRDefault="000350AC" w:rsidP="001C53D0">
      <w:pPr>
        <w:rPr>
          <w:rFonts w:ascii="Times New Roman" w:hAnsi="Times New Roman" w:cs="Times New Roman"/>
          <w:bCs/>
        </w:rPr>
      </w:pPr>
      <w:r w:rsidRPr="000350AC">
        <w:rPr>
          <w:rFonts w:ascii="Times New Roman" w:hAnsi="Times New Roman" w:cs="Times New Roman"/>
          <w:bCs/>
        </w:rPr>
        <w:t>[2</w:t>
      </w:r>
      <w:r w:rsidR="00A104C3">
        <w:rPr>
          <w:rFonts w:ascii="Times New Roman" w:hAnsi="Times New Roman" w:cs="Times New Roman"/>
          <w:bCs/>
        </w:rPr>
        <w:t>9</w:t>
      </w:r>
      <w:r w:rsidRPr="000350AC">
        <w:rPr>
          <w:rFonts w:ascii="Times New Roman" w:hAnsi="Times New Roman" w:cs="Times New Roman"/>
          <w:bCs/>
        </w:rPr>
        <w:t xml:space="preserve">] Wang, Y., Chen, Y., Li, Z., Kang, X., Tang, Z., He, X., Guo, R., Wang, X., Wang, Q., Zhou, A. C., &amp; Chu, X. BurstGPT: A Real-World Workload Dataset to Optimize LLM Serving Systems. arXiv:2401.17644v3 (June 17, 2024). </w:t>
      </w:r>
      <w:r w:rsidRPr="00B717CE">
        <w:rPr>
          <w:rFonts w:ascii="Times New Roman" w:hAnsi="Times New Roman" w:cs="Times New Roman"/>
          <w:bCs/>
        </w:rPr>
        <w:t>https://arxiv.org/abs/2401.17644v3</w:t>
      </w:r>
      <w:r w:rsidRPr="000350AC">
        <w:rPr>
          <w:rFonts w:ascii="Times New Roman" w:hAnsi="Times New Roman" w:cs="Times New Roman"/>
          <w:bCs/>
        </w:rPr>
        <w:t>.</w:t>
      </w:r>
    </w:p>
    <w:p w14:paraId="376D42B2" w14:textId="33D7C839" w:rsidR="00B717CE" w:rsidRPr="003729C7" w:rsidRDefault="00B717CE" w:rsidP="001C53D0">
      <w:pPr>
        <w:rPr>
          <w:rFonts w:ascii="Times New Roman" w:hAnsi="Times New Roman" w:cs="Times New Roman"/>
          <w:bCs/>
        </w:rPr>
      </w:pPr>
      <w:r w:rsidRPr="00B717CE">
        <w:rPr>
          <w:rFonts w:ascii="Times New Roman" w:hAnsi="Times New Roman" w:cs="Times New Roman"/>
          <w:bCs/>
        </w:rPr>
        <w:t>[</w:t>
      </w:r>
      <w:r w:rsidR="00A104C3">
        <w:rPr>
          <w:rFonts w:ascii="Times New Roman" w:hAnsi="Times New Roman" w:cs="Times New Roman"/>
          <w:bCs/>
        </w:rPr>
        <w:t>30</w:t>
      </w:r>
      <w:r w:rsidRPr="00B717CE">
        <w:rPr>
          <w:rFonts w:ascii="Times New Roman" w:hAnsi="Times New Roman" w:cs="Times New Roman"/>
          <w:bCs/>
        </w:rPr>
        <w:t>] Li, C. H100 Price Spike: Understanding the 10% Surge in GPU Rental Costs. Silicon Data (January 9, 2026). https://www.silicondata.com/blog/h100-price-spike.</w:t>
      </w:r>
    </w:p>
    <w:p w14:paraId="06A0F40B" w14:textId="77777777" w:rsidR="00671A68" w:rsidRDefault="00671A68" w:rsidP="007618E0">
      <w:pPr>
        <w:rPr>
          <w:rFonts w:ascii="Times New Roman" w:hAnsi="Times New Roman" w:cs="Times New Roman"/>
          <w:b/>
          <w:sz w:val="28"/>
          <w:szCs w:val="28"/>
        </w:rPr>
      </w:pPr>
    </w:p>
    <w:p w14:paraId="2625B016" w14:textId="77777777" w:rsidR="00671A68" w:rsidRDefault="00671A68" w:rsidP="007618E0">
      <w:pPr>
        <w:rPr>
          <w:rFonts w:ascii="Times New Roman" w:hAnsi="Times New Roman" w:cs="Times New Roman"/>
          <w:b/>
          <w:sz w:val="28"/>
          <w:szCs w:val="28"/>
        </w:rPr>
      </w:pPr>
    </w:p>
    <w:p w14:paraId="1B31089C" w14:textId="67BF04BD" w:rsidR="001C53D0" w:rsidRPr="001C53D0" w:rsidRDefault="007618E0" w:rsidP="007618E0">
      <w:pPr>
        <w:rPr>
          <w:rFonts w:ascii="Times New Roman" w:hAnsi="Times New Roman" w:cs="Times New Roman"/>
          <w:b/>
          <w:sz w:val="28"/>
          <w:szCs w:val="28"/>
        </w:rPr>
      </w:pPr>
      <w:r w:rsidRPr="001C53D0">
        <w:rPr>
          <w:rFonts w:ascii="Times New Roman" w:hAnsi="Times New Roman" w:cs="Times New Roman"/>
          <w:b/>
          <w:sz w:val="28"/>
          <w:szCs w:val="28"/>
        </w:rPr>
        <w:t>Extended Data</w:t>
      </w:r>
    </w:p>
    <w:p w14:paraId="62B00BDD" w14:textId="77777777" w:rsidR="007618E0" w:rsidRPr="0006399D" w:rsidRDefault="007618E0" w:rsidP="007618E0">
      <w:pPr>
        <w:rPr>
          <w:rFonts w:ascii="Times New Roman" w:hAnsi="Times New Roman" w:cs="Times New Roman"/>
          <w:bCs/>
        </w:rPr>
      </w:pPr>
      <w:r w:rsidRPr="0006399D">
        <w:rPr>
          <w:rFonts w:ascii="Times New Roman" w:hAnsi="Times New Roman" w:cs="Times New Roman"/>
          <w:bCs/>
        </w:rPr>
        <w:t>Extended Data Fig. 1. Stress threshold sensitivity.</w:t>
      </w:r>
    </w:p>
    <w:p w14:paraId="29DFF3D1" w14:textId="77777777" w:rsidR="007618E0" w:rsidRPr="00093498" w:rsidRDefault="007618E0" w:rsidP="007618E0">
      <w:pPr>
        <w:keepNext/>
        <w:rPr>
          <w:highlight w:val="yellow"/>
        </w:rPr>
      </w:pPr>
      <w:r w:rsidRPr="00675885">
        <w:rPr>
          <w:rFonts w:ascii="Times New Roman" w:hAnsi="Times New Roman" w:cs="Times New Roman"/>
          <w:bCs/>
          <w:noProof/>
        </w:rPr>
        <w:lastRenderedPageBreak/>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6DBF01C3" w14:textId="4C1D08F0" w:rsidR="007618E0" w:rsidRPr="0006399D" w:rsidRDefault="007618E0" w:rsidP="0006399D">
      <w:pPr>
        <w:pStyle w:val="Caption"/>
        <w:rPr>
          <w:rFonts w:ascii="Times New Roman" w:hAnsi="Times New Roman" w:cs="Times New Roman"/>
          <w:bCs/>
        </w:rPr>
        <w:sectPr w:rsidR="007618E0" w:rsidRPr="0006399D" w:rsidSect="00877A4C">
          <w:pgSz w:w="12240" w:h="15840"/>
          <w:pgMar w:top="1440" w:right="1440" w:bottom="1440" w:left="1440" w:header="720" w:footer="720" w:gutter="0"/>
          <w:cols w:space="720"/>
          <w:docGrid w:linePitch="360"/>
        </w:sectPr>
      </w:pPr>
      <w:r w:rsidRPr="0006399D">
        <w:t>Capacity-weighted destination overlap and any-destination availability at three alternative stress-hour thresholds. Baseline: top 50 hours per year per zone (~99.43 percentile, 200 ComEd stress hours total). Alternatives: top 25 (~99.71</w:t>
      </w:r>
      <w:r w:rsidRPr="0006399D">
        <w:rPr>
          <w:vertAlign w:val="superscript"/>
        </w:rPr>
        <w:t>st</w:t>
      </w:r>
      <w:r w:rsidRPr="0006399D">
        <w:t xml:space="preserve"> percentile) and top 100 (~98.86</w:t>
      </w:r>
      <w:r w:rsidRPr="0006399D">
        <w:rPr>
          <w:vertAlign w:val="superscript"/>
        </w:rPr>
        <w:t>th</w:t>
      </w:r>
      <w:r w:rsidRPr="0006399D">
        <w:t xml:space="preserve"> percentile). Any-destination availability varies by at most 1.25 percentage points across thresholds; capacity-weighted overlap declines monotonically with threshold tighte</w:t>
      </w:r>
      <w:r w:rsidR="000E443C">
        <w:t>ning.</w:t>
      </w:r>
    </w:p>
    <w:p w14:paraId="14FA4634"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lastRenderedPageBreak/>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A1522D" w14:paraId="6AFE46CD" w14:textId="77777777" w:rsidTr="007618E0">
        <w:trPr>
          <w:trHeight w:val="476"/>
        </w:trPr>
        <w:tc>
          <w:tcPr>
            <w:tcW w:w="0" w:type="auto"/>
            <w:noWrap/>
            <w:hideMark/>
          </w:tcPr>
          <w:p w14:paraId="4399F229" w14:textId="5525B1E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Zone</w:t>
            </w:r>
          </w:p>
        </w:tc>
        <w:tc>
          <w:tcPr>
            <w:tcW w:w="0" w:type="auto"/>
            <w:noWrap/>
            <w:hideMark/>
          </w:tcPr>
          <w:p w14:paraId="03EBD6C1" w14:textId="4F1FFEDC"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RTO</w:t>
            </w:r>
          </w:p>
        </w:tc>
        <w:tc>
          <w:tcPr>
            <w:tcW w:w="0" w:type="auto"/>
            <w:noWrap/>
            <w:hideMark/>
          </w:tcPr>
          <w:p w14:paraId="099A6503" w14:textId="4E8BD6F0"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IC</w:t>
            </w:r>
          </w:p>
        </w:tc>
        <w:tc>
          <w:tcPr>
            <w:tcW w:w="0" w:type="auto"/>
            <w:noWrap/>
            <w:hideMark/>
          </w:tcPr>
          <w:p w14:paraId="0321CEBA" w14:textId="399394C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Stress Hours</w:t>
            </w:r>
          </w:p>
        </w:tc>
        <w:tc>
          <w:tcPr>
            <w:tcW w:w="0" w:type="auto"/>
            <w:noWrap/>
            <w:hideMark/>
          </w:tcPr>
          <w:p w14:paraId="4304769C" w14:textId="2040430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RTO Dests</w:t>
            </w:r>
          </w:p>
        </w:tc>
        <w:tc>
          <w:tcPr>
            <w:tcW w:w="0" w:type="auto"/>
            <w:noWrap/>
            <w:hideMark/>
          </w:tcPr>
          <w:p w14:paraId="1D470BA1" w14:textId="4E9B619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N Cross IC Dests</w:t>
            </w:r>
          </w:p>
        </w:tc>
        <w:tc>
          <w:tcPr>
            <w:tcW w:w="0" w:type="auto"/>
            <w:noWrap/>
            <w:hideMark/>
          </w:tcPr>
          <w:p w14:paraId="4995D882" w14:textId="2752A983"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Summer Hours</w:t>
            </w:r>
          </w:p>
        </w:tc>
        <w:tc>
          <w:tcPr>
            <w:tcW w:w="0" w:type="auto"/>
            <w:noWrap/>
            <w:hideMark/>
          </w:tcPr>
          <w:p w14:paraId="0C6EFEC1" w14:textId="4234422B"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Hours</w:t>
            </w:r>
          </w:p>
        </w:tc>
        <w:tc>
          <w:tcPr>
            <w:tcW w:w="0" w:type="auto"/>
            <w:noWrap/>
            <w:hideMark/>
          </w:tcPr>
          <w:p w14:paraId="5C5CB0FA" w14:textId="0A98B04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Avail</w:t>
            </w:r>
          </w:p>
        </w:tc>
      </w:tr>
      <w:tr w:rsidR="007618E0" w:rsidRPr="00A1522D" w14:paraId="3C988EC8" w14:textId="77777777" w:rsidTr="007618E0">
        <w:trPr>
          <w:trHeight w:val="290"/>
        </w:trPr>
        <w:tc>
          <w:tcPr>
            <w:tcW w:w="0" w:type="auto"/>
            <w:noWrap/>
            <w:hideMark/>
          </w:tcPr>
          <w:p w14:paraId="37EF1A76"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PJM_COMED</w:t>
            </w:r>
          </w:p>
        </w:tc>
        <w:tc>
          <w:tcPr>
            <w:tcW w:w="0" w:type="auto"/>
            <w:noWrap/>
            <w:hideMark/>
          </w:tcPr>
          <w:p w14:paraId="6AD70199"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5565378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2710141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2EDF1B8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4030093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0DDDA65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0B4450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94</w:t>
            </w:r>
          </w:p>
        </w:tc>
        <w:tc>
          <w:tcPr>
            <w:tcW w:w="0" w:type="auto"/>
            <w:noWrap/>
            <w:hideMark/>
          </w:tcPr>
          <w:p w14:paraId="56DF43F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w:t>
            </w:r>
          </w:p>
        </w:tc>
        <w:tc>
          <w:tcPr>
            <w:tcW w:w="0" w:type="auto"/>
            <w:noWrap/>
            <w:hideMark/>
          </w:tcPr>
          <w:p w14:paraId="4E403DF7" w14:textId="419B47B0"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21.</w:t>
            </w:r>
            <w:r w:rsidR="00C85773" w:rsidRPr="00A1522D">
              <w:rPr>
                <w:rFonts w:ascii="Times New Roman" w:hAnsi="Times New Roman" w:cs="Times New Roman"/>
                <w:bCs/>
                <w:sz w:val="14"/>
                <w:szCs w:val="14"/>
              </w:rPr>
              <w:t>6</w:t>
            </w:r>
          </w:p>
        </w:tc>
        <w:tc>
          <w:tcPr>
            <w:tcW w:w="0" w:type="auto"/>
            <w:noWrap/>
            <w:hideMark/>
          </w:tcPr>
          <w:p w14:paraId="11960CA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102</w:t>
            </w:r>
          </w:p>
        </w:tc>
        <w:tc>
          <w:tcPr>
            <w:tcW w:w="0" w:type="auto"/>
            <w:noWrap/>
            <w:hideMark/>
          </w:tcPr>
          <w:p w14:paraId="446FB63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CAF00A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87</w:t>
            </w:r>
          </w:p>
        </w:tc>
        <w:tc>
          <w:tcPr>
            <w:tcW w:w="0" w:type="auto"/>
            <w:noWrap/>
            <w:hideMark/>
          </w:tcPr>
          <w:p w14:paraId="30B8CCE1" w14:textId="0FC8CEF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97.7</w:t>
            </w:r>
          </w:p>
        </w:tc>
      </w:tr>
      <w:tr w:rsidR="007618E0" w:rsidRPr="00A1522D" w14:paraId="48406ACE" w14:textId="77777777" w:rsidTr="007618E0">
        <w:trPr>
          <w:trHeight w:val="290"/>
        </w:trPr>
        <w:tc>
          <w:tcPr>
            <w:tcW w:w="0" w:type="auto"/>
            <w:noWrap/>
            <w:hideMark/>
          </w:tcPr>
          <w:p w14:paraId="43AA6D9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PJM_DOM</w:t>
            </w:r>
          </w:p>
        </w:tc>
        <w:tc>
          <w:tcPr>
            <w:tcW w:w="0" w:type="auto"/>
            <w:noWrap/>
            <w:hideMark/>
          </w:tcPr>
          <w:p w14:paraId="7C3B1903"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023B7C2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3F16CBF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689ACC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159E3D1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729B3FA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99.5</w:t>
            </w:r>
          </w:p>
        </w:tc>
        <w:tc>
          <w:tcPr>
            <w:tcW w:w="0" w:type="auto"/>
            <w:noWrap/>
            <w:hideMark/>
          </w:tcPr>
          <w:p w14:paraId="48E5B36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2F201FB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w:t>
            </w:r>
          </w:p>
        </w:tc>
        <w:tc>
          <w:tcPr>
            <w:tcW w:w="0" w:type="auto"/>
            <w:noWrap/>
            <w:hideMark/>
          </w:tcPr>
          <w:p w14:paraId="7E6D1973" w14:textId="24C0DB35"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11.</w:t>
            </w:r>
            <w:r w:rsidR="00C85773" w:rsidRPr="00A1522D">
              <w:rPr>
                <w:rFonts w:ascii="Times New Roman" w:hAnsi="Times New Roman" w:cs="Times New Roman"/>
                <w:bCs/>
                <w:sz w:val="14"/>
                <w:szCs w:val="14"/>
              </w:rPr>
              <w:t>3</w:t>
            </w:r>
          </w:p>
        </w:tc>
        <w:tc>
          <w:tcPr>
            <w:tcW w:w="0" w:type="auto"/>
            <w:noWrap/>
            <w:hideMark/>
          </w:tcPr>
          <w:p w14:paraId="3A76418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73</w:t>
            </w:r>
          </w:p>
        </w:tc>
        <w:tc>
          <w:tcPr>
            <w:tcW w:w="0" w:type="auto"/>
            <w:noWrap/>
            <w:hideMark/>
          </w:tcPr>
          <w:p w14:paraId="65BD599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2C221B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70</w:t>
            </w:r>
          </w:p>
        </w:tc>
        <w:tc>
          <w:tcPr>
            <w:tcW w:w="0" w:type="auto"/>
            <w:noWrap/>
            <w:hideMark/>
          </w:tcPr>
          <w:p w14:paraId="337FC8A0" w14:textId="437E6A1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98.</w:t>
            </w:r>
            <w:r w:rsidR="00C85773" w:rsidRPr="00A1522D">
              <w:rPr>
                <w:rFonts w:ascii="Times New Roman" w:hAnsi="Times New Roman" w:cs="Times New Roman"/>
                <w:bCs/>
                <w:sz w:val="14"/>
                <w:szCs w:val="14"/>
              </w:rPr>
              <w:t>6</w:t>
            </w:r>
          </w:p>
        </w:tc>
      </w:tr>
      <w:tr w:rsidR="007618E0" w:rsidRPr="00A1522D" w14:paraId="76A01965" w14:textId="77777777" w:rsidTr="007618E0">
        <w:trPr>
          <w:trHeight w:val="290"/>
        </w:trPr>
        <w:tc>
          <w:tcPr>
            <w:tcW w:w="0" w:type="auto"/>
            <w:noWrap/>
            <w:hideMark/>
          </w:tcPr>
          <w:p w14:paraId="6A4E420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ERCOT_LZ_NORTH</w:t>
            </w:r>
          </w:p>
        </w:tc>
        <w:tc>
          <w:tcPr>
            <w:tcW w:w="0" w:type="auto"/>
            <w:noWrap/>
            <w:hideMark/>
          </w:tcPr>
          <w:p w14:paraId="574783D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6D99E0FD"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43593CD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5180433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40A0AFB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6F82B60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8F337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B64A2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60477F8D" w14:textId="15A636F4"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8.2</w:t>
            </w:r>
          </w:p>
        </w:tc>
        <w:tc>
          <w:tcPr>
            <w:tcW w:w="0" w:type="auto"/>
            <w:noWrap/>
            <w:hideMark/>
          </w:tcPr>
          <w:p w14:paraId="31F525B5"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104</w:t>
            </w:r>
          </w:p>
        </w:tc>
        <w:tc>
          <w:tcPr>
            <w:tcW w:w="0" w:type="auto"/>
            <w:noWrap/>
            <w:hideMark/>
          </w:tcPr>
          <w:p w14:paraId="24B4504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479284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270B469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r>
      <w:tr w:rsidR="007618E0" w:rsidRPr="00A1522D" w14:paraId="7CA61F67" w14:textId="77777777" w:rsidTr="007618E0">
        <w:trPr>
          <w:trHeight w:val="290"/>
        </w:trPr>
        <w:tc>
          <w:tcPr>
            <w:tcW w:w="0" w:type="auto"/>
            <w:noWrap/>
            <w:hideMark/>
          </w:tcPr>
          <w:p w14:paraId="76FB3245"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CAISO_NP15</w:t>
            </w:r>
          </w:p>
        </w:tc>
        <w:tc>
          <w:tcPr>
            <w:tcW w:w="0" w:type="auto"/>
            <w:noWrap/>
            <w:hideMark/>
          </w:tcPr>
          <w:p w14:paraId="1DC48791"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w:t>
            </w:r>
          </w:p>
        </w:tc>
        <w:tc>
          <w:tcPr>
            <w:tcW w:w="0" w:type="auto"/>
            <w:noWrap/>
            <w:hideMark/>
          </w:tcPr>
          <w:p w14:paraId="17917AF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Western</w:t>
            </w:r>
          </w:p>
        </w:tc>
        <w:tc>
          <w:tcPr>
            <w:tcW w:w="0" w:type="auto"/>
            <w:noWrap/>
            <w:hideMark/>
          </w:tcPr>
          <w:p w14:paraId="43269BB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3B3164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70F7963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654B196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D1A07F1"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AAF70A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7780C6A6" w14:textId="4EDD02FF"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7.</w:t>
            </w:r>
            <w:r w:rsidR="00C85773" w:rsidRPr="00A1522D">
              <w:rPr>
                <w:rFonts w:ascii="Times New Roman" w:hAnsi="Times New Roman" w:cs="Times New Roman"/>
                <w:bCs/>
                <w:sz w:val="14"/>
                <w:szCs w:val="14"/>
              </w:rPr>
              <w:t>8</w:t>
            </w:r>
          </w:p>
        </w:tc>
        <w:tc>
          <w:tcPr>
            <w:tcW w:w="0" w:type="auto"/>
            <w:noWrap/>
            <w:hideMark/>
          </w:tcPr>
          <w:p w14:paraId="2251B94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343EA780"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62AC9BE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137</w:t>
            </w:r>
          </w:p>
        </w:tc>
        <w:tc>
          <w:tcPr>
            <w:tcW w:w="0" w:type="auto"/>
            <w:noWrap/>
            <w:hideMark/>
          </w:tcPr>
          <w:p w14:paraId="12E52AC2" w14:textId="77777777" w:rsidR="007618E0" w:rsidRPr="00A1522D" w:rsidRDefault="007618E0" w:rsidP="007618E0">
            <w:pPr>
              <w:keepNext/>
              <w:rPr>
                <w:rFonts w:ascii="Times New Roman" w:hAnsi="Times New Roman" w:cs="Times New Roman"/>
                <w:bCs/>
                <w:sz w:val="14"/>
                <w:szCs w:val="14"/>
              </w:rPr>
            </w:pPr>
            <w:r w:rsidRPr="00A1522D">
              <w:rPr>
                <w:rFonts w:ascii="Times New Roman" w:hAnsi="Times New Roman" w:cs="Times New Roman"/>
                <w:bCs/>
                <w:sz w:val="14"/>
                <w:szCs w:val="14"/>
              </w:rPr>
              <w:t>100</w:t>
            </w:r>
          </w:p>
        </w:tc>
      </w:tr>
    </w:tbl>
    <w:p w14:paraId="576D9015" w14:textId="4B8FA4E3" w:rsidR="007618E0" w:rsidRPr="00A1522D" w:rsidRDefault="007618E0">
      <w:pPr>
        <w:pStyle w:val="Caption"/>
      </w:pPr>
      <w:r w:rsidRPr="00A1522D">
        <w:t>Capacity-weighted destination overlap computed with alternative source zones (PJM-DOM, ERCOT-LZ-NORTH, CAISO-NP15, others). Headline decorrelation result holds across all tested source zones.</w:t>
      </w:r>
    </w:p>
    <w:p w14:paraId="6FE02C78"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093498" w14:paraId="41E0D714" w14:textId="77777777" w:rsidTr="00A1522D">
        <w:trPr>
          <w:trHeight w:val="290"/>
        </w:trPr>
        <w:tc>
          <w:tcPr>
            <w:tcW w:w="3697" w:type="dxa"/>
            <w:noWrap/>
            <w:hideMark/>
          </w:tcPr>
          <w:p w14:paraId="3FC11E0C" w14:textId="77777777" w:rsidR="002A1B01" w:rsidRPr="00A1522D" w:rsidRDefault="002A1B01">
            <w:pPr>
              <w:rPr>
                <w:rFonts w:ascii="Times New Roman" w:hAnsi="Times New Roman" w:cs="Times New Roman"/>
                <w:bCs/>
              </w:rPr>
            </w:pPr>
            <w:r w:rsidRPr="00A1522D">
              <w:rPr>
                <w:rFonts w:ascii="Times New Roman" w:hAnsi="Times New Roman" w:cs="Times New Roman"/>
                <w:bCs/>
              </w:rPr>
              <w:t>Parameter</w:t>
            </w:r>
          </w:p>
        </w:tc>
        <w:tc>
          <w:tcPr>
            <w:tcW w:w="861" w:type="dxa"/>
            <w:noWrap/>
            <w:hideMark/>
          </w:tcPr>
          <w:p w14:paraId="6EAA9929" w14:textId="77777777" w:rsidR="002A1B01" w:rsidRPr="00A1522D" w:rsidRDefault="002A1B01">
            <w:pPr>
              <w:rPr>
                <w:rFonts w:ascii="Times New Roman" w:hAnsi="Times New Roman" w:cs="Times New Roman"/>
                <w:bCs/>
              </w:rPr>
            </w:pPr>
            <w:r w:rsidRPr="00A1522D">
              <w:rPr>
                <w:rFonts w:ascii="Times New Roman" w:hAnsi="Times New Roman" w:cs="Times New Roman"/>
                <w:bCs/>
              </w:rPr>
              <w:t>Value</w:t>
            </w:r>
          </w:p>
        </w:tc>
        <w:tc>
          <w:tcPr>
            <w:tcW w:w="5555" w:type="dxa"/>
            <w:noWrap/>
            <w:hideMark/>
          </w:tcPr>
          <w:p w14:paraId="21C29BD4" w14:textId="77777777" w:rsidR="002A1B01" w:rsidRPr="00A1522D" w:rsidRDefault="002A1B01">
            <w:pPr>
              <w:rPr>
                <w:rFonts w:ascii="Times New Roman" w:hAnsi="Times New Roman" w:cs="Times New Roman"/>
                <w:bCs/>
              </w:rPr>
            </w:pPr>
            <w:r w:rsidRPr="00A1522D">
              <w:rPr>
                <w:rFonts w:ascii="Times New Roman" w:hAnsi="Times New Roman" w:cs="Times New Roman"/>
                <w:bCs/>
              </w:rPr>
              <w:t>Description</w:t>
            </w:r>
          </w:p>
        </w:tc>
      </w:tr>
      <w:tr w:rsidR="002A1B01" w:rsidRPr="00093498" w14:paraId="3A89DB51" w14:textId="77777777" w:rsidTr="00A1522D">
        <w:trPr>
          <w:trHeight w:val="290"/>
        </w:trPr>
        <w:tc>
          <w:tcPr>
            <w:tcW w:w="3697" w:type="dxa"/>
            <w:noWrap/>
            <w:hideMark/>
          </w:tcPr>
          <w:p w14:paraId="69A7E38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GPU_PER_MW_GRID</w:t>
            </w:r>
          </w:p>
        </w:tc>
        <w:tc>
          <w:tcPr>
            <w:tcW w:w="861" w:type="dxa"/>
            <w:noWrap/>
            <w:hideMark/>
          </w:tcPr>
          <w:p w14:paraId="68D13E0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603</w:t>
            </w:r>
          </w:p>
        </w:tc>
        <w:tc>
          <w:tcPr>
            <w:tcW w:w="5555" w:type="dxa"/>
            <w:noWrap/>
            <w:hideMark/>
          </w:tcPr>
          <w:p w14:paraId="3E46BB3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GPUs per MW of grid capacity (derived: 10.2 kW / 8 GPUs Ã— 1.3 PUE)</w:t>
            </w:r>
          </w:p>
        </w:tc>
      </w:tr>
      <w:tr w:rsidR="002A1B01" w:rsidRPr="00093498" w14:paraId="6D03409D" w14:textId="77777777" w:rsidTr="00A1522D">
        <w:trPr>
          <w:trHeight w:val="290"/>
        </w:trPr>
        <w:tc>
          <w:tcPr>
            <w:tcW w:w="3697" w:type="dxa"/>
            <w:noWrap/>
            <w:hideMark/>
          </w:tcPr>
          <w:p w14:paraId="55AF893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GPU_RATE_HR</w:t>
            </w:r>
          </w:p>
        </w:tc>
        <w:tc>
          <w:tcPr>
            <w:tcW w:w="861" w:type="dxa"/>
            <w:noWrap/>
            <w:hideMark/>
          </w:tcPr>
          <w:p w14:paraId="4A2F03A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2.2</w:t>
            </w:r>
          </w:p>
        </w:tc>
        <w:tc>
          <w:tcPr>
            <w:tcW w:w="5555" w:type="dxa"/>
            <w:noWrap/>
            <w:hideMark/>
          </w:tcPr>
          <w:p w14:paraId="08ACECC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H100 spot rate, USD/hour (Jan 2026)</w:t>
            </w:r>
          </w:p>
        </w:tc>
      </w:tr>
      <w:tr w:rsidR="002A1B01" w:rsidRPr="00093498" w14:paraId="6AA9CCEA" w14:textId="77777777" w:rsidTr="00A1522D">
        <w:trPr>
          <w:trHeight w:val="290"/>
        </w:trPr>
        <w:tc>
          <w:tcPr>
            <w:tcW w:w="3697" w:type="dxa"/>
            <w:noWrap/>
            <w:hideMark/>
          </w:tcPr>
          <w:p w14:paraId="30D2B016"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WACC</w:t>
            </w:r>
          </w:p>
        </w:tc>
        <w:tc>
          <w:tcPr>
            <w:tcW w:w="861" w:type="dxa"/>
            <w:noWrap/>
            <w:hideMark/>
          </w:tcPr>
          <w:p w14:paraId="1DBA08F2"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0.1</w:t>
            </w:r>
          </w:p>
        </w:tc>
        <w:tc>
          <w:tcPr>
            <w:tcW w:w="5555" w:type="dxa"/>
            <w:noWrap/>
            <w:hideMark/>
          </w:tcPr>
          <w:p w14:paraId="04F5F44C"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Weighted average cost of capital</w:t>
            </w:r>
          </w:p>
        </w:tc>
      </w:tr>
      <w:tr w:rsidR="002A1B01" w:rsidRPr="00093498" w14:paraId="26741FA2" w14:textId="77777777" w:rsidTr="00A1522D">
        <w:trPr>
          <w:trHeight w:val="290"/>
        </w:trPr>
        <w:tc>
          <w:tcPr>
            <w:tcW w:w="3697" w:type="dxa"/>
            <w:noWrap/>
            <w:hideMark/>
          </w:tcPr>
          <w:p w14:paraId="0F272D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ACCELERATION_YEARS_CENTRAL</w:t>
            </w:r>
          </w:p>
        </w:tc>
        <w:tc>
          <w:tcPr>
            <w:tcW w:w="861" w:type="dxa"/>
            <w:noWrap/>
            <w:hideMark/>
          </w:tcPr>
          <w:p w14:paraId="6D18211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3</w:t>
            </w:r>
          </w:p>
        </w:tc>
        <w:tc>
          <w:tcPr>
            <w:tcW w:w="5555" w:type="dxa"/>
            <w:noWrap/>
            <w:hideMark/>
          </w:tcPr>
          <w:p w14:paraId="51BBA34A"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Queue acceleration window, central case (years)</w:t>
            </w:r>
          </w:p>
        </w:tc>
      </w:tr>
      <w:tr w:rsidR="002A1B01" w:rsidRPr="00093498" w14:paraId="20E94FE3" w14:textId="77777777" w:rsidTr="00A1522D">
        <w:trPr>
          <w:trHeight w:val="290"/>
        </w:trPr>
        <w:tc>
          <w:tcPr>
            <w:tcW w:w="3697" w:type="dxa"/>
            <w:noWrap/>
            <w:hideMark/>
          </w:tcPr>
          <w:p w14:paraId="4FEE43D8"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FACILITY_SIZE_MW</w:t>
            </w:r>
          </w:p>
        </w:tc>
        <w:tc>
          <w:tcPr>
            <w:tcW w:w="861" w:type="dxa"/>
            <w:noWrap/>
            <w:hideMark/>
          </w:tcPr>
          <w:p w14:paraId="02ADA5F1"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1000</w:t>
            </w:r>
          </w:p>
        </w:tc>
        <w:tc>
          <w:tcPr>
            <w:tcW w:w="5555" w:type="dxa"/>
            <w:noWrap/>
            <w:hideMark/>
          </w:tcPr>
          <w:p w14:paraId="5AC3B45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Reference facility size (MW)</w:t>
            </w:r>
          </w:p>
        </w:tc>
      </w:tr>
      <w:tr w:rsidR="00A1522D" w:rsidRPr="00093498" w14:paraId="0B7E328B" w14:textId="77777777" w:rsidTr="00A1522D">
        <w:trPr>
          <w:trHeight w:val="290"/>
        </w:trPr>
        <w:tc>
          <w:tcPr>
            <w:tcW w:w="3697" w:type="dxa"/>
            <w:noWrap/>
          </w:tcPr>
          <w:p w14:paraId="35F9CB1C" w14:textId="7AF4C0D7"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DEPTH_1GW_INF_DOM_MEAN</w:t>
            </w:r>
          </w:p>
        </w:tc>
        <w:tc>
          <w:tcPr>
            <w:tcW w:w="861" w:type="dxa"/>
            <w:noWrap/>
          </w:tcPr>
          <w:p w14:paraId="4AF1CA1D" w14:textId="338E35F9" w:rsidR="00A1522D" w:rsidRPr="00A1522D" w:rsidRDefault="00A1522D" w:rsidP="002A1B01">
            <w:pPr>
              <w:rPr>
                <w:rFonts w:ascii="Times New Roman" w:hAnsi="Times New Roman" w:cs="Times New Roman"/>
                <w:bCs/>
                <w:sz w:val="20"/>
                <w:szCs w:val="20"/>
              </w:rPr>
            </w:pPr>
            <w:r>
              <w:rPr>
                <w:rFonts w:ascii="Times New Roman" w:hAnsi="Times New Roman" w:cs="Times New Roman"/>
                <w:bCs/>
                <w:sz w:val="20"/>
                <w:szCs w:val="20"/>
              </w:rPr>
              <w:t>0.398</w:t>
            </w:r>
          </w:p>
        </w:tc>
        <w:tc>
          <w:tcPr>
            <w:tcW w:w="5555" w:type="dxa"/>
            <w:noWrap/>
          </w:tcPr>
          <w:p w14:paraId="38E38550" w14:textId="0FEEA4D1"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 xml:space="preserve">Mean commitment depth at 1 GW (inference-dominant </w:t>
            </w:r>
            <w:r w:rsidR="0060691A">
              <w:rPr>
                <w:rFonts w:ascii="Times New Roman" w:hAnsi="Times New Roman" w:cs="Times New Roman"/>
                <w:bCs/>
                <w:sz w:val="20"/>
                <w:szCs w:val="20"/>
              </w:rPr>
              <w:t>scenario</w:t>
            </w:r>
            <w:r>
              <w:rPr>
                <w:rFonts w:ascii="Times New Roman" w:hAnsi="Times New Roman" w:cs="Times New Roman"/>
                <w:bCs/>
                <w:sz w:val="20"/>
                <w:szCs w:val="20"/>
              </w:rPr>
              <w:t>) underlying NPV ratio</w:t>
            </w:r>
          </w:p>
        </w:tc>
      </w:tr>
      <w:tr w:rsidR="002A1B01" w:rsidRPr="00093498" w14:paraId="024013EF" w14:textId="77777777" w:rsidTr="00A1522D">
        <w:trPr>
          <w:trHeight w:val="290"/>
        </w:trPr>
        <w:tc>
          <w:tcPr>
            <w:tcW w:w="3697" w:type="dxa"/>
            <w:noWrap/>
            <w:hideMark/>
          </w:tcPr>
          <w:p w14:paraId="31AA7462"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NPV_CONSERVATIVE_BILLIONS_USD</w:t>
            </w:r>
          </w:p>
        </w:tc>
        <w:tc>
          <w:tcPr>
            <w:tcW w:w="861" w:type="dxa"/>
            <w:noWrap/>
            <w:hideMark/>
          </w:tcPr>
          <w:p w14:paraId="733FA0E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16.1</w:t>
            </w:r>
          </w:p>
        </w:tc>
        <w:tc>
          <w:tcPr>
            <w:tcW w:w="5555" w:type="dxa"/>
            <w:noWrap/>
            <w:hideMark/>
          </w:tcPr>
          <w:p w14:paraId="6B0D8F5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conservative (2-year acceleration)</w:t>
            </w:r>
          </w:p>
        </w:tc>
      </w:tr>
      <w:tr w:rsidR="002A1B01" w:rsidRPr="00093498" w14:paraId="1484EE4E" w14:textId="77777777" w:rsidTr="00A1522D">
        <w:trPr>
          <w:trHeight w:val="290"/>
        </w:trPr>
        <w:tc>
          <w:tcPr>
            <w:tcW w:w="3697" w:type="dxa"/>
            <w:noWrap/>
            <w:hideMark/>
          </w:tcPr>
          <w:p w14:paraId="6F4974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NPV_CENTRAL_BILLIONS_USD</w:t>
            </w:r>
          </w:p>
        </w:tc>
        <w:tc>
          <w:tcPr>
            <w:tcW w:w="861" w:type="dxa"/>
            <w:noWrap/>
            <w:hideMark/>
          </w:tcPr>
          <w:p w14:paraId="70162A17"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23.1</w:t>
            </w:r>
          </w:p>
        </w:tc>
        <w:tc>
          <w:tcPr>
            <w:tcW w:w="5555" w:type="dxa"/>
            <w:noWrap/>
            <w:hideMark/>
          </w:tcPr>
          <w:p w14:paraId="1D59AE6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central (3-year acceleration)</w:t>
            </w:r>
          </w:p>
        </w:tc>
      </w:tr>
      <w:tr w:rsidR="002A1B01" w:rsidRPr="00093498" w14:paraId="48128A6F" w14:textId="77777777" w:rsidTr="00A1522D">
        <w:trPr>
          <w:trHeight w:val="290"/>
        </w:trPr>
        <w:tc>
          <w:tcPr>
            <w:tcW w:w="3697" w:type="dxa"/>
            <w:noWrap/>
            <w:hideMark/>
          </w:tcPr>
          <w:p w14:paraId="4AB6D8F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NPV_OPTIMISTIC_BILLIONS_USD</w:t>
            </w:r>
          </w:p>
        </w:tc>
        <w:tc>
          <w:tcPr>
            <w:tcW w:w="861" w:type="dxa"/>
            <w:noWrap/>
            <w:hideMark/>
          </w:tcPr>
          <w:p w14:paraId="63AF33A8"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29.5</w:t>
            </w:r>
          </w:p>
        </w:tc>
        <w:tc>
          <w:tcPr>
            <w:tcW w:w="5555" w:type="dxa"/>
            <w:noWrap/>
            <w:hideMark/>
          </w:tcPr>
          <w:p w14:paraId="535D946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optimistic (4-year acceleration)</w:t>
            </w:r>
          </w:p>
        </w:tc>
      </w:tr>
      <w:tr w:rsidR="002A1B01" w:rsidRPr="00093498" w14:paraId="667ACD50" w14:textId="77777777" w:rsidTr="00A1522D">
        <w:trPr>
          <w:trHeight w:val="290"/>
        </w:trPr>
        <w:tc>
          <w:tcPr>
            <w:tcW w:w="3697" w:type="dxa"/>
            <w:noWrap/>
            <w:hideMark/>
          </w:tcPr>
          <w:p w14:paraId="0A559074"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DOMINANCE_RATIO</w:t>
            </w:r>
          </w:p>
        </w:tc>
        <w:tc>
          <w:tcPr>
            <w:tcW w:w="861" w:type="dxa"/>
            <w:noWrap/>
            <w:hideMark/>
          </w:tcPr>
          <w:p w14:paraId="0F937A99" w14:textId="1D6BA2F9" w:rsidR="002A1B01" w:rsidRPr="00A1522D" w:rsidRDefault="00A1522D" w:rsidP="002A1B01">
            <w:pPr>
              <w:rPr>
                <w:rFonts w:ascii="Times New Roman" w:hAnsi="Times New Roman" w:cs="Times New Roman"/>
                <w:bCs/>
                <w:sz w:val="20"/>
                <w:szCs w:val="20"/>
              </w:rPr>
            </w:pPr>
            <w:r w:rsidRPr="00A1522D">
              <w:rPr>
                <w:rFonts w:ascii="Times New Roman" w:hAnsi="Times New Roman" w:cs="Times New Roman"/>
                <w:bCs/>
                <w:sz w:val="20"/>
                <w:szCs w:val="20"/>
              </w:rPr>
              <w:t>518.2</w:t>
            </w:r>
          </w:p>
        </w:tc>
        <w:tc>
          <w:tcPr>
            <w:tcW w:w="5555" w:type="dxa"/>
            <w:noWrap/>
            <w:hideMark/>
          </w:tcPr>
          <w:p w14:paraId="27D30BDC" w14:textId="4161488D" w:rsidR="002A1B01" w:rsidRPr="00A1522D" w:rsidRDefault="002A1B01" w:rsidP="002A1B01">
            <w:pPr>
              <w:keepNext/>
              <w:rPr>
                <w:rFonts w:ascii="Times New Roman" w:hAnsi="Times New Roman" w:cs="Times New Roman"/>
                <w:bCs/>
                <w:sz w:val="20"/>
                <w:szCs w:val="20"/>
              </w:rPr>
            </w:pPr>
            <w:r w:rsidRPr="00A1522D">
              <w:rPr>
                <w:rFonts w:ascii="Times New Roman" w:hAnsi="Times New Roman" w:cs="Times New Roman"/>
                <w:bCs/>
                <w:sz w:val="20"/>
                <w:szCs w:val="20"/>
              </w:rPr>
              <w:t xml:space="preserve">Ratio of IX NPV </w:t>
            </w:r>
            <w:r w:rsidR="00A1522D" w:rsidRPr="00A1522D">
              <w:rPr>
                <w:rFonts w:ascii="Times New Roman" w:hAnsi="Times New Roman" w:cs="Times New Roman"/>
                <w:bCs/>
                <w:sz w:val="20"/>
                <w:szCs w:val="20"/>
              </w:rPr>
              <w:t xml:space="preserve">(central) </w:t>
            </w:r>
            <w:r w:rsidRPr="00A1522D">
              <w:rPr>
                <w:rFonts w:ascii="Times New Roman" w:hAnsi="Times New Roman" w:cs="Times New Roman"/>
                <w:bCs/>
                <w:sz w:val="20"/>
                <w:szCs w:val="20"/>
              </w:rPr>
              <w:t xml:space="preserve">to annual </w:t>
            </w:r>
            <w:r w:rsidR="00A1522D" w:rsidRPr="00A1522D">
              <w:rPr>
                <w:rFonts w:ascii="Times New Roman" w:hAnsi="Times New Roman" w:cs="Times New Roman"/>
                <w:bCs/>
                <w:sz w:val="20"/>
                <w:szCs w:val="20"/>
              </w:rPr>
              <w:t xml:space="preserve">total </w:t>
            </w:r>
            <w:r w:rsidRPr="00A1522D">
              <w:rPr>
                <w:rFonts w:ascii="Times New Roman" w:hAnsi="Times New Roman" w:cs="Times New Roman"/>
                <w:bCs/>
                <w:sz w:val="20"/>
                <w:szCs w:val="20"/>
              </w:rPr>
              <w:t xml:space="preserve">capacity revenue </w:t>
            </w:r>
            <w:r w:rsidR="00A1522D" w:rsidRPr="00A1522D">
              <w:rPr>
                <w:rFonts w:ascii="Times New Roman" w:hAnsi="Times New Roman" w:cs="Times New Roman"/>
                <w:bCs/>
                <w:sz w:val="20"/>
                <w:szCs w:val="20"/>
              </w:rPr>
              <w:t>at mean commitment depth</w:t>
            </w:r>
          </w:p>
        </w:tc>
      </w:tr>
    </w:tbl>
    <w:p w14:paraId="0616E1B2" w14:textId="2290D98B" w:rsidR="007618E0" w:rsidRDefault="002A1B01" w:rsidP="002A1B01">
      <w:pPr>
        <w:pStyle w:val="Caption"/>
      </w:pPr>
      <w:r w:rsidRPr="00A1522D">
        <w:t>Input parameters and central estimate for the interconnection acceleration NPV calculation reported in Section 6</w:t>
      </w:r>
    </w:p>
    <w:p w14:paraId="49F51E47" w14:textId="77777777" w:rsidR="00D16F6D" w:rsidRDefault="00D16F6D" w:rsidP="00D16F6D"/>
    <w:p w14:paraId="596034D3" w14:textId="77777777" w:rsidR="00D16F6D" w:rsidRDefault="00D16F6D" w:rsidP="00D16F6D"/>
    <w:p w14:paraId="63A598BB" w14:textId="77777777" w:rsidR="006B6A78" w:rsidRDefault="006B6A78" w:rsidP="00D16F6D"/>
    <w:p w14:paraId="1C315303" w14:textId="0DB071D6" w:rsidR="00A1522D" w:rsidRPr="00A1522D" w:rsidRDefault="00A1522D" w:rsidP="00A1522D">
      <w:pPr>
        <w:rPr>
          <w:rFonts w:ascii="Times New Roman" w:hAnsi="Times New Roman" w:cs="Times New Roman"/>
          <w:bCs/>
        </w:rPr>
      </w:pPr>
      <w:r w:rsidRPr="00A1522D">
        <w:rPr>
          <w:rFonts w:ascii="Times New Roman" w:hAnsi="Times New Roman" w:cs="Times New Roman"/>
          <w:bCs/>
        </w:rPr>
        <w:lastRenderedPageBreak/>
        <w:t xml:space="preserve">Extended Data Table </w:t>
      </w:r>
      <w:r>
        <w:rPr>
          <w:rFonts w:ascii="Times New Roman" w:hAnsi="Times New Roman" w:cs="Times New Roman"/>
          <w:bCs/>
        </w:rPr>
        <w:t>3</w:t>
      </w:r>
      <w:r w:rsidRPr="00A1522D">
        <w:rPr>
          <w:rFonts w:ascii="Times New Roman" w:hAnsi="Times New Roman" w:cs="Times New Roman"/>
          <w:bCs/>
        </w:rPr>
        <w:t>.</w:t>
      </w:r>
      <w:r>
        <w:rPr>
          <w:rFonts w:ascii="Times New Roman" w:hAnsi="Times New Roman" w:cs="Times New Roman"/>
          <w:bCs/>
        </w:rPr>
        <w:t>Source-zone robustness check</w:t>
      </w:r>
      <w:r w:rsidRPr="00A1522D">
        <w:rPr>
          <w:rFonts w:ascii="Times New Roman" w:hAnsi="Times New Roman" w:cs="Times New Roman"/>
          <w:bCs/>
        </w:rPr>
        <w:t>.</w:t>
      </w:r>
    </w:p>
    <w:tbl>
      <w:tblPr>
        <w:tblStyle w:val="TableGrid"/>
        <w:tblW w:w="0" w:type="auto"/>
        <w:tblLook w:val="04A0" w:firstRow="1" w:lastRow="0" w:firstColumn="1" w:lastColumn="0" w:noHBand="0" w:noVBand="1"/>
      </w:tblPr>
      <w:tblGrid>
        <w:gridCol w:w="1615"/>
        <w:gridCol w:w="1563"/>
        <w:gridCol w:w="1112"/>
        <w:gridCol w:w="851"/>
        <w:gridCol w:w="769"/>
        <w:gridCol w:w="2005"/>
        <w:gridCol w:w="5035"/>
      </w:tblGrid>
      <w:tr w:rsidR="000A601D" w:rsidRPr="00093498" w14:paraId="19D94100" w14:textId="77777777" w:rsidTr="005D1770">
        <w:trPr>
          <w:trHeight w:val="290"/>
        </w:trPr>
        <w:tc>
          <w:tcPr>
            <w:tcW w:w="1615" w:type="dxa"/>
            <w:noWrap/>
            <w:hideMark/>
          </w:tcPr>
          <w:p w14:paraId="2B4A5CED" w14:textId="78089AF6" w:rsidR="000A601D" w:rsidRPr="00A1522D" w:rsidRDefault="000A601D" w:rsidP="008B4284">
            <w:pPr>
              <w:rPr>
                <w:rFonts w:ascii="Times New Roman" w:hAnsi="Times New Roman" w:cs="Times New Roman"/>
                <w:bCs/>
              </w:rPr>
            </w:pPr>
            <w:r>
              <w:rPr>
                <w:rFonts w:ascii="Times New Roman" w:hAnsi="Times New Roman" w:cs="Times New Roman"/>
                <w:bCs/>
              </w:rPr>
              <w:t>Source zone</w:t>
            </w:r>
          </w:p>
        </w:tc>
        <w:tc>
          <w:tcPr>
            <w:tcW w:w="1563" w:type="dxa"/>
            <w:noWrap/>
            <w:hideMark/>
          </w:tcPr>
          <w:p w14:paraId="5EDBCAD6" w14:textId="3D33C7F6" w:rsidR="000A601D" w:rsidRPr="00A1522D" w:rsidRDefault="000A601D" w:rsidP="008B4284">
            <w:pPr>
              <w:rPr>
                <w:rFonts w:ascii="Times New Roman" w:hAnsi="Times New Roman" w:cs="Times New Roman"/>
                <w:bCs/>
              </w:rPr>
            </w:pPr>
            <w:r>
              <w:rPr>
                <w:rFonts w:ascii="Times New Roman" w:hAnsi="Times New Roman" w:cs="Times New Roman"/>
                <w:bCs/>
              </w:rPr>
              <w:t>Configuration</w:t>
            </w:r>
          </w:p>
        </w:tc>
        <w:tc>
          <w:tcPr>
            <w:tcW w:w="1112" w:type="dxa"/>
          </w:tcPr>
          <w:p w14:paraId="2A56806C" w14:textId="5135A23E" w:rsidR="000A601D" w:rsidRPr="00A1522D" w:rsidRDefault="000A601D" w:rsidP="008B4284">
            <w:pPr>
              <w:rPr>
                <w:rFonts w:ascii="Times New Roman" w:hAnsi="Times New Roman" w:cs="Times New Roman"/>
                <w:bCs/>
              </w:rPr>
            </w:pPr>
            <w:r>
              <w:rPr>
                <w:rFonts w:ascii="Times New Roman" w:hAnsi="Times New Roman" w:cs="Times New Roman"/>
                <w:bCs/>
              </w:rPr>
              <w:t>Sc</w:t>
            </w:r>
            <w:r w:rsidR="00BB2825">
              <w:rPr>
                <w:rFonts w:ascii="Times New Roman" w:hAnsi="Times New Roman" w:cs="Times New Roman"/>
                <w:bCs/>
              </w:rPr>
              <w:t>enario</w:t>
            </w:r>
          </w:p>
        </w:tc>
        <w:tc>
          <w:tcPr>
            <w:tcW w:w="851" w:type="dxa"/>
          </w:tcPr>
          <w:p w14:paraId="70860826" w14:textId="472E5C9C" w:rsidR="000A601D" w:rsidRPr="00A1522D" w:rsidRDefault="000A601D" w:rsidP="008B4284">
            <w:pPr>
              <w:rPr>
                <w:rFonts w:ascii="Times New Roman" w:hAnsi="Times New Roman" w:cs="Times New Roman"/>
                <w:bCs/>
              </w:rPr>
            </w:pPr>
            <w:r>
              <w:rPr>
                <w:rFonts w:ascii="Times New Roman" w:hAnsi="Times New Roman" w:cs="Times New Roman"/>
                <w:bCs/>
              </w:rPr>
              <w:t>Mean</w:t>
            </w:r>
          </w:p>
        </w:tc>
        <w:tc>
          <w:tcPr>
            <w:tcW w:w="769" w:type="dxa"/>
          </w:tcPr>
          <w:p w14:paraId="1FB09CF4" w14:textId="47D7EF5D" w:rsidR="000A601D" w:rsidRPr="00A1522D" w:rsidRDefault="000A601D" w:rsidP="008B4284">
            <w:pPr>
              <w:rPr>
                <w:rFonts w:ascii="Times New Roman" w:hAnsi="Times New Roman" w:cs="Times New Roman"/>
                <w:bCs/>
              </w:rPr>
            </w:pPr>
            <w:r>
              <w:rPr>
                <w:rFonts w:ascii="Times New Roman" w:hAnsi="Times New Roman" w:cs="Times New Roman"/>
                <w:bCs/>
              </w:rPr>
              <w:t>P5</w:t>
            </w:r>
          </w:p>
        </w:tc>
        <w:tc>
          <w:tcPr>
            <w:tcW w:w="2005" w:type="dxa"/>
          </w:tcPr>
          <w:p w14:paraId="19ECBD5C" w14:textId="119E06D5" w:rsidR="000A601D" w:rsidRPr="00A1522D" w:rsidRDefault="00501678" w:rsidP="008B4284">
            <w:pPr>
              <w:rPr>
                <w:rFonts w:ascii="Times New Roman" w:hAnsi="Times New Roman" w:cs="Times New Roman"/>
                <w:bCs/>
              </w:rPr>
            </w:pPr>
            <w:r>
              <w:rPr>
                <w:rFonts w:ascii="Times New Roman" w:hAnsi="Times New Roman" w:cs="Times New Roman"/>
                <w:bCs/>
              </w:rPr>
              <w:t>Cond. Shortfall (CVAR</w:t>
            </w:r>
          </w:p>
        </w:tc>
        <w:tc>
          <w:tcPr>
            <w:tcW w:w="5035" w:type="dxa"/>
            <w:noWrap/>
            <w:hideMark/>
          </w:tcPr>
          <w:p w14:paraId="31014C4F" w14:textId="0B352D28" w:rsidR="000A601D" w:rsidRPr="00A1522D" w:rsidRDefault="000A601D" w:rsidP="008B4284">
            <w:pPr>
              <w:rPr>
                <w:rFonts w:ascii="Times New Roman" w:hAnsi="Times New Roman" w:cs="Times New Roman"/>
                <w:bCs/>
              </w:rPr>
            </w:pPr>
            <w:r>
              <w:rPr>
                <w:rFonts w:ascii="Times New Roman" w:hAnsi="Times New Roman" w:cs="Times New Roman"/>
                <w:bCs/>
              </w:rPr>
              <w:t>n hours</w:t>
            </w:r>
          </w:p>
        </w:tc>
      </w:tr>
      <w:tr w:rsidR="000A601D" w:rsidRPr="00093498" w14:paraId="7205C289" w14:textId="77777777" w:rsidTr="005D1770">
        <w:trPr>
          <w:trHeight w:val="290"/>
        </w:trPr>
        <w:tc>
          <w:tcPr>
            <w:tcW w:w="1615" w:type="dxa"/>
            <w:noWrap/>
            <w:hideMark/>
          </w:tcPr>
          <w:p w14:paraId="3E9F6FB9" w14:textId="246731F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058DD411" w14:textId="4A92141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A7CBC31" w14:textId="44E71D0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CE68AC8" w14:textId="7D358E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7904711B" w14:textId="49CB903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38.5%</w:t>
            </w:r>
          </w:p>
        </w:tc>
        <w:tc>
          <w:tcPr>
            <w:tcW w:w="2005" w:type="dxa"/>
          </w:tcPr>
          <w:p w14:paraId="0B880D3A" w14:textId="6201C58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33.1%</w:t>
            </w:r>
          </w:p>
        </w:tc>
        <w:tc>
          <w:tcPr>
            <w:tcW w:w="5035" w:type="dxa"/>
            <w:noWrap/>
            <w:hideMark/>
          </w:tcPr>
          <w:p w14:paraId="2D0D4B12" w14:textId="4BBF38A2"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32601A80" w14:textId="77777777" w:rsidTr="005D1770">
        <w:trPr>
          <w:trHeight w:val="290"/>
        </w:trPr>
        <w:tc>
          <w:tcPr>
            <w:tcW w:w="1615" w:type="dxa"/>
            <w:noWrap/>
            <w:hideMark/>
          </w:tcPr>
          <w:p w14:paraId="6204E92B" w14:textId="1CCDAE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717209EF" w14:textId="15231D7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7C4AB04" w14:textId="33DE2A3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124B009B" w14:textId="51FEAA9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106F569B" w14:textId="75CD75E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2005" w:type="dxa"/>
          </w:tcPr>
          <w:p w14:paraId="4EE5AFA8" w14:textId="5D22B82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20.6%</w:t>
            </w:r>
          </w:p>
        </w:tc>
        <w:tc>
          <w:tcPr>
            <w:tcW w:w="5035" w:type="dxa"/>
            <w:noWrap/>
            <w:hideMark/>
          </w:tcPr>
          <w:p w14:paraId="3EF40492" w14:textId="569F290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4D724706" w14:textId="77777777" w:rsidTr="005D1770">
        <w:trPr>
          <w:trHeight w:val="290"/>
        </w:trPr>
        <w:tc>
          <w:tcPr>
            <w:tcW w:w="1615" w:type="dxa"/>
            <w:noWrap/>
            <w:hideMark/>
          </w:tcPr>
          <w:p w14:paraId="2BE56297" w14:textId="41E9979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A03F647" w14:textId="47D1FBA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207684BF" w14:textId="39F9EA9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08182BE5" w14:textId="53FEB6D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40.2%</w:t>
            </w:r>
          </w:p>
        </w:tc>
        <w:tc>
          <w:tcPr>
            <w:tcW w:w="769" w:type="dxa"/>
          </w:tcPr>
          <w:p w14:paraId="0FFB3372" w14:textId="228CD3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38.7%</w:t>
            </w:r>
          </w:p>
        </w:tc>
        <w:tc>
          <w:tcPr>
            <w:tcW w:w="2005" w:type="dxa"/>
          </w:tcPr>
          <w:p w14:paraId="309FE661" w14:textId="3E9724E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36.7%</w:t>
            </w:r>
          </w:p>
        </w:tc>
        <w:tc>
          <w:tcPr>
            <w:tcW w:w="5035" w:type="dxa"/>
            <w:noWrap/>
            <w:hideMark/>
          </w:tcPr>
          <w:p w14:paraId="250BB6D8" w14:textId="2CBDA2E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6C9AEEEB" w14:textId="77777777" w:rsidTr="005D1770">
        <w:trPr>
          <w:trHeight w:val="290"/>
        </w:trPr>
        <w:tc>
          <w:tcPr>
            <w:tcW w:w="1615" w:type="dxa"/>
            <w:noWrap/>
            <w:hideMark/>
          </w:tcPr>
          <w:p w14:paraId="341B80C1" w14:textId="5EC857F0"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E274235" w14:textId="59975BB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15318EB3" w14:textId="0D4C9F0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3C7A9514" w14:textId="4D50EE4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24.7%</w:t>
            </w:r>
          </w:p>
        </w:tc>
        <w:tc>
          <w:tcPr>
            <w:tcW w:w="769" w:type="dxa"/>
          </w:tcPr>
          <w:p w14:paraId="6F2B08A5" w14:textId="6825E2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23.8%</w:t>
            </w:r>
          </w:p>
        </w:tc>
        <w:tc>
          <w:tcPr>
            <w:tcW w:w="2005" w:type="dxa"/>
          </w:tcPr>
          <w:p w14:paraId="54515483" w14:textId="0654FE8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22.6%</w:t>
            </w:r>
          </w:p>
        </w:tc>
        <w:tc>
          <w:tcPr>
            <w:tcW w:w="5035" w:type="dxa"/>
            <w:noWrap/>
            <w:hideMark/>
          </w:tcPr>
          <w:p w14:paraId="6323B9C7" w14:textId="1FDEEF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20C26922" w14:textId="77777777" w:rsidTr="005D1770">
        <w:trPr>
          <w:trHeight w:val="290"/>
        </w:trPr>
        <w:tc>
          <w:tcPr>
            <w:tcW w:w="1615" w:type="dxa"/>
            <w:noWrap/>
            <w:hideMark/>
          </w:tcPr>
          <w:p w14:paraId="0ECC8F3B" w14:textId="35C8EB7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589F869A" w14:textId="3F0D7B6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3EA3DD9" w14:textId="4F83AA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26542AD" w14:textId="6218C31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33.6%</w:t>
            </w:r>
          </w:p>
        </w:tc>
        <w:tc>
          <w:tcPr>
            <w:tcW w:w="769" w:type="dxa"/>
          </w:tcPr>
          <w:p w14:paraId="130685F4" w14:textId="1EA70EC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2005" w:type="dxa"/>
          </w:tcPr>
          <w:p w14:paraId="34E266E3" w14:textId="2E4E404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19.8%</w:t>
            </w:r>
          </w:p>
        </w:tc>
        <w:tc>
          <w:tcPr>
            <w:tcW w:w="5035" w:type="dxa"/>
            <w:noWrap/>
            <w:hideMark/>
          </w:tcPr>
          <w:p w14:paraId="7AFB9650" w14:textId="6C1DC2B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4874061E" w14:textId="77777777" w:rsidTr="005D1770">
        <w:trPr>
          <w:trHeight w:val="290"/>
        </w:trPr>
        <w:tc>
          <w:tcPr>
            <w:tcW w:w="1615" w:type="dxa"/>
            <w:noWrap/>
          </w:tcPr>
          <w:p w14:paraId="5D4810BF" w14:textId="748C02E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tcPr>
          <w:p w14:paraId="30B74F99" w14:textId="57B24E3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34A3B290" w14:textId="07C207E3"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0CE43A34" w14:textId="592C0559"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769" w:type="dxa"/>
          </w:tcPr>
          <w:p w14:paraId="481F08E8" w14:textId="096702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13.2%</w:t>
            </w:r>
          </w:p>
        </w:tc>
        <w:tc>
          <w:tcPr>
            <w:tcW w:w="2005" w:type="dxa"/>
          </w:tcPr>
          <w:p w14:paraId="3611D346" w14:textId="559E86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12.3%</w:t>
            </w:r>
          </w:p>
        </w:tc>
        <w:tc>
          <w:tcPr>
            <w:tcW w:w="5035" w:type="dxa"/>
            <w:noWrap/>
          </w:tcPr>
          <w:p w14:paraId="03755CC1" w14:textId="04BC50D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co-stress</w:t>
            </w:r>
          </w:p>
        </w:tc>
      </w:tr>
      <w:tr w:rsidR="000A601D" w:rsidRPr="00093498" w14:paraId="7A3E1C09" w14:textId="77777777" w:rsidTr="005D1770">
        <w:trPr>
          <w:trHeight w:val="290"/>
        </w:trPr>
        <w:tc>
          <w:tcPr>
            <w:tcW w:w="1615" w:type="dxa"/>
            <w:noWrap/>
            <w:hideMark/>
          </w:tcPr>
          <w:p w14:paraId="261B9AF8" w14:textId="5644C4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0C14EF6B" w14:textId="659FD3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F88E577" w14:textId="1A0C2B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636633BD" w14:textId="062ABA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0CE672A5" w14:textId="33B11BA7"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38.4%</w:t>
            </w:r>
          </w:p>
        </w:tc>
        <w:tc>
          <w:tcPr>
            <w:tcW w:w="2005" w:type="dxa"/>
          </w:tcPr>
          <w:p w14:paraId="73AEA9D2" w14:textId="632BA8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32.8%</w:t>
            </w:r>
          </w:p>
        </w:tc>
        <w:tc>
          <w:tcPr>
            <w:tcW w:w="5035" w:type="dxa"/>
            <w:noWrap/>
            <w:hideMark/>
          </w:tcPr>
          <w:p w14:paraId="1A318EC0" w14:textId="638FAB9D"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145 co-stress</w:t>
            </w:r>
          </w:p>
        </w:tc>
      </w:tr>
      <w:tr w:rsidR="000A601D" w:rsidRPr="00093498" w14:paraId="3515590A" w14:textId="77777777" w:rsidTr="005D1770">
        <w:trPr>
          <w:trHeight w:val="290"/>
        </w:trPr>
        <w:tc>
          <w:tcPr>
            <w:tcW w:w="1615" w:type="dxa"/>
            <w:noWrap/>
            <w:hideMark/>
          </w:tcPr>
          <w:p w14:paraId="3BC67FA1" w14:textId="08DF043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491B0ECA" w14:textId="3520CEF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1BF666B0" w14:textId="75006D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219BE603" w14:textId="2D56C4F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5924DCB6" w14:textId="07127F2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2005" w:type="dxa"/>
          </w:tcPr>
          <w:p w14:paraId="717502BA" w14:textId="786CB7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w:t>
            </w:r>
            <w:r w:rsidR="00EF5D4F">
              <w:rPr>
                <w:rFonts w:ascii="Times New Roman" w:hAnsi="Times New Roman" w:cs="Times New Roman"/>
                <w:bCs/>
                <w:sz w:val="20"/>
                <w:szCs w:val="20"/>
              </w:rPr>
              <w:t>0.8</w:t>
            </w:r>
            <w:r>
              <w:rPr>
                <w:rFonts w:ascii="Times New Roman" w:hAnsi="Times New Roman" w:cs="Times New Roman"/>
                <w:bCs/>
                <w:sz w:val="20"/>
                <w:szCs w:val="20"/>
              </w:rPr>
              <w:t>%</w:t>
            </w:r>
          </w:p>
        </w:tc>
        <w:tc>
          <w:tcPr>
            <w:tcW w:w="5035" w:type="dxa"/>
            <w:noWrap/>
            <w:hideMark/>
          </w:tcPr>
          <w:p w14:paraId="2E134A47" w14:textId="3D24419F" w:rsidR="000A601D" w:rsidRPr="00A1522D" w:rsidRDefault="000A601D" w:rsidP="000A601D">
            <w:pPr>
              <w:keepNext/>
              <w:rPr>
                <w:rFonts w:ascii="Times New Roman" w:hAnsi="Times New Roman" w:cs="Times New Roman"/>
                <w:bCs/>
                <w:sz w:val="20"/>
                <w:szCs w:val="20"/>
              </w:rPr>
            </w:pPr>
            <w:r>
              <w:rPr>
                <w:rFonts w:ascii="Times New Roman" w:hAnsi="Times New Roman" w:cs="Times New Roman"/>
                <w:bCs/>
                <w:sz w:val="20"/>
                <w:szCs w:val="20"/>
              </w:rPr>
              <w:t>145 co-stress</w:t>
            </w:r>
          </w:p>
        </w:tc>
      </w:tr>
    </w:tbl>
    <w:p w14:paraId="7FD93688" w14:textId="7678D8D7" w:rsidR="000A601D" w:rsidRDefault="000A601D" w:rsidP="00D16F6D">
      <w:pPr>
        <w:rPr>
          <w:i/>
          <w:iCs/>
          <w:color w:val="0E2841" w:themeColor="text2"/>
          <w:sz w:val="18"/>
          <w:szCs w:val="18"/>
        </w:rPr>
      </w:pPr>
      <w:r w:rsidRPr="000A601D">
        <w:rPr>
          <w:i/>
          <w:iCs/>
          <w:color w:val="0E2841" w:themeColor="text2"/>
          <w:sz w:val="18"/>
          <w:szCs w:val="18"/>
        </w:rPr>
        <w:t xml:space="preserve">Source-zone robustness check using PJM Dominion as an alternative source. Single-facility commitment depth is essentially identical across the two source zones (40.0% vs 40.2% inference-dominant), confirming that the </w:t>
      </w:r>
      <w:r w:rsidR="00BB2825">
        <w:rPr>
          <w:i/>
          <w:iCs/>
          <w:color w:val="0E2841" w:themeColor="text2"/>
          <w:sz w:val="18"/>
          <w:szCs w:val="18"/>
        </w:rPr>
        <w:t>model</w:t>
      </w:r>
      <w:r w:rsidR="00BB2825" w:rsidRPr="000A601D">
        <w:rPr>
          <w:i/>
          <w:iCs/>
          <w:color w:val="0E2841" w:themeColor="text2"/>
          <w:sz w:val="18"/>
          <w:szCs w:val="18"/>
        </w:rPr>
        <w:t xml:space="preserve"> </w:t>
      </w:r>
      <w:r w:rsidRPr="000A601D">
        <w:rPr>
          <w:i/>
          <w:iCs/>
          <w:color w:val="0E2841" w:themeColor="text2"/>
          <w:sz w:val="18"/>
          <w:szCs w:val="18"/>
        </w:rPr>
        <w:t>math is source-invariant at small scale. The empirical fleet result differs more substantially because the migrating fleet definition shifts: with Dominion as source, the fleet outside Dominion excludes the largest data center zone in PJM, leaving a smaller migrating fleet (max 6,678 MW) that experiences less destination contention than the ComEd-source fleet (max 14,379 MW). The 30-vs-145 co-stress hour count reflects geographic differences in stress patterns: ComEd stress events are more locally concentrated, while Dominion stress events more frequently coincide with broader PJM stress.</w:t>
      </w:r>
    </w:p>
    <w:p w14:paraId="740B0A4B" w14:textId="77777777" w:rsidR="000A601D" w:rsidRDefault="000A601D" w:rsidP="00D16F6D">
      <w:pPr>
        <w:rPr>
          <w:i/>
          <w:iCs/>
          <w:color w:val="0E2841" w:themeColor="text2"/>
          <w:sz w:val="18"/>
          <w:szCs w:val="18"/>
        </w:rPr>
      </w:pP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00B14" w14:textId="77777777" w:rsidR="002D33DC" w:rsidRDefault="002D33DC" w:rsidP="008B1F31">
      <w:pPr>
        <w:spacing w:after="0" w:line="240" w:lineRule="auto"/>
      </w:pPr>
      <w:r>
        <w:separator/>
      </w:r>
    </w:p>
  </w:endnote>
  <w:endnote w:type="continuationSeparator" w:id="0">
    <w:p w14:paraId="74ED0FEF" w14:textId="77777777" w:rsidR="002D33DC" w:rsidRDefault="002D33DC" w:rsidP="008B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41539" w14:textId="77777777" w:rsidR="002D33DC" w:rsidRDefault="002D33DC" w:rsidP="008B1F31">
      <w:pPr>
        <w:spacing w:after="0" w:line="240" w:lineRule="auto"/>
      </w:pPr>
      <w:r>
        <w:separator/>
      </w:r>
    </w:p>
  </w:footnote>
  <w:footnote w:type="continuationSeparator" w:id="0">
    <w:p w14:paraId="173389D2" w14:textId="77777777" w:rsidR="002D33DC" w:rsidRDefault="002D33DC" w:rsidP="008B1F31">
      <w:pPr>
        <w:spacing w:after="0" w:line="240" w:lineRule="auto"/>
      </w:pPr>
      <w:r>
        <w:continuationSeparator/>
      </w:r>
    </w:p>
  </w:footnote>
  <w:footnote w:id="1">
    <w:p w14:paraId="77966FA1" w14:textId="2030284D" w:rsidR="00520030" w:rsidRPr="005D1770" w:rsidRDefault="00520030">
      <w:pPr>
        <w:pStyle w:val="FootnoteText"/>
        <w:rPr>
          <w:rFonts w:ascii="Times New Roman" w:hAnsi="Times New Roman" w:cs="Times New Roman"/>
        </w:rPr>
      </w:pPr>
      <w:r w:rsidRPr="005D1770">
        <w:rPr>
          <w:rStyle w:val="FootnoteReference"/>
          <w:rFonts w:ascii="Times New Roman" w:hAnsi="Times New Roman" w:cs="Times New Roman"/>
        </w:rPr>
        <w:footnoteRef/>
      </w:r>
      <w:r w:rsidRPr="005D1770">
        <w:rPr>
          <w:rFonts w:ascii="Times New Roman" w:hAnsi="Times New Roman" w:cs="Times New Roman"/>
        </w:rPr>
        <w:t xml:space="preserve"> </w:t>
      </w:r>
      <w:r w:rsidR="002908BD" w:rsidRPr="002908BD">
        <w:rPr>
          <w:rFonts w:ascii="Times New Roman" w:hAnsi="Times New Roman" w:cs="Times New Roman"/>
        </w:rPr>
        <w:t>PJM is the largest of seven U.S. Regional Transmission Organizations (RTOs), independent operators that coordinate transmission and run wholesale electricity markets across defined geographic footprints. PJM serves 13 mid-Atlantic states and the District of Columbia. Capacity auctions procure generation three years forward to ensure adequate supply during peak demand.</w:t>
      </w:r>
    </w:p>
  </w:footnote>
  <w:footnote w:id="2">
    <w:p w14:paraId="241E94B3" w14:textId="1A3758D7" w:rsidR="00D358E9" w:rsidRPr="00826ABB" w:rsidRDefault="00D358E9" w:rsidP="00D358E9">
      <w:pPr>
        <w:pStyle w:val="FootnoteText"/>
        <w:rPr>
          <w:rFonts w:ascii="Times New Roman" w:hAnsi="Times New Roman" w:cs="Times New Roman"/>
        </w:rPr>
      </w:pPr>
      <w:r w:rsidRPr="00826ABB">
        <w:rPr>
          <w:rStyle w:val="FootnoteReference"/>
          <w:rFonts w:ascii="Times New Roman" w:hAnsi="Times New Roman" w:cs="Times New Roman"/>
        </w:rPr>
        <w:footnoteRef/>
      </w:r>
      <w:r w:rsidRPr="00826ABB">
        <w:rPr>
          <w:rFonts w:ascii="Times New Roman" w:hAnsi="Times New Roman" w:cs="Times New Roman"/>
        </w:rPr>
        <w:t xml:space="preserve"> The discrete decomposition presented here is the form relevant to capacity-accreditation frameworks, which require a single commitment number per facility per dispatch window. The underlying operator decision is a continuous coupled optimization across compute mechanisms, behind-the-meter assets, and grid market signals; the </w:t>
      </w:r>
      <w:r>
        <w:rPr>
          <w:rFonts w:ascii="Times New Roman" w:hAnsi="Times New Roman" w:cs="Times New Roman"/>
        </w:rPr>
        <w:t>framework</w:t>
      </w:r>
      <w:r w:rsidRPr="00826ABB">
        <w:rPr>
          <w:rFonts w:ascii="Times New Roman" w:hAnsi="Times New Roman" w:cs="Times New Roman"/>
        </w:rPr>
        <w:t xml:space="preserve"> is the projection of that optimization onto the accreditation question. A joint-optimization treatment, including substitutability between mechanisms and BTM assets, is a subject of ongoing work.</w:t>
      </w:r>
    </w:p>
  </w:footnote>
  <w:footnote w:id="3">
    <w:p w14:paraId="20CA4C09" w14:textId="218C8D89" w:rsidR="002908BD" w:rsidRPr="00EE45B6" w:rsidRDefault="002908BD">
      <w:pPr>
        <w:pStyle w:val="FootnoteText"/>
        <w:rPr>
          <w:rFonts w:ascii="Times New Roman" w:hAnsi="Times New Roman" w:cs="Times New Roman"/>
        </w:rPr>
      </w:pPr>
      <w:r w:rsidRPr="005D1770">
        <w:rPr>
          <w:rStyle w:val="FootnoteReference"/>
          <w:rFonts w:ascii="Times New Roman" w:hAnsi="Times New Roman" w:cs="Times New Roman"/>
        </w:rPr>
        <w:footnoteRef/>
      </w:r>
      <w:r w:rsidRPr="005D1770">
        <w:rPr>
          <w:rFonts w:ascii="Times New Roman" w:hAnsi="Times New Roman" w:cs="Times New Roman"/>
        </w:rPr>
        <w:t xml:space="preserve"> Day-ahead locational marginal pricing reflects the clearing price of electricity at each location </w:t>
      </w:r>
      <w:r w:rsidR="00661543">
        <w:rPr>
          <w:rFonts w:ascii="Times New Roman" w:hAnsi="Times New Roman" w:cs="Times New Roman"/>
        </w:rPr>
        <w:t xml:space="preserve">node </w:t>
      </w:r>
      <w:r w:rsidRPr="005D1770">
        <w:rPr>
          <w:rFonts w:ascii="Times New Roman" w:hAnsi="Times New Roman" w:cs="Times New Roman"/>
        </w:rPr>
        <w:t>on the grid, set the day before delivery, with prices rising where transmission constraints or local scarcity prevent cheap generation from reaching demand. High LMP at a given locat</w:t>
      </w:r>
      <w:r w:rsidRPr="00EE45B6">
        <w:rPr>
          <w:rFonts w:ascii="Times New Roman" w:hAnsi="Times New Roman" w:cs="Times New Roman"/>
        </w:rPr>
        <w:t>ion therefore signals local system stress.</w:t>
      </w:r>
    </w:p>
  </w:footnote>
  <w:footnote w:id="4">
    <w:p w14:paraId="56306F45" w14:textId="79748FF8" w:rsidR="00EE45B6" w:rsidRDefault="00EE45B6">
      <w:pPr>
        <w:pStyle w:val="FootnoteText"/>
      </w:pPr>
      <w:r w:rsidRPr="00EE45B6">
        <w:rPr>
          <w:rStyle w:val="FootnoteReference"/>
          <w:rFonts w:ascii="Times New Roman" w:hAnsi="Times New Roman" w:cs="Times New Roman"/>
        </w:rPr>
        <w:footnoteRef/>
      </w:r>
      <w:r w:rsidRPr="00EE45B6">
        <w:rPr>
          <w:rFonts w:ascii="Times New Roman" w:hAnsi="Times New Roman" w:cs="Times New Roman"/>
        </w:rPr>
        <w:t xml:space="preserve"> </w:t>
      </w:r>
      <w:r w:rsidRPr="00EE45B6">
        <w:rPr>
          <w:rFonts w:ascii="Times New Roman" w:hAnsi="Times New Roman" w:cs="Times New Roman"/>
        </w:rPr>
        <w:t>The January 2024 Arctic Blast was a multi-day cold weather event in mid-January 2024 that produced simultaneous extreme cold across the eastern two-thirds of the United States, driving record electricity demand and forced generation outages across PJM, MISO, ERCOT, and other interconnections. PJM experienced its highest winter peak load on record during the event, and ERCOT issued conservation alerts despite operating in a different interconnection.</w:t>
      </w:r>
    </w:p>
  </w:footnote>
  <w:footnote w:id="5">
    <w:p w14:paraId="54E952B5" w14:textId="765695B7" w:rsidR="00FD31FB" w:rsidRPr="005D1770" w:rsidRDefault="00FD31FB">
      <w:pPr>
        <w:pStyle w:val="FootnoteText"/>
        <w:rPr>
          <w:rFonts w:ascii="Times New Roman" w:hAnsi="Times New Roman" w:cs="Times New Roman"/>
        </w:rPr>
      </w:pPr>
      <w:r w:rsidRPr="005D1770">
        <w:rPr>
          <w:rStyle w:val="FootnoteReference"/>
          <w:rFonts w:ascii="Times New Roman" w:hAnsi="Times New Roman" w:cs="Times New Roman"/>
        </w:rPr>
        <w:footnoteRef/>
      </w:r>
      <w:r w:rsidRPr="005D1770">
        <w:rPr>
          <w:rFonts w:ascii="Times New Roman" w:hAnsi="Times New Roman" w:cs="Times New Roman"/>
        </w:rPr>
        <w:t xml:space="preserve"> </w:t>
      </w:r>
      <w:r w:rsidRPr="00FD31FB">
        <w:rPr>
          <w:rFonts w:ascii="Times New Roman" w:hAnsi="Times New Roman" w:cs="Times New Roman"/>
        </w:rPr>
        <w:t>ELCC quantifies the fraction of a resource's nameplate capacity that counts toward meeting reliability requirements, after accounting for the probability that the resource is available during stress hours. A resource that can be relied upon during every stress hour would receive 100% ELCC; resources with limited or uncertain availability receive less. PJM applies a 92% ELCC to demand response, meaning that one MW of committed demand response counts as 0.92 MW toward the reliability requirement.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6786D"/>
    <w:multiLevelType w:val="multilevel"/>
    <w:tmpl w:val="8FC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B0688"/>
    <w:multiLevelType w:val="hybridMultilevel"/>
    <w:tmpl w:val="688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26C47"/>
    <w:multiLevelType w:val="hybridMultilevel"/>
    <w:tmpl w:val="88E8A8C0"/>
    <w:lvl w:ilvl="0" w:tplc="D0D86A9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2549585">
    <w:abstractNumId w:val="0"/>
  </w:num>
  <w:num w:numId="2" w16cid:durableId="670909119">
    <w:abstractNumId w:val="2"/>
  </w:num>
  <w:num w:numId="3" w16cid:durableId="1540630487">
    <w:abstractNumId w:val="1"/>
  </w:num>
  <w:num w:numId="4" w16cid:durableId="2015497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7C8"/>
    <w:rsid w:val="0000391D"/>
    <w:rsid w:val="000058A1"/>
    <w:rsid w:val="00012850"/>
    <w:rsid w:val="00014BBD"/>
    <w:rsid w:val="00023319"/>
    <w:rsid w:val="000350AC"/>
    <w:rsid w:val="00043407"/>
    <w:rsid w:val="00054C76"/>
    <w:rsid w:val="0005619B"/>
    <w:rsid w:val="0006399D"/>
    <w:rsid w:val="000662AE"/>
    <w:rsid w:val="00067E98"/>
    <w:rsid w:val="00072704"/>
    <w:rsid w:val="00077F24"/>
    <w:rsid w:val="00093498"/>
    <w:rsid w:val="000A4B3E"/>
    <w:rsid w:val="000A601D"/>
    <w:rsid w:val="000B7727"/>
    <w:rsid w:val="000C137A"/>
    <w:rsid w:val="000D08D9"/>
    <w:rsid w:val="000D0F0B"/>
    <w:rsid w:val="000D0FB5"/>
    <w:rsid w:val="000D5784"/>
    <w:rsid w:val="000D7CAA"/>
    <w:rsid w:val="000E443C"/>
    <w:rsid w:val="000E571A"/>
    <w:rsid w:val="00102C3F"/>
    <w:rsid w:val="00103044"/>
    <w:rsid w:val="00104754"/>
    <w:rsid w:val="00114017"/>
    <w:rsid w:val="00114243"/>
    <w:rsid w:val="00123193"/>
    <w:rsid w:val="00134FC3"/>
    <w:rsid w:val="0013687C"/>
    <w:rsid w:val="00143964"/>
    <w:rsid w:val="00144FCC"/>
    <w:rsid w:val="00154604"/>
    <w:rsid w:val="0015592B"/>
    <w:rsid w:val="0016044D"/>
    <w:rsid w:val="0016253B"/>
    <w:rsid w:val="00170FFE"/>
    <w:rsid w:val="0017672D"/>
    <w:rsid w:val="00176CEF"/>
    <w:rsid w:val="001930CA"/>
    <w:rsid w:val="00196806"/>
    <w:rsid w:val="001A0BA3"/>
    <w:rsid w:val="001A463B"/>
    <w:rsid w:val="001A63E5"/>
    <w:rsid w:val="001A724F"/>
    <w:rsid w:val="001B6093"/>
    <w:rsid w:val="001C0C7F"/>
    <w:rsid w:val="001C53D0"/>
    <w:rsid w:val="001C649C"/>
    <w:rsid w:val="001D5418"/>
    <w:rsid w:val="001D6E1E"/>
    <w:rsid w:val="001E1732"/>
    <w:rsid w:val="001E35CE"/>
    <w:rsid w:val="001F4BCB"/>
    <w:rsid w:val="001F684C"/>
    <w:rsid w:val="00212395"/>
    <w:rsid w:val="00214197"/>
    <w:rsid w:val="002216EB"/>
    <w:rsid w:val="00223179"/>
    <w:rsid w:val="00227F82"/>
    <w:rsid w:val="00240CA5"/>
    <w:rsid w:val="00245018"/>
    <w:rsid w:val="00253C40"/>
    <w:rsid w:val="00257069"/>
    <w:rsid w:val="00271730"/>
    <w:rsid w:val="00282261"/>
    <w:rsid w:val="00285C49"/>
    <w:rsid w:val="002908BD"/>
    <w:rsid w:val="0029198D"/>
    <w:rsid w:val="002922E6"/>
    <w:rsid w:val="002A1B01"/>
    <w:rsid w:val="002A3C16"/>
    <w:rsid w:val="002A6001"/>
    <w:rsid w:val="002B2D59"/>
    <w:rsid w:val="002B2ED1"/>
    <w:rsid w:val="002C2340"/>
    <w:rsid w:val="002C3C12"/>
    <w:rsid w:val="002D0120"/>
    <w:rsid w:val="002D33DC"/>
    <w:rsid w:val="002D6082"/>
    <w:rsid w:val="002E5E67"/>
    <w:rsid w:val="002F0255"/>
    <w:rsid w:val="002F0AB0"/>
    <w:rsid w:val="002F2A9A"/>
    <w:rsid w:val="00300E1F"/>
    <w:rsid w:val="003165E5"/>
    <w:rsid w:val="003229E9"/>
    <w:rsid w:val="00330F7A"/>
    <w:rsid w:val="00331948"/>
    <w:rsid w:val="00336B79"/>
    <w:rsid w:val="003504ED"/>
    <w:rsid w:val="003504F4"/>
    <w:rsid w:val="00351E27"/>
    <w:rsid w:val="00353DA9"/>
    <w:rsid w:val="0035650A"/>
    <w:rsid w:val="003729C7"/>
    <w:rsid w:val="00372E1B"/>
    <w:rsid w:val="00377EDD"/>
    <w:rsid w:val="00380C0E"/>
    <w:rsid w:val="00385481"/>
    <w:rsid w:val="00390B2B"/>
    <w:rsid w:val="00394EB6"/>
    <w:rsid w:val="0039630A"/>
    <w:rsid w:val="003A0B79"/>
    <w:rsid w:val="003A1A7B"/>
    <w:rsid w:val="003A5D87"/>
    <w:rsid w:val="003B77C4"/>
    <w:rsid w:val="003C2D3C"/>
    <w:rsid w:val="003D54C3"/>
    <w:rsid w:val="003E7288"/>
    <w:rsid w:val="00400DD3"/>
    <w:rsid w:val="00402C2C"/>
    <w:rsid w:val="00407CF8"/>
    <w:rsid w:val="004135E7"/>
    <w:rsid w:val="00415262"/>
    <w:rsid w:val="00425D1D"/>
    <w:rsid w:val="004309E8"/>
    <w:rsid w:val="004468BA"/>
    <w:rsid w:val="00447E95"/>
    <w:rsid w:val="00453346"/>
    <w:rsid w:val="004554E2"/>
    <w:rsid w:val="0046133D"/>
    <w:rsid w:val="00464361"/>
    <w:rsid w:val="00466263"/>
    <w:rsid w:val="00475B1C"/>
    <w:rsid w:val="00481538"/>
    <w:rsid w:val="00482036"/>
    <w:rsid w:val="00490749"/>
    <w:rsid w:val="00491040"/>
    <w:rsid w:val="004A3755"/>
    <w:rsid w:val="004A3F0A"/>
    <w:rsid w:val="004A4C15"/>
    <w:rsid w:val="004B3CD7"/>
    <w:rsid w:val="004B4310"/>
    <w:rsid w:val="004B51CA"/>
    <w:rsid w:val="004D41B9"/>
    <w:rsid w:val="004D5A8D"/>
    <w:rsid w:val="004E632D"/>
    <w:rsid w:val="00500397"/>
    <w:rsid w:val="00501678"/>
    <w:rsid w:val="00520030"/>
    <w:rsid w:val="00521721"/>
    <w:rsid w:val="0053767D"/>
    <w:rsid w:val="00543DE5"/>
    <w:rsid w:val="00550511"/>
    <w:rsid w:val="00552814"/>
    <w:rsid w:val="005657DD"/>
    <w:rsid w:val="00565B9C"/>
    <w:rsid w:val="0056751C"/>
    <w:rsid w:val="005804B0"/>
    <w:rsid w:val="00590A70"/>
    <w:rsid w:val="0059191C"/>
    <w:rsid w:val="00591D3A"/>
    <w:rsid w:val="00597009"/>
    <w:rsid w:val="005A270C"/>
    <w:rsid w:val="005A5317"/>
    <w:rsid w:val="005B5E60"/>
    <w:rsid w:val="005C0231"/>
    <w:rsid w:val="005D043C"/>
    <w:rsid w:val="005D1770"/>
    <w:rsid w:val="005D1F39"/>
    <w:rsid w:val="005E0C54"/>
    <w:rsid w:val="005E3031"/>
    <w:rsid w:val="005E46AD"/>
    <w:rsid w:val="005F328B"/>
    <w:rsid w:val="0060691A"/>
    <w:rsid w:val="00617EC8"/>
    <w:rsid w:val="006205C9"/>
    <w:rsid w:val="00633130"/>
    <w:rsid w:val="006454DD"/>
    <w:rsid w:val="0065765A"/>
    <w:rsid w:val="00661543"/>
    <w:rsid w:val="00671A68"/>
    <w:rsid w:val="00671E85"/>
    <w:rsid w:val="00675885"/>
    <w:rsid w:val="006770F3"/>
    <w:rsid w:val="00682B32"/>
    <w:rsid w:val="006A1A7E"/>
    <w:rsid w:val="006A352F"/>
    <w:rsid w:val="006B354C"/>
    <w:rsid w:val="006B3A4F"/>
    <w:rsid w:val="006B6A78"/>
    <w:rsid w:val="006B7627"/>
    <w:rsid w:val="006C38FF"/>
    <w:rsid w:val="006E465E"/>
    <w:rsid w:val="00702F1B"/>
    <w:rsid w:val="00710748"/>
    <w:rsid w:val="00715142"/>
    <w:rsid w:val="00720EAA"/>
    <w:rsid w:val="00722127"/>
    <w:rsid w:val="00726741"/>
    <w:rsid w:val="007268E3"/>
    <w:rsid w:val="00727734"/>
    <w:rsid w:val="007325E4"/>
    <w:rsid w:val="00751DD0"/>
    <w:rsid w:val="007618E0"/>
    <w:rsid w:val="00766339"/>
    <w:rsid w:val="007668A9"/>
    <w:rsid w:val="00773591"/>
    <w:rsid w:val="00774BA4"/>
    <w:rsid w:val="00775561"/>
    <w:rsid w:val="0078645D"/>
    <w:rsid w:val="00790355"/>
    <w:rsid w:val="007A40F0"/>
    <w:rsid w:val="007B0222"/>
    <w:rsid w:val="007B267C"/>
    <w:rsid w:val="007B5ECF"/>
    <w:rsid w:val="007C14BF"/>
    <w:rsid w:val="007C4983"/>
    <w:rsid w:val="007C5075"/>
    <w:rsid w:val="007D01A7"/>
    <w:rsid w:val="007D5039"/>
    <w:rsid w:val="007E381D"/>
    <w:rsid w:val="007F0115"/>
    <w:rsid w:val="007F1E87"/>
    <w:rsid w:val="00817625"/>
    <w:rsid w:val="00817783"/>
    <w:rsid w:val="00826ABB"/>
    <w:rsid w:val="00833BB0"/>
    <w:rsid w:val="00834DC6"/>
    <w:rsid w:val="00835266"/>
    <w:rsid w:val="00842381"/>
    <w:rsid w:val="00844AD3"/>
    <w:rsid w:val="00845AA3"/>
    <w:rsid w:val="00847A3F"/>
    <w:rsid w:val="00850F22"/>
    <w:rsid w:val="00851C78"/>
    <w:rsid w:val="008538CF"/>
    <w:rsid w:val="00857CE5"/>
    <w:rsid w:val="00865B15"/>
    <w:rsid w:val="00871BF0"/>
    <w:rsid w:val="00874687"/>
    <w:rsid w:val="00877A4C"/>
    <w:rsid w:val="008833BA"/>
    <w:rsid w:val="00883767"/>
    <w:rsid w:val="00886523"/>
    <w:rsid w:val="008978AD"/>
    <w:rsid w:val="008A09F2"/>
    <w:rsid w:val="008A3863"/>
    <w:rsid w:val="008B1F31"/>
    <w:rsid w:val="008D1247"/>
    <w:rsid w:val="008E326D"/>
    <w:rsid w:val="008E3CF7"/>
    <w:rsid w:val="008E4A6C"/>
    <w:rsid w:val="008E6788"/>
    <w:rsid w:val="008F69CF"/>
    <w:rsid w:val="00900941"/>
    <w:rsid w:val="00903655"/>
    <w:rsid w:val="0091318F"/>
    <w:rsid w:val="00920A69"/>
    <w:rsid w:val="00923425"/>
    <w:rsid w:val="0092661B"/>
    <w:rsid w:val="0093751F"/>
    <w:rsid w:val="009375CA"/>
    <w:rsid w:val="00950AEA"/>
    <w:rsid w:val="00960595"/>
    <w:rsid w:val="009614D5"/>
    <w:rsid w:val="00962C35"/>
    <w:rsid w:val="009714C3"/>
    <w:rsid w:val="0097330A"/>
    <w:rsid w:val="0098133A"/>
    <w:rsid w:val="00982135"/>
    <w:rsid w:val="00982FBC"/>
    <w:rsid w:val="009878E4"/>
    <w:rsid w:val="00991460"/>
    <w:rsid w:val="00991EAA"/>
    <w:rsid w:val="00994BA4"/>
    <w:rsid w:val="009A52DD"/>
    <w:rsid w:val="009B402C"/>
    <w:rsid w:val="009B57B0"/>
    <w:rsid w:val="009E4842"/>
    <w:rsid w:val="009F14DB"/>
    <w:rsid w:val="00A00A0A"/>
    <w:rsid w:val="00A025CD"/>
    <w:rsid w:val="00A030C8"/>
    <w:rsid w:val="00A104C3"/>
    <w:rsid w:val="00A115E6"/>
    <w:rsid w:val="00A1522D"/>
    <w:rsid w:val="00A156A9"/>
    <w:rsid w:val="00A20E5B"/>
    <w:rsid w:val="00A36ECE"/>
    <w:rsid w:val="00A416F7"/>
    <w:rsid w:val="00A42F23"/>
    <w:rsid w:val="00A507AA"/>
    <w:rsid w:val="00A55550"/>
    <w:rsid w:val="00A73906"/>
    <w:rsid w:val="00A8073C"/>
    <w:rsid w:val="00A82326"/>
    <w:rsid w:val="00A87BDC"/>
    <w:rsid w:val="00A97414"/>
    <w:rsid w:val="00AA2BB3"/>
    <w:rsid w:val="00AA2EA2"/>
    <w:rsid w:val="00AB44AF"/>
    <w:rsid w:val="00AB73BB"/>
    <w:rsid w:val="00AD2062"/>
    <w:rsid w:val="00AE1AB4"/>
    <w:rsid w:val="00AE5C56"/>
    <w:rsid w:val="00AE7DA9"/>
    <w:rsid w:val="00AF38B5"/>
    <w:rsid w:val="00AF6594"/>
    <w:rsid w:val="00AF7413"/>
    <w:rsid w:val="00B11586"/>
    <w:rsid w:val="00B117B8"/>
    <w:rsid w:val="00B140BA"/>
    <w:rsid w:val="00B24D6B"/>
    <w:rsid w:val="00B31367"/>
    <w:rsid w:val="00B362F2"/>
    <w:rsid w:val="00B42103"/>
    <w:rsid w:val="00B514A5"/>
    <w:rsid w:val="00B717CE"/>
    <w:rsid w:val="00B82F7F"/>
    <w:rsid w:val="00B94883"/>
    <w:rsid w:val="00B95F33"/>
    <w:rsid w:val="00BB2825"/>
    <w:rsid w:val="00BB62FE"/>
    <w:rsid w:val="00BC30CF"/>
    <w:rsid w:val="00BC3406"/>
    <w:rsid w:val="00BC4F32"/>
    <w:rsid w:val="00BC54F8"/>
    <w:rsid w:val="00BC6144"/>
    <w:rsid w:val="00BD3B44"/>
    <w:rsid w:val="00BE40BF"/>
    <w:rsid w:val="00BE4AEC"/>
    <w:rsid w:val="00BF52C2"/>
    <w:rsid w:val="00C00508"/>
    <w:rsid w:val="00C05126"/>
    <w:rsid w:val="00C068FA"/>
    <w:rsid w:val="00C12FA3"/>
    <w:rsid w:val="00C20B6C"/>
    <w:rsid w:val="00C20F55"/>
    <w:rsid w:val="00C41BD0"/>
    <w:rsid w:val="00C47F0E"/>
    <w:rsid w:val="00C60DCD"/>
    <w:rsid w:val="00C70DE3"/>
    <w:rsid w:val="00C74245"/>
    <w:rsid w:val="00C8000E"/>
    <w:rsid w:val="00C85773"/>
    <w:rsid w:val="00C8753F"/>
    <w:rsid w:val="00CA1283"/>
    <w:rsid w:val="00CA5C0C"/>
    <w:rsid w:val="00CC04C7"/>
    <w:rsid w:val="00CC5517"/>
    <w:rsid w:val="00CC6AA9"/>
    <w:rsid w:val="00CC7FBF"/>
    <w:rsid w:val="00CD0F81"/>
    <w:rsid w:val="00CD2054"/>
    <w:rsid w:val="00CD3D79"/>
    <w:rsid w:val="00CE0C0D"/>
    <w:rsid w:val="00CF3435"/>
    <w:rsid w:val="00D0534F"/>
    <w:rsid w:val="00D16F6D"/>
    <w:rsid w:val="00D358E9"/>
    <w:rsid w:val="00D5398E"/>
    <w:rsid w:val="00D62732"/>
    <w:rsid w:val="00D628A4"/>
    <w:rsid w:val="00D708DF"/>
    <w:rsid w:val="00D81F26"/>
    <w:rsid w:val="00D8254E"/>
    <w:rsid w:val="00D842D5"/>
    <w:rsid w:val="00D85FA0"/>
    <w:rsid w:val="00D87871"/>
    <w:rsid w:val="00D92FFA"/>
    <w:rsid w:val="00DA4458"/>
    <w:rsid w:val="00DA7ED3"/>
    <w:rsid w:val="00DB604F"/>
    <w:rsid w:val="00DC42BA"/>
    <w:rsid w:val="00DC56F4"/>
    <w:rsid w:val="00DE288D"/>
    <w:rsid w:val="00DE5CD5"/>
    <w:rsid w:val="00DF211F"/>
    <w:rsid w:val="00E33BC8"/>
    <w:rsid w:val="00E34A7A"/>
    <w:rsid w:val="00E4263B"/>
    <w:rsid w:val="00E529AC"/>
    <w:rsid w:val="00E53D1D"/>
    <w:rsid w:val="00E55B00"/>
    <w:rsid w:val="00E62CB8"/>
    <w:rsid w:val="00E7538B"/>
    <w:rsid w:val="00E851BE"/>
    <w:rsid w:val="00EA3AD5"/>
    <w:rsid w:val="00EA5CD3"/>
    <w:rsid w:val="00EC45E1"/>
    <w:rsid w:val="00EC5A23"/>
    <w:rsid w:val="00ED2367"/>
    <w:rsid w:val="00ED5494"/>
    <w:rsid w:val="00ED5841"/>
    <w:rsid w:val="00EE45B6"/>
    <w:rsid w:val="00EE74DD"/>
    <w:rsid w:val="00EF2942"/>
    <w:rsid w:val="00EF58FB"/>
    <w:rsid w:val="00EF5D4F"/>
    <w:rsid w:val="00F00522"/>
    <w:rsid w:val="00F060C7"/>
    <w:rsid w:val="00F064BF"/>
    <w:rsid w:val="00F125CC"/>
    <w:rsid w:val="00F30A9B"/>
    <w:rsid w:val="00F30CDA"/>
    <w:rsid w:val="00F33DFF"/>
    <w:rsid w:val="00F407A0"/>
    <w:rsid w:val="00F459F5"/>
    <w:rsid w:val="00F54580"/>
    <w:rsid w:val="00F57EBF"/>
    <w:rsid w:val="00F64C4B"/>
    <w:rsid w:val="00FA0AC3"/>
    <w:rsid w:val="00FA4A59"/>
    <w:rsid w:val="00FA589C"/>
    <w:rsid w:val="00FA5EEA"/>
    <w:rsid w:val="00FB45F0"/>
    <w:rsid w:val="00FB51A1"/>
    <w:rsid w:val="00FD0C38"/>
    <w:rsid w:val="00FD31FB"/>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 w:type="paragraph" w:styleId="FootnoteText">
    <w:name w:val="footnote text"/>
    <w:basedOn w:val="Normal"/>
    <w:link w:val="FootnoteTextChar"/>
    <w:uiPriority w:val="99"/>
    <w:semiHidden/>
    <w:unhideWhenUsed/>
    <w:rsid w:val="004309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09E8"/>
    <w:rPr>
      <w:sz w:val="20"/>
      <w:szCs w:val="20"/>
    </w:rPr>
  </w:style>
  <w:style w:type="character" w:styleId="FootnoteReference">
    <w:name w:val="footnote reference"/>
    <w:basedOn w:val="DefaultParagraphFont"/>
    <w:uiPriority w:val="99"/>
    <w:semiHidden/>
    <w:unhideWhenUsed/>
    <w:rsid w:val="004309E8"/>
    <w:rPr>
      <w:vertAlign w:val="superscript"/>
    </w:rPr>
  </w:style>
  <w:style w:type="paragraph" w:styleId="Header">
    <w:name w:val="header"/>
    <w:basedOn w:val="Normal"/>
    <w:link w:val="HeaderChar"/>
    <w:uiPriority w:val="99"/>
    <w:unhideWhenUsed/>
    <w:rsid w:val="00AA2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EA2"/>
  </w:style>
  <w:style w:type="paragraph" w:styleId="Footer">
    <w:name w:val="footer"/>
    <w:basedOn w:val="Normal"/>
    <w:link w:val="FooterChar"/>
    <w:uiPriority w:val="99"/>
    <w:unhideWhenUsed/>
    <w:rsid w:val="00AA2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google/innovation-and-ai/infrastructure-and-cloud/global-network/how-were-making-data-centers-more-flexible-to-benefit-power-gri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23</Pages>
  <Words>6707</Words>
  <Characters>42323</Characters>
  <Application>Microsoft Office Word</Application>
  <DocSecurity>0</DocSecurity>
  <Lines>961</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21</cp:revision>
  <cp:lastPrinted>2026-04-13T15:49:00Z</cp:lastPrinted>
  <dcterms:created xsi:type="dcterms:W3CDTF">2026-05-11T15:54:00Z</dcterms:created>
  <dcterms:modified xsi:type="dcterms:W3CDTF">2026-05-12T16:11:00Z</dcterms:modified>
</cp:coreProperties>
</file>