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348E" w14:textId="348B5A29" w:rsidR="0077318B" w:rsidRDefault="0077318B" w:rsidP="0077318B">
      <w:pPr>
        <w:pBdr>
          <w:bottom w:val="single" w:sz="12" w:space="1" w:color="auto"/>
        </w:pBdr>
        <w:rPr>
          <w:rFonts w:ascii="Times New Roman" w:hAnsi="Times New Roman" w:cs="Times New Roman"/>
        </w:rPr>
      </w:pPr>
      <w:r w:rsidRPr="0077318B">
        <w:rPr>
          <w:rFonts w:ascii="Times New Roman" w:hAnsi="Times New Roman" w:cs="Times New Roman"/>
        </w:rPr>
        <w:t>Chris Dunlap</w:t>
      </w:r>
      <w:r w:rsidRPr="0077318B">
        <w:rPr>
          <w:rFonts w:ascii="Times New Roman" w:hAnsi="Times New Roman" w:cs="Times New Roman"/>
        </w:rPr>
        <w:br/>
        <w:t>1824 N Rockwell St, Chicago, IL 60647</w:t>
      </w:r>
    </w:p>
    <w:p w14:paraId="4BED5EE8" w14:textId="77777777" w:rsidR="00A65AAB" w:rsidRDefault="00A65AAB" w:rsidP="0077318B">
      <w:pPr>
        <w:rPr>
          <w:rFonts w:ascii="Times New Roman" w:hAnsi="Times New Roman" w:cs="Times New Roman"/>
        </w:rPr>
      </w:pPr>
    </w:p>
    <w:p w14:paraId="2F8E95C8" w14:textId="52BA088A" w:rsidR="0077318B" w:rsidRDefault="0077318B" w:rsidP="0077318B">
      <w:pPr>
        <w:rPr>
          <w:rFonts w:ascii="Times New Roman" w:hAnsi="Times New Roman" w:cs="Times New Roman"/>
        </w:rPr>
      </w:pPr>
      <w:r>
        <w:rPr>
          <w:rFonts w:ascii="Times New Roman" w:hAnsi="Times New Roman" w:cs="Times New Roman"/>
        </w:rPr>
        <w:t>Dear Editors,</w:t>
      </w:r>
    </w:p>
    <w:p w14:paraId="27756CCD" w14:textId="07550665" w:rsidR="0077318B" w:rsidRDefault="0077318B" w:rsidP="0077318B">
      <w:pPr>
        <w:rPr>
          <w:rFonts w:ascii="Times New Roman" w:hAnsi="Times New Roman" w:cs="Times New Roman"/>
        </w:rPr>
      </w:pPr>
      <w:r>
        <w:rPr>
          <w:rFonts w:ascii="Times New Roman" w:hAnsi="Times New Roman" w:cs="Times New Roman"/>
        </w:rPr>
        <w:t xml:space="preserve">I am submitting the enclosed manuscript, “Quantifying AI data center flexibility as a resource adequacy asset,” for consideration as an Analysis in Nature Energy. </w:t>
      </w:r>
    </w:p>
    <w:p w14:paraId="66F28904" w14:textId="615D84E0" w:rsidR="0077318B" w:rsidRDefault="0077318B" w:rsidP="0077318B">
      <w:pPr>
        <w:rPr>
          <w:rFonts w:ascii="Times New Roman" w:hAnsi="Times New Roman" w:cs="Times New Roman"/>
        </w:rPr>
      </w:pPr>
      <w:r>
        <w:rPr>
          <w:rFonts w:ascii="Times New Roman" w:hAnsi="Times New Roman" w:cs="Times New Roman"/>
        </w:rPr>
        <w:t>AI data center load growth</w:t>
      </w:r>
      <w:r w:rsidR="005734AA">
        <w:rPr>
          <w:rFonts w:ascii="Times New Roman" w:hAnsi="Times New Roman" w:cs="Times New Roman"/>
        </w:rPr>
        <w:t xml:space="preserve"> in the United States</w:t>
      </w:r>
      <w:r>
        <w:rPr>
          <w:rFonts w:ascii="Times New Roman" w:hAnsi="Times New Roman" w:cs="Times New Roman"/>
        </w:rPr>
        <w:t xml:space="preserve"> </w:t>
      </w:r>
      <w:r w:rsidR="005734AA">
        <w:rPr>
          <w:rFonts w:ascii="Times New Roman" w:hAnsi="Times New Roman" w:cs="Times New Roman"/>
        </w:rPr>
        <w:t xml:space="preserve">is projected to </w:t>
      </w:r>
      <w:r>
        <w:rPr>
          <w:rFonts w:ascii="Times New Roman" w:hAnsi="Times New Roman" w:cs="Times New Roman"/>
        </w:rPr>
        <w:t>exceed what the interconnection queue can deliver under current resource adequacy conventions. PJM’s 2027/2028 capacity auction fell 6.6 GW short of the reliability requirement</w:t>
      </w:r>
      <w:r w:rsidR="005734AA">
        <w:rPr>
          <w:rFonts w:ascii="Times New Roman" w:hAnsi="Times New Roman" w:cs="Times New Roman"/>
        </w:rPr>
        <w:t>. PJM’s 2026</w:t>
      </w:r>
      <w:r>
        <w:rPr>
          <w:rFonts w:ascii="Times New Roman" w:hAnsi="Times New Roman" w:cs="Times New Roman"/>
        </w:rPr>
        <w:t xml:space="preserve"> </w:t>
      </w:r>
      <w:r w:rsidR="005734AA">
        <w:rPr>
          <w:rFonts w:ascii="Times New Roman" w:hAnsi="Times New Roman" w:cs="Times New Roman"/>
        </w:rPr>
        <w:t>Long-Term Load Forecast projects large</w:t>
      </w:r>
      <w:r>
        <w:rPr>
          <w:rFonts w:ascii="Times New Roman" w:hAnsi="Times New Roman" w:cs="Times New Roman"/>
        </w:rPr>
        <w:t xml:space="preserve"> loa</w:t>
      </w:r>
      <w:r w:rsidR="005734AA">
        <w:rPr>
          <w:rFonts w:ascii="Times New Roman" w:hAnsi="Times New Roman" w:cs="Times New Roman"/>
        </w:rPr>
        <w:t xml:space="preserve">d increases — primarily from </w:t>
      </w:r>
      <w:r>
        <w:rPr>
          <w:rFonts w:ascii="Times New Roman" w:hAnsi="Times New Roman" w:cs="Times New Roman"/>
        </w:rPr>
        <w:t>data centers</w:t>
      </w:r>
      <w:r w:rsidR="005734AA">
        <w:rPr>
          <w:rFonts w:ascii="Times New Roman" w:hAnsi="Times New Roman" w:cs="Times New Roman"/>
        </w:rPr>
        <w:t xml:space="preserve"> —</w:t>
      </w:r>
      <w:r>
        <w:rPr>
          <w:rFonts w:ascii="Times New Roman" w:hAnsi="Times New Roman" w:cs="Times New Roman"/>
        </w:rPr>
        <w:t xml:space="preserve"> </w:t>
      </w:r>
      <w:r w:rsidR="005734AA">
        <w:rPr>
          <w:rFonts w:ascii="Times New Roman" w:hAnsi="Times New Roman" w:cs="Times New Roman"/>
        </w:rPr>
        <w:t>totaling 33.7 GW by 2030, which accounts</w:t>
      </w:r>
      <w:r>
        <w:rPr>
          <w:rFonts w:ascii="Times New Roman" w:hAnsi="Times New Roman" w:cs="Times New Roman"/>
        </w:rPr>
        <w:t xml:space="preserve"> for nearly all </w:t>
      </w:r>
      <w:r w:rsidR="005734AA">
        <w:rPr>
          <w:rFonts w:ascii="Times New Roman" w:hAnsi="Times New Roman" w:cs="Times New Roman"/>
        </w:rPr>
        <w:t>net</w:t>
      </w:r>
      <w:r>
        <w:rPr>
          <w:rFonts w:ascii="Times New Roman" w:hAnsi="Times New Roman" w:cs="Times New Roman"/>
        </w:rPr>
        <w:t xml:space="preserve"> </w:t>
      </w:r>
      <w:r w:rsidR="005734AA">
        <w:rPr>
          <w:rFonts w:ascii="Times New Roman" w:hAnsi="Times New Roman" w:cs="Times New Roman"/>
        </w:rPr>
        <w:t>peak demand</w:t>
      </w:r>
      <w:r>
        <w:rPr>
          <w:rFonts w:ascii="Times New Roman" w:hAnsi="Times New Roman" w:cs="Times New Roman"/>
        </w:rPr>
        <w:t xml:space="preserve"> growth </w:t>
      </w:r>
      <w:r w:rsidR="005734AA">
        <w:rPr>
          <w:rFonts w:ascii="Times New Roman" w:hAnsi="Times New Roman" w:cs="Times New Roman"/>
        </w:rPr>
        <w:t>in the region</w:t>
      </w:r>
      <w:r>
        <w:rPr>
          <w:rFonts w:ascii="Times New Roman" w:hAnsi="Times New Roman" w:cs="Times New Roman"/>
        </w:rPr>
        <w:t xml:space="preserve">. </w:t>
      </w:r>
      <w:r w:rsidR="005734AA">
        <w:rPr>
          <w:rFonts w:ascii="Times New Roman" w:hAnsi="Times New Roman" w:cs="Times New Roman"/>
        </w:rPr>
        <w:t>At the same time, new g</w:t>
      </w:r>
      <w:r>
        <w:rPr>
          <w:rFonts w:ascii="Times New Roman" w:hAnsi="Times New Roman" w:cs="Times New Roman"/>
        </w:rPr>
        <w:t xml:space="preserve">eneration and storage </w:t>
      </w:r>
      <w:r w:rsidR="005734AA">
        <w:rPr>
          <w:rFonts w:ascii="Times New Roman" w:hAnsi="Times New Roman" w:cs="Times New Roman"/>
        </w:rPr>
        <w:t>projects</w:t>
      </w:r>
      <w:r w:rsidR="00421F5C">
        <w:rPr>
          <w:rFonts w:ascii="Times New Roman" w:hAnsi="Times New Roman" w:cs="Times New Roman"/>
        </w:rPr>
        <w:t xml:space="preserve"> in the U.S.</w:t>
      </w:r>
      <w:r w:rsidR="005734AA">
        <w:rPr>
          <w:rFonts w:ascii="Times New Roman" w:hAnsi="Times New Roman" w:cs="Times New Roman"/>
        </w:rPr>
        <w:t xml:space="preserve"> face </w:t>
      </w:r>
      <w:r>
        <w:rPr>
          <w:rFonts w:ascii="Times New Roman" w:hAnsi="Times New Roman" w:cs="Times New Roman"/>
        </w:rPr>
        <w:t xml:space="preserve">median project completion </w:t>
      </w:r>
      <w:r w:rsidR="005734AA">
        <w:rPr>
          <w:rFonts w:ascii="Times New Roman" w:hAnsi="Times New Roman" w:cs="Times New Roman"/>
        </w:rPr>
        <w:t xml:space="preserve">timelines </w:t>
      </w:r>
      <w:r w:rsidR="009A345E">
        <w:rPr>
          <w:rFonts w:ascii="Times New Roman" w:hAnsi="Times New Roman" w:cs="Times New Roman"/>
        </w:rPr>
        <w:t>of over</w:t>
      </w:r>
      <w:r>
        <w:rPr>
          <w:rFonts w:ascii="Times New Roman" w:hAnsi="Times New Roman" w:cs="Times New Roman"/>
        </w:rPr>
        <w:t xml:space="preserve"> five years, with only 13% </w:t>
      </w:r>
      <w:r w:rsidR="009A345E">
        <w:rPr>
          <w:rFonts w:ascii="Times New Roman" w:hAnsi="Times New Roman" w:cs="Times New Roman"/>
        </w:rPr>
        <w:t xml:space="preserve">of projects </w:t>
      </w:r>
      <w:r>
        <w:rPr>
          <w:rFonts w:ascii="Times New Roman" w:hAnsi="Times New Roman" w:cs="Times New Roman"/>
        </w:rPr>
        <w:t xml:space="preserve">reaching commercial operation. </w:t>
      </w:r>
      <w:r w:rsidR="009A345E">
        <w:rPr>
          <w:rFonts w:ascii="Times New Roman" w:hAnsi="Times New Roman" w:cs="Times New Roman"/>
        </w:rPr>
        <w:t>Policy and research consensus has identified data center flexibility as a primary near-term response, but resource adequacy planning continues to treat AI data center load as inflexible at the facility level.</w:t>
      </w:r>
      <w:r>
        <w:rPr>
          <w:rFonts w:ascii="Times New Roman" w:hAnsi="Times New Roman" w:cs="Times New Roman"/>
        </w:rPr>
        <w:t xml:space="preserve"> The gap between what these facilities are physically capable of providing and what the grid currently recognizes is</w:t>
      </w:r>
      <w:r w:rsidR="009A345E">
        <w:rPr>
          <w:rFonts w:ascii="Times New Roman" w:hAnsi="Times New Roman" w:cs="Times New Roman"/>
        </w:rPr>
        <w:t xml:space="preserve"> </w:t>
      </w:r>
      <w:r>
        <w:rPr>
          <w:rFonts w:ascii="Times New Roman" w:hAnsi="Times New Roman" w:cs="Times New Roman"/>
        </w:rPr>
        <w:t>consequential at the scale of tens of gigawatts.</w:t>
      </w:r>
    </w:p>
    <w:p w14:paraId="1E171B9B" w14:textId="6FB8F52F" w:rsidR="0077318B" w:rsidRDefault="0077318B" w:rsidP="0077318B">
      <w:pPr>
        <w:rPr>
          <w:rFonts w:ascii="Times New Roman" w:hAnsi="Times New Roman" w:cs="Times New Roman"/>
        </w:rPr>
      </w:pPr>
      <w:r>
        <w:rPr>
          <w:rFonts w:ascii="Times New Roman" w:hAnsi="Times New Roman" w:cs="Times New Roman"/>
        </w:rPr>
        <w:t xml:space="preserve">This manuscript develops </w:t>
      </w:r>
      <w:r w:rsidR="009A345E">
        <w:rPr>
          <w:rFonts w:ascii="Times New Roman" w:hAnsi="Times New Roman" w:cs="Times New Roman"/>
        </w:rPr>
        <w:t>a</w:t>
      </w:r>
      <w:r>
        <w:rPr>
          <w:rFonts w:ascii="Times New Roman" w:hAnsi="Times New Roman" w:cs="Times New Roman"/>
        </w:rPr>
        <w:t xml:space="preserve"> framework that translates demonstrated </w:t>
      </w:r>
      <w:r w:rsidR="009A345E">
        <w:rPr>
          <w:rFonts w:ascii="Times New Roman" w:hAnsi="Times New Roman" w:cs="Times New Roman"/>
        </w:rPr>
        <w:t xml:space="preserve">data center </w:t>
      </w:r>
      <w:r>
        <w:rPr>
          <w:rFonts w:ascii="Times New Roman" w:hAnsi="Times New Roman" w:cs="Times New Roman"/>
        </w:rPr>
        <w:t xml:space="preserve">operational flexibility into </w:t>
      </w:r>
      <w:r w:rsidR="009A345E">
        <w:rPr>
          <w:rFonts w:ascii="Times New Roman" w:hAnsi="Times New Roman" w:cs="Times New Roman"/>
        </w:rPr>
        <w:t xml:space="preserve">grid </w:t>
      </w:r>
      <w:r>
        <w:rPr>
          <w:rFonts w:ascii="Times New Roman" w:hAnsi="Times New Roman" w:cs="Times New Roman"/>
        </w:rPr>
        <w:t xml:space="preserve">capacity-accreditation terms. </w:t>
      </w:r>
      <w:r w:rsidR="009A345E">
        <w:rPr>
          <w:rFonts w:ascii="Times New Roman" w:hAnsi="Times New Roman" w:cs="Times New Roman"/>
        </w:rPr>
        <w:t xml:space="preserve">This framework has four main components: (1) </w:t>
      </w:r>
      <w:r>
        <w:rPr>
          <w:rFonts w:ascii="Times New Roman" w:hAnsi="Times New Roman" w:cs="Times New Roman"/>
        </w:rPr>
        <w:t xml:space="preserve">an eleven-parameter decomposition </w:t>
      </w:r>
      <w:r w:rsidR="009A345E">
        <w:rPr>
          <w:rFonts w:ascii="Times New Roman" w:hAnsi="Times New Roman" w:cs="Times New Roman"/>
        </w:rPr>
        <w:t>structured around</w:t>
      </w:r>
      <w:r>
        <w:rPr>
          <w:rFonts w:ascii="Times New Roman" w:hAnsi="Times New Roman" w:cs="Times New Roman"/>
        </w:rPr>
        <w:t xml:space="preserve"> three </w:t>
      </w:r>
      <w:r w:rsidR="009A345E">
        <w:rPr>
          <w:rFonts w:ascii="Times New Roman" w:hAnsi="Times New Roman" w:cs="Times New Roman"/>
        </w:rPr>
        <w:t xml:space="preserve">identified </w:t>
      </w:r>
      <w:r>
        <w:rPr>
          <w:rFonts w:ascii="Times New Roman" w:hAnsi="Times New Roman" w:cs="Times New Roman"/>
        </w:rPr>
        <w:t>operational mechanisms: spatial migration across grid regions, temporal deferral of non-interactive workloads, and dynamic voltage-frequency scaling (DVFS)</w:t>
      </w:r>
      <w:r w:rsidR="009A345E">
        <w:rPr>
          <w:rFonts w:ascii="Times New Roman" w:hAnsi="Times New Roman" w:cs="Times New Roman"/>
        </w:rPr>
        <w:t xml:space="preserve">; (2) an empirical analysis of stress-decorrelation using </w:t>
      </w:r>
      <w:r>
        <w:rPr>
          <w:rFonts w:ascii="Times New Roman" w:hAnsi="Times New Roman" w:cs="Times New Roman"/>
        </w:rPr>
        <w:t>four years of day-ahead locational marginal pricing</w:t>
      </w:r>
      <w:r w:rsidR="009A345E">
        <w:rPr>
          <w:rFonts w:ascii="Times New Roman" w:hAnsi="Times New Roman" w:cs="Times New Roman"/>
        </w:rPr>
        <w:t xml:space="preserve"> data</w:t>
      </w:r>
      <w:r>
        <w:rPr>
          <w:rFonts w:ascii="Times New Roman" w:hAnsi="Times New Roman" w:cs="Times New Roman"/>
        </w:rPr>
        <w:t xml:space="preserve"> across five U.S. grid regions</w:t>
      </w:r>
      <w:r w:rsidR="009A345E">
        <w:rPr>
          <w:rFonts w:ascii="Times New Roman" w:hAnsi="Times New Roman" w:cs="Times New Roman"/>
        </w:rPr>
        <w:t>; (3)</w:t>
      </w:r>
      <w:r>
        <w:rPr>
          <w:rFonts w:ascii="Times New Roman" w:hAnsi="Times New Roman" w:cs="Times New Roman"/>
        </w:rPr>
        <w:t xml:space="preserve"> </w:t>
      </w:r>
      <w:r w:rsidR="009A345E">
        <w:rPr>
          <w:rFonts w:ascii="Times New Roman" w:hAnsi="Times New Roman" w:cs="Times New Roman"/>
        </w:rPr>
        <w:t>workload characterization based on</w:t>
      </w:r>
      <w:r>
        <w:rPr>
          <w:rFonts w:ascii="Times New Roman" w:hAnsi="Times New Roman" w:cs="Times New Roman"/>
        </w:rPr>
        <w:t xml:space="preserve"> 49.4 million production inference requests</w:t>
      </w:r>
      <w:r w:rsidR="009A345E">
        <w:rPr>
          <w:rFonts w:ascii="Times New Roman" w:hAnsi="Times New Roman" w:cs="Times New Roman"/>
        </w:rPr>
        <w:t>;</w:t>
      </w:r>
      <w:r>
        <w:rPr>
          <w:rFonts w:ascii="Times New Roman" w:hAnsi="Times New Roman" w:cs="Times New Roman"/>
        </w:rPr>
        <w:t xml:space="preserve"> </w:t>
      </w:r>
      <w:r w:rsidR="009A345E">
        <w:rPr>
          <w:rFonts w:ascii="Times New Roman" w:hAnsi="Times New Roman" w:cs="Times New Roman"/>
        </w:rPr>
        <w:t xml:space="preserve">(4) a conditional </w:t>
      </w:r>
      <w:r>
        <w:rPr>
          <w:rFonts w:ascii="Times New Roman" w:hAnsi="Times New Roman" w:cs="Times New Roman"/>
        </w:rPr>
        <w:t xml:space="preserve">Monte Carlo </w:t>
      </w:r>
      <w:r w:rsidR="009A345E">
        <w:rPr>
          <w:rFonts w:ascii="Times New Roman" w:hAnsi="Times New Roman" w:cs="Times New Roman"/>
        </w:rPr>
        <w:t xml:space="preserve">simulation leveraging observed per-hour-grid states. My results show that </w:t>
      </w:r>
      <w:r>
        <w:rPr>
          <w:rFonts w:ascii="Times New Roman" w:hAnsi="Times New Roman" w:cs="Times New Roman"/>
        </w:rPr>
        <w:t>commitment depth</w:t>
      </w:r>
      <w:r w:rsidR="009A345E">
        <w:rPr>
          <w:rFonts w:ascii="Times New Roman" w:hAnsi="Times New Roman" w:cs="Times New Roman"/>
        </w:rPr>
        <w:t xml:space="preserve"> varies </w:t>
      </w:r>
      <w:r>
        <w:rPr>
          <w:rFonts w:ascii="Times New Roman" w:hAnsi="Times New Roman" w:cs="Times New Roman"/>
        </w:rPr>
        <w:t>f</w:t>
      </w:r>
      <w:r w:rsidR="009A345E">
        <w:rPr>
          <w:rFonts w:ascii="Times New Roman" w:hAnsi="Times New Roman" w:cs="Times New Roman"/>
        </w:rPr>
        <w:t>rom</w:t>
      </w:r>
      <w:r>
        <w:rPr>
          <w:rFonts w:ascii="Times New Roman" w:hAnsi="Times New Roman" w:cs="Times New Roman"/>
        </w:rPr>
        <w:t xml:space="preserve"> </w:t>
      </w:r>
      <w:r w:rsidR="009A345E">
        <w:rPr>
          <w:rFonts w:ascii="Times New Roman" w:hAnsi="Times New Roman" w:cs="Times New Roman"/>
        </w:rPr>
        <w:t xml:space="preserve">24% to 40% depending on facility scale, declines only slightly with increased fleet size, and that the most significant constraints on grid value are driven by institutional decisions, not physical limitations. </w:t>
      </w:r>
      <w:r>
        <w:rPr>
          <w:rFonts w:ascii="Times New Roman" w:hAnsi="Times New Roman" w:cs="Times New Roman"/>
        </w:rPr>
        <w:t>Applying PJM’s 92% demand-response ELCC, a 10 GW inference-dominant fleet would be credited at approximately 3,546 MW, material to the procurement gaps PJM and other RTOs are currently confronting.</w:t>
      </w:r>
    </w:p>
    <w:p w14:paraId="3D0ED08A" w14:textId="27536A0E" w:rsidR="0077318B" w:rsidRDefault="0077318B" w:rsidP="0077318B">
      <w:pPr>
        <w:rPr>
          <w:rFonts w:ascii="Times New Roman" w:hAnsi="Times New Roman" w:cs="Times New Roman"/>
        </w:rPr>
      </w:pPr>
      <w:r>
        <w:rPr>
          <w:rFonts w:ascii="Times New Roman" w:hAnsi="Times New Roman" w:cs="Times New Roman"/>
        </w:rPr>
        <w:t>The manuscript’s central argument is that the dominant remaining uncertainties — destination utilization, contractual workload pinning, and post-stress recovery coordination</w:t>
      </w:r>
      <w:r w:rsidR="009A345E">
        <w:rPr>
          <w:rFonts w:ascii="Times New Roman" w:hAnsi="Times New Roman" w:cs="Times New Roman"/>
        </w:rPr>
        <w:t xml:space="preserve"> — </w:t>
      </w:r>
      <w:r>
        <w:rPr>
          <w:rFonts w:ascii="Times New Roman" w:hAnsi="Times New Roman" w:cs="Times New Roman"/>
        </w:rPr>
        <w:t>are institutional rather than physical. Each corresponds to a policy or operational lever, and the framework is designed to identify where those levers most affect realized grid value.</w:t>
      </w:r>
    </w:p>
    <w:p w14:paraId="52057D84" w14:textId="4A285FA4" w:rsidR="00DC68D8" w:rsidRDefault="00DC68D8" w:rsidP="0077318B">
      <w:pPr>
        <w:rPr>
          <w:rFonts w:ascii="Times New Roman" w:hAnsi="Times New Roman" w:cs="Times New Roman"/>
        </w:rPr>
      </w:pPr>
      <w:r>
        <w:rPr>
          <w:rFonts w:ascii="Times New Roman" w:hAnsi="Times New Roman" w:cs="Times New Roman"/>
        </w:rPr>
        <w:t xml:space="preserve">I believe this work is a strong fit for Nature Energy </w:t>
      </w:r>
      <w:r w:rsidR="00A65AAB">
        <w:rPr>
          <w:rFonts w:ascii="Times New Roman" w:hAnsi="Times New Roman" w:cs="Times New Roman"/>
        </w:rPr>
        <w:t xml:space="preserve">because it directly extends Colangelo et </w:t>
      </w:r>
      <w:proofErr w:type="gramStart"/>
      <w:r w:rsidR="00A65AAB">
        <w:rPr>
          <w:rFonts w:ascii="Times New Roman" w:hAnsi="Times New Roman" w:cs="Times New Roman"/>
        </w:rPr>
        <w:t>al.’s</w:t>
      </w:r>
      <w:proofErr w:type="gramEnd"/>
      <w:r w:rsidR="00A65AAB">
        <w:rPr>
          <w:rFonts w:ascii="Times New Roman" w:hAnsi="Times New Roman" w:cs="Times New Roman"/>
        </w:rPr>
        <w:t xml:space="preserve"> 2026 Nature Energy paper on AI data centers as grid-interactive assets. Where Colangelo et al. demonstrated within-facility power management at one site, this manuscript develops the multi-</w:t>
      </w:r>
      <w:r w:rsidR="00A65AAB">
        <w:rPr>
          <w:rFonts w:ascii="Times New Roman" w:hAnsi="Times New Roman" w:cs="Times New Roman"/>
        </w:rPr>
        <w:lastRenderedPageBreak/>
        <w:t>mechanism, fleet-scale framework needed to evaluate that capability for resource adequacy. More broadly,</w:t>
      </w:r>
      <w:r>
        <w:rPr>
          <w:rFonts w:ascii="Times New Roman" w:hAnsi="Times New Roman" w:cs="Times New Roman"/>
        </w:rPr>
        <w:t xml:space="preserve"> the manuscript closes a specific gap between systems engineering literature </w:t>
      </w:r>
      <w:r w:rsidR="00A65AAB">
        <w:rPr>
          <w:rFonts w:ascii="Times New Roman" w:hAnsi="Times New Roman" w:cs="Times New Roman"/>
        </w:rPr>
        <w:t xml:space="preserve">— which has demonstrated operational flexibility at hyperscaler scale — </w:t>
      </w:r>
      <w:r>
        <w:rPr>
          <w:rFonts w:ascii="Times New Roman" w:hAnsi="Times New Roman" w:cs="Times New Roman"/>
        </w:rPr>
        <w:t>and resource adequacy planning</w:t>
      </w:r>
      <w:r w:rsidR="00A65AAB">
        <w:rPr>
          <w:rFonts w:ascii="Times New Roman" w:hAnsi="Times New Roman" w:cs="Times New Roman"/>
        </w:rPr>
        <w:t>, which lacks a framework for translating that flexibility into capacity-accreditation terms</w:t>
      </w:r>
      <w:r>
        <w:rPr>
          <w:rFonts w:ascii="Times New Roman" w:hAnsi="Times New Roman" w:cs="Times New Roman"/>
        </w:rPr>
        <w:t xml:space="preserve">. </w:t>
      </w:r>
    </w:p>
    <w:p w14:paraId="4CB8611F" w14:textId="32CB0F8D" w:rsidR="00DC68D8" w:rsidRDefault="00DC68D8" w:rsidP="0077318B">
      <w:pPr>
        <w:rPr>
          <w:rFonts w:ascii="Times New Roman" w:hAnsi="Times New Roman" w:cs="Times New Roman"/>
        </w:rPr>
      </w:pPr>
      <w:r>
        <w:rPr>
          <w:rFonts w:ascii="Times New Roman" w:hAnsi="Times New Roman" w:cs="Times New Roman"/>
        </w:rPr>
        <w:t>I have not previously submitted this manuscript elsewhere. There are no conflicts of interest. The analysis was conducted as part of my Bartlett Fellowship work at the Energy Policy Institute at Chicago (EPIC), advised by Professor Robert Rosner. All analytical design, empirical methodology results, and interpretation are my own; acknowledgements are detailed in the manuscript.</w:t>
      </w:r>
    </w:p>
    <w:p w14:paraId="7C98BF96" w14:textId="1DA5FD8F" w:rsidR="00DC68D8" w:rsidRDefault="00DC68D8" w:rsidP="0077318B">
      <w:pPr>
        <w:rPr>
          <w:rFonts w:ascii="Times New Roman" w:hAnsi="Times New Roman" w:cs="Times New Roman"/>
        </w:rPr>
      </w:pPr>
      <w:r>
        <w:rPr>
          <w:rFonts w:ascii="Times New Roman" w:hAnsi="Times New Roman" w:cs="Times New Roman"/>
        </w:rPr>
        <w:t>Thank you for your consideration, and I am happy to provide any additional information that would assist the editorial process.</w:t>
      </w:r>
    </w:p>
    <w:p w14:paraId="1F7FB283" w14:textId="77777777" w:rsidR="00DC68D8" w:rsidRDefault="00DC68D8" w:rsidP="0077318B">
      <w:pPr>
        <w:rPr>
          <w:rFonts w:ascii="Times New Roman" w:hAnsi="Times New Roman" w:cs="Times New Roman"/>
        </w:rPr>
      </w:pPr>
    </w:p>
    <w:p w14:paraId="1291BB6B" w14:textId="296A7C0B" w:rsidR="00DC68D8" w:rsidRDefault="00DC68D8" w:rsidP="0077318B">
      <w:pPr>
        <w:rPr>
          <w:rFonts w:ascii="Times New Roman" w:hAnsi="Times New Roman" w:cs="Times New Roman"/>
        </w:rPr>
      </w:pPr>
      <w:r>
        <w:rPr>
          <w:rFonts w:ascii="Times New Roman" w:hAnsi="Times New Roman" w:cs="Times New Roman"/>
        </w:rPr>
        <w:t>Sincerely,</w:t>
      </w:r>
    </w:p>
    <w:p w14:paraId="38C66CB4" w14:textId="272A19C0" w:rsidR="00DC68D8" w:rsidRPr="00DC68D8" w:rsidRDefault="00DC68D8" w:rsidP="0077318B">
      <w:pPr>
        <w:rPr>
          <w:rFonts w:ascii="Times New Roman" w:hAnsi="Times New Roman" w:cs="Times New Roman"/>
        </w:rPr>
      </w:pPr>
      <w:r>
        <w:rPr>
          <w:rFonts w:ascii="Times New Roman" w:hAnsi="Times New Roman" w:cs="Times New Roman"/>
        </w:rPr>
        <w:t>Chris Dunlap</w:t>
      </w:r>
      <w:r>
        <w:rPr>
          <w:rFonts w:ascii="Times New Roman" w:hAnsi="Times New Roman" w:cs="Times New Roman"/>
        </w:rPr>
        <w:br/>
        <w:t xml:space="preserve">University of Chicago Booth School of Business / Harris School of Public Policy </w:t>
      </w:r>
      <w:r w:rsidR="00A65AAB">
        <w:rPr>
          <w:rFonts w:ascii="Times New Roman" w:hAnsi="Times New Roman" w:cs="Times New Roman"/>
        </w:rPr>
        <w:br/>
      </w:r>
      <w:r>
        <w:rPr>
          <w:rFonts w:ascii="Times New Roman" w:hAnsi="Times New Roman" w:cs="Times New Roman"/>
        </w:rPr>
        <w:t>Energy Policy Institute at Chicago (EPIC), Bartlett Fellowship</w:t>
      </w:r>
      <w:r>
        <w:rPr>
          <w:rFonts w:ascii="Times New Roman" w:hAnsi="Times New Roman" w:cs="Times New Roman"/>
        </w:rPr>
        <w:br/>
        <w:t xml:space="preserve">cdunlap@chicagobooth.edu </w:t>
      </w:r>
    </w:p>
    <w:p w14:paraId="76117089" w14:textId="77777777" w:rsidR="0077318B" w:rsidRDefault="0077318B" w:rsidP="0077318B"/>
    <w:p w14:paraId="5A83914D" w14:textId="6C5ECED5" w:rsidR="00014BBD" w:rsidRDefault="00014BBD" w:rsidP="0077318B"/>
    <w:sectPr w:rsidR="00014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8B"/>
    <w:rsid w:val="00014BBD"/>
    <w:rsid w:val="00103044"/>
    <w:rsid w:val="00176CEF"/>
    <w:rsid w:val="001A724F"/>
    <w:rsid w:val="00421F5C"/>
    <w:rsid w:val="00490749"/>
    <w:rsid w:val="005734AA"/>
    <w:rsid w:val="0077318B"/>
    <w:rsid w:val="008F69CF"/>
    <w:rsid w:val="009A345E"/>
    <w:rsid w:val="00A65AAB"/>
    <w:rsid w:val="00D43BC2"/>
    <w:rsid w:val="00DC68D8"/>
    <w:rsid w:val="00F5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B6A1"/>
  <w15:chartTrackingRefBased/>
  <w15:docId w15:val="{4DE818E1-F7EA-4612-BD1B-97BA72604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18B"/>
    <w:rPr>
      <w:rFonts w:eastAsiaTheme="majorEastAsia" w:cstheme="majorBidi"/>
      <w:color w:val="272727" w:themeColor="text1" w:themeTint="D8"/>
    </w:rPr>
  </w:style>
  <w:style w:type="paragraph" w:styleId="Title">
    <w:name w:val="Title"/>
    <w:basedOn w:val="Normal"/>
    <w:next w:val="Normal"/>
    <w:link w:val="TitleChar"/>
    <w:uiPriority w:val="10"/>
    <w:qFormat/>
    <w:rsid w:val="00773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18B"/>
    <w:pPr>
      <w:spacing w:before="160"/>
      <w:jc w:val="center"/>
    </w:pPr>
    <w:rPr>
      <w:i/>
      <w:iCs/>
      <w:color w:val="404040" w:themeColor="text1" w:themeTint="BF"/>
    </w:rPr>
  </w:style>
  <w:style w:type="character" w:customStyle="1" w:styleId="QuoteChar">
    <w:name w:val="Quote Char"/>
    <w:basedOn w:val="DefaultParagraphFont"/>
    <w:link w:val="Quote"/>
    <w:uiPriority w:val="29"/>
    <w:rsid w:val="0077318B"/>
    <w:rPr>
      <w:i/>
      <w:iCs/>
      <w:color w:val="404040" w:themeColor="text1" w:themeTint="BF"/>
    </w:rPr>
  </w:style>
  <w:style w:type="paragraph" w:styleId="ListParagraph">
    <w:name w:val="List Paragraph"/>
    <w:basedOn w:val="Normal"/>
    <w:uiPriority w:val="34"/>
    <w:qFormat/>
    <w:rsid w:val="0077318B"/>
    <w:pPr>
      <w:ind w:left="720"/>
      <w:contextualSpacing/>
    </w:pPr>
  </w:style>
  <w:style w:type="character" w:styleId="IntenseEmphasis">
    <w:name w:val="Intense Emphasis"/>
    <w:basedOn w:val="DefaultParagraphFont"/>
    <w:uiPriority w:val="21"/>
    <w:qFormat/>
    <w:rsid w:val="0077318B"/>
    <w:rPr>
      <w:i/>
      <w:iCs/>
      <w:color w:val="0F4761" w:themeColor="accent1" w:themeShade="BF"/>
    </w:rPr>
  </w:style>
  <w:style w:type="paragraph" w:styleId="IntenseQuote">
    <w:name w:val="Intense Quote"/>
    <w:basedOn w:val="Normal"/>
    <w:next w:val="Normal"/>
    <w:link w:val="IntenseQuoteChar"/>
    <w:uiPriority w:val="30"/>
    <w:qFormat/>
    <w:rsid w:val="00773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18B"/>
    <w:rPr>
      <w:i/>
      <w:iCs/>
      <w:color w:val="0F4761" w:themeColor="accent1" w:themeShade="BF"/>
    </w:rPr>
  </w:style>
  <w:style w:type="character" w:styleId="IntenseReference">
    <w:name w:val="Intense Reference"/>
    <w:basedOn w:val="DefaultParagraphFont"/>
    <w:uiPriority w:val="32"/>
    <w:qFormat/>
    <w:rsid w:val="00773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4E6AEDD2C6FE419958B7CE91B17576" ma:contentTypeVersion="5" ma:contentTypeDescription="Create a new document." ma:contentTypeScope="" ma:versionID="7c443a3311b512f0508d557e874280f5">
  <xsd:schema xmlns:xsd="http://www.w3.org/2001/XMLSchema" xmlns:xs="http://www.w3.org/2001/XMLSchema" xmlns:p="http://schemas.microsoft.com/office/2006/metadata/properties" xmlns:ns3="e777e9f5-cb76-4872-b559-0b2725abd715" targetNamespace="http://schemas.microsoft.com/office/2006/metadata/properties" ma:root="true" ma:fieldsID="716637029ee66934ab257785a10869ee" ns3:_="">
    <xsd:import namespace="e777e9f5-cb76-4872-b559-0b2725abd71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7e9f5-cb76-4872-b559-0b2725abd7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777e9f5-cb76-4872-b559-0b2725abd715" xsi:nil="true"/>
  </documentManagement>
</p:properties>
</file>

<file path=customXml/itemProps1.xml><?xml version="1.0" encoding="utf-8"?>
<ds:datastoreItem xmlns:ds="http://schemas.openxmlformats.org/officeDocument/2006/customXml" ds:itemID="{A49244CE-02C2-4346-B295-812C24C31B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7e9f5-cb76-4872-b559-0b2725abd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B0FAEA-4FB2-4397-B6A3-F9747D9D7AEE}">
  <ds:schemaRefs>
    <ds:schemaRef ds:uri="http://schemas.microsoft.com/sharepoint/v3/contenttype/forms"/>
  </ds:schemaRefs>
</ds:datastoreItem>
</file>

<file path=customXml/itemProps3.xml><?xml version="1.0" encoding="utf-8"?>
<ds:datastoreItem xmlns:ds="http://schemas.openxmlformats.org/officeDocument/2006/customXml" ds:itemID="{47D38830-06E6-4B20-BF95-79B660ACDFDB}">
  <ds:schemaRefs>
    <ds:schemaRef ds:uri="http://schemas.microsoft.com/office/2006/metadata/properties"/>
    <ds:schemaRef ds:uri="http://schemas.microsoft.com/office/infopath/2007/PartnerControls"/>
    <ds:schemaRef ds:uri="e777e9f5-cb76-4872-b559-0b2725abd715"/>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578</Words>
  <Characters>3560</Characters>
  <Application>Microsoft Office Word</Application>
  <DocSecurity>0</DocSecurity>
  <Lines>75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3</cp:revision>
  <dcterms:created xsi:type="dcterms:W3CDTF">2026-05-11T15:47:00Z</dcterms:created>
  <dcterms:modified xsi:type="dcterms:W3CDTF">2026-05-11T15:51:00Z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0x010100444E6AEDD2C6FE419958B7CE91B17576</vt:lpwstr>
  </property>
</Properties>
</file>