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F8E49" w14:textId="6E6D4ED7" w:rsidR="00C57134" w:rsidRPr="00C57134" w:rsidRDefault="00D9611E" w:rsidP="00C57134">
      <w:pPr>
        <w:pStyle w:val="Title"/>
      </w:pPr>
      <w:r>
        <w:t xml:space="preserve">Technical Appendix: </w:t>
      </w:r>
      <w:r w:rsidR="00C57134">
        <w:t>Eleven</w:t>
      </w:r>
      <w:r>
        <w:t xml:space="preserve">-Parameter </w:t>
      </w:r>
      <w:r w:rsidR="00C57134">
        <w:t>Framework for Composed Operational Flexibility</w:t>
      </w:r>
      <w:bookmarkStart w:id="0" w:name="Xe5d3c74ab12b8dea6470cd5e2ca5f1b15655e19"/>
    </w:p>
    <w:p w14:paraId="11EFBAE0" w14:textId="77777777" w:rsidR="00502FF6" w:rsidRPr="00502FF6" w:rsidRDefault="00502FF6" w:rsidP="00502FF6">
      <w:pPr>
        <w:rPr>
          <w:i/>
          <w:iCs/>
        </w:rPr>
      </w:pPr>
      <w:bookmarkStart w:id="1" w:name="framework-overview"/>
      <w:r w:rsidRPr="00502FF6">
        <w:rPr>
          <w:i/>
          <w:iCs/>
        </w:rPr>
        <w:t xml:space="preserve">This document provides </w:t>
      </w:r>
      <w:proofErr w:type="gramStart"/>
      <w:r w:rsidRPr="00502FF6">
        <w:rPr>
          <w:i/>
          <w:iCs/>
        </w:rPr>
        <w:t>the complete</w:t>
      </w:r>
      <w:proofErr w:type="gramEnd"/>
      <w:r w:rsidRPr="00502FF6">
        <w:rPr>
          <w:i/>
          <w:iCs/>
        </w:rPr>
        <w:t xml:space="preserve"> analytical derivation, empirical grounding, and source documentation for every parameter in the </w:t>
      </w:r>
      <w:proofErr w:type="gramStart"/>
      <w:r w:rsidRPr="00502FF6">
        <w:rPr>
          <w:i/>
          <w:iCs/>
        </w:rPr>
        <w:t>multiplicatively-composed</w:t>
      </w:r>
      <w:proofErr w:type="gramEnd"/>
      <w:r w:rsidRPr="00502FF6">
        <w:rPr>
          <w:i/>
          <w:iCs/>
        </w:rPr>
        <w:t xml:space="preserve">, three-mechanism framework for AI inference data-center flexibility. It is intended as </w:t>
      </w:r>
      <w:proofErr w:type="gramStart"/>
      <w:r w:rsidRPr="00502FF6">
        <w:rPr>
          <w:i/>
          <w:iCs/>
        </w:rPr>
        <w:t>the</w:t>
      </w:r>
      <w:proofErr w:type="gramEnd"/>
      <w:r w:rsidRPr="00502FF6">
        <w:rPr>
          <w:i/>
          <w:iCs/>
        </w:rPr>
        <w:t xml:space="preserve"> authoritative companion to the Nature Energy manuscript, providing the full reasoning chain behind each assumption for reviewer verification.</w:t>
      </w:r>
    </w:p>
    <w:p w14:paraId="7D24B4C2" w14:textId="77777777" w:rsidR="007A7626" w:rsidRDefault="007A7626" w:rsidP="00502FF6">
      <w:pPr>
        <w:rPr>
          <w:b/>
          <w:bCs/>
          <w:sz w:val="28"/>
          <w:szCs w:val="28"/>
        </w:rPr>
      </w:pPr>
    </w:p>
    <w:p w14:paraId="509F8E4C" w14:textId="473CA8CE" w:rsidR="005C00BD" w:rsidRPr="000B2C9D" w:rsidRDefault="00502FF6" w:rsidP="00502FF6">
      <w:pPr>
        <w:rPr>
          <w:b/>
          <w:bCs/>
          <w:sz w:val="28"/>
          <w:szCs w:val="28"/>
        </w:rPr>
      </w:pPr>
      <w:r>
        <w:rPr>
          <w:b/>
          <w:bCs/>
          <w:sz w:val="28"/>
          <w:szCs w:val="28"/>
        </w:rPr>
        <w:t>1</w:t>
      </w:r>
      <w:r w:rsidR="00D9611E" w:rsidRPr="000B2C9D">
        <w:rPr>
          <w:b/>
          <w:bCs/>
          <w:sz w:val="28"/>
          <w:szCs w:val="28"/>
        </w:rPr>
        <w:t>. Framework Overview</w:t>
      </w:r>
    </w:p>
    <w:p w14:paraId="08FE6B0F" w14:textId="69359B84" w:rsidR="00502FF6" w:rsidRPr="00846B35" w:rsidRDefault="00846B35">
      <w:pPr>
        <w:pStyle w:val="FirstParagraph"/>
        <w:rPr>
          <w:b/>
          <w:bCs/>
        </w:rPr>
      </w:pPr>
      <w:r>
        <w:rPr>
          <w:b/>
          <w:bCs/>
        </w:rPr>
        <w:t>1.1 Unit of Analysis</w:t>
      </w:r>
    </w:p>
    <w:p w14:paraId="262E76D8" w14:textId="4667187E" w:rsidR="00846B35" w:rsidRDefault="00846B35">
      <w:pPr>
        <w:pStyle w:val="FirstParagraph"/>
      </w:pPr>
      <w:r w:rsidRPr="00846B35">
        <w:t>The framework's unit of analysis is system slack — the fraction of nameplate inference load that is simultaneously flexible, operationally committable, and capacity-accreditable during a grid dispatch event. It is not the spatial migration mechanism alone, and it is not the workload-scheduling problem in isolation; it is the composition of all operational flexibility mechanisms available to AI inference clusters, expressed in capacity-accreditation terms.</w:t>
      </w:r>
    </w:p>
    <w:p w14:paraId="3C94C475" w14:textId="0E87F9C6" w:rsidR="005A243C" w:rsidRDefault="00846B35" w:rsidP="005A243C">
      <w:pPr>
        <w:pStyle w:val="FirstParagraph"/>
        <w:rPr>
          <w:b/>
          <w:bCs/>
        </w:rPr>
      </w:pPr>
      <w:r>
        <w:rPr>
          <w:b/>
          <w:bCs/>
        </w:rPr>
        <w:t>1.2 Decomposition</w:t>
      </w:r>
    </w:p>
    <w:p w14:paraId="06CF7922" w14:textId="72D40718" w:rsidR="005A243C" w:rsidRDefault="005A243C" w:rsidP="00B8415C">
      <w:pPr>
        <w:pStyle w:val="FirstParagraph"/>
        <w:numPr>
          <w:ilvl w:val="0"/>
          <w:numId w:val="1"/>
        </w:numPr>
      </w:pPr>
      <w:r w:rsidRPr="005A243C">
        <w:rPr>
          <w:b/>
          <w:bCs/>
          <w:i/>
          <w:iCs/>
        </w:rPr>
        <w:t>Spatial migration</w:t>
      </w:r>
      <w:r>
        <w:t xml:space="preserve"> redirects inference requests across facilities at dispatch time.</w:t>
      </w:r>
    </w:p>
    <w:p w14:paraId="0762C2B3" w14:textId="501B95B0" w:rsidR="005A243C" w:rsidRDefault="005A243C" w:rsidP="00B8415C">
      <w:pPr>
        <w:pStyle w:val="FirstParagraph"/>
        <w:numPr>
          <w:ilvl w:val="0"/>
          <w:numId w:val="1"/>
        </w:numPr>
      </w:pPr>
      <w:r w:rsidRPr="005A243C">
        <w:rPr>
          <w:b/>
          <w:bCs/>
          <w:i/>
          <w:iCs/>
        </w:rPr>
        <w:t>Temporal deferral</w:t>
      </w:r>
      <w:r>
        <w:t xml:space="preserve"> shifts non-interactive workloads to post-stress hours within the workload's contracted deadline horizon.</w:t>
      </w:r>
    </w:p>
    <w:p w14:paraId="46D6E7AB" w14:textId="38137B45" w:rsidR="005A243C" w:rsidRDefault="005A243C" w:rsidP="00B8415C">
      <w:pPr>
        <w:pStyle w:val="FirstParagraph"/>
        <w:numPr>
          <w:ilvl w:val="0"/>
          <w:numId w:val="1"/>
        </w:numPr>
      </w:pPr>
      <w:r w:rsidRPr="005A243C">
        <w:rPr>
          <w:b/>
          <w:bCs/>
          <w:i/>
          <w:iCs/>
        </w:rPr>
        <w:t>Within-facility power management</w:t>
      </w:r>
      <w:r>
        <w:t xml:space="preserve"> (DVFS, job pausing, GPU reallocation) reduces sustained peak power on residual inference compute.</w:t>
      </w:r>
    </w:p>
    <w:p w14:paraId="70E87A28" w14:textId="04D10916" w:rsidR="00846B35" w:rsidRPr="00846B35" w:rsidRDefault="005A243C" w:rsidP="005A243C">
      <w:pPr>
        <w:pStyle w:val="BodyText"/>
      </w:pPr>
      <w:r>
        <w:t>Each mechanism is decomposed into a small</w:t>
      </w:r>
      <w:r w:rsidR="00CD7C05">
        <w:t>er</w:t>
      </w:r>
      <w:r>
        <w:t xml:space="preserve"> </w:t>
      </w:r>
      <w:r w:rsidR="00CD7C05">
        <w:t>sub</w:t>
      </w:r>
      <w:r>
        <w:t xml:space="preserve">-cascade of </w:t>
      </w:r>
      <w:proofErr w:type="gramStart"/>
      <w:r>
        <w:t>multiplicatively-composed</w:t>
      </w:r>
      <w:proofErr w:type="gramEnd"/>
      <w:r>
        <w:t xml:space="preserve"> parameters representing the conditions that must hold for one MW of that mechanism's contribution to realize during a dispatch event. The three </w:t>
      </w:r>
      <w:r w:rsidR="00CD7C05">
        <w:t>sub</w:t>
      </w:r>
      <w:r>
        <w:t>-cascades compose additively at the MW layer with sequential ordering and an explicit overlap correction.</w:t>
      </w:r>
    </w:p>
    <w:p w14:paraId="4199B2ED" w14:textId="5182A802" w:rsidR="006102FE" w:rsidRDefault="006102FE" w:rsidP="006102FE">
      <w:pPr>
        <w:pStyle w:val="FirstParagraph"/>
        <w:rPr>
          <w:b/>
          <w:bCs/>
        </w:rPr>
      </w:pPr>
      <w:r>
        <w:rPr>
          <w:b/>
          <w:bCs/>
        </w:rPr>
        <w:t>1.</w:t>
      </w:r>
      <w:r>
        <w:rPr>
          <w:b/>
          <w:bCs/>
        </w:rPr>
        <w:t>3</w:t>
      </w:r>
      <w:r>
        <w:rPr>
          <w:b/>
          <w:bCs/>
        </w:rPr>
        <w:t xml:space="preserve"> </w:t>
      </w:r>
      <w:r>
        <w:rPr>
          <w:b/>
          <w:bCs/>
        </w:rPr>
        <w:t>Parameter Inventory</w:t>
      </w:r>
    </w:p>
    <w:p w14:paraId="281B3F76" w14:textId="50FD22A7" w:rsidR="00846B35" w:rsidRDefault="006102FE">
      <w:pPr>
        <w:pStyle w:val="FirstParagraph"/>
      </w:pPr>
      <w:r>
        <w:t>Eleven total parameters, six multiplying within any one cascade:</w:t>
      </w:r>
    </w:p>
    <w:p w14:paraId="710FFB76" w14:textId="2F0D8F78" w:rsidR="006102FE" w:rsidRDefault="006102FE" w:rsidP="00B8415C">
      <w:pPr>
        <w:pStyle w:val="BodyText"/>
        <w:numPr>
          <w:ilvl w:val="0"/>
          <w:numId w:val="2"/>
        </w:numPr>
      </w:pPr>
      <w:r w:rsidRPr="00AD11D3">
        <w:rPr>
          <w:b/>
          <w:bCs/>
          <w:i/>
          <w:iCs/>
        </w:rPr>
        <w:t>Scope scalar</w:t>
      </w:r>
      <w:r w:rsidR="00AD11D3" w:rsidRPr="00AD11D3">
        <w:rPr>
          <w:b/>
          <w:bCs/>
          <w:i/>
          <w:iCs/>
        </w:rPr>
        <w:t xml:space="preserve"> </w:t>
      </w:r>
      <w:r w:rsidR="00AD11D3" w:rsidRPr="00AD11D3">
        <w:t>(1)</w:t>
      </w:r>
      <w:r w:rsidR="00AD11D3">
        <w:t>:</w:t>
      </w:r>
      <w:r w:rsidR="009C143D">
        <w:t xml:space="preserve"> </w:t>
      </w:r>
      <w:proofErr w:type="spellStart"/>
      <w:r w:rsidR="009C143D" w:rsidRPr="009C143D">
        <w:t>φ_inf</w:t>
      </w:r>
      <w:proofErr w:type="spellEnd"/>
      <w:r w:rsidR="009C143D" w:rsidRPr="009C143D">
        <w:t>, applied at the MW translation layer</w:t>
      </w:r>
    </w:p>
    <w:p w14:paraId="0F202DD6" w14:textId="781C690C" w:rsidR="00AD11D3" w:rsidRPr="00AD11D3" w:rsidRDefault="00AD11D3" w:rsidP="00B8415C">
      <w:pPr>
        <w:pStyle w:val="BodyText"/>
        <w:numPr>
          <w:ilvl w:val="0"/>
          <w:numId w:val="2"/>
        </w:numPr>
      </w:pPr>
      <w:r>
        <w:rPr>
          <w:b/>
          <w:bCs/>
          <w:i/>
          <w:iCs/>
        </w:rPr>
        <w:t>Spatial sub-cascade</w:t>
      </w:r>
      <w:r>
        <w:t xml:space="preserve"> (6):</w:t>
      </w:r>
      <w:r w:rsidR="009C143D">
        <w:t xml:space="preserve"> </w:t>
      </w:r>
      <w:proofErr w:type="spellStart"/>
      <w:r w:rsidR="009C143D" w:rsidRPr="009C143D">
        <w:t>MIG_elig</w:t>
      </w:r>
      <w:proofErr w:type="spellEnd"/>
      <w:r w:rsidR="009C143D" w:rsidRPr="009C143D">
        <w:t xml:space="preserve">, </w:t>
      </w:r>
      <w:proofErr w:type="spellStart"/>
      <w:r w:rsidR="009C143D" w:rsidRPr="009C143D">
        <w:t>DRAIN_ok</w:t>
      </w:r>
      <w:proofErr w:type="spellEnd"/>
      <w:r w:rsidR="009C143D" w:rsidRPr="009C143D">
        <w:t xml:space="preserve">, </w:t>
      </w:r>
      <w:proofErr w:type="spellStart"/>
      <w:r w:rsidR="009C143D" w:rsidRPr="009C143D">
        <w:t>DEST_avail</w:t>
      </w:r>
      <w:proofErr w:type="spellEnd"/>
      <w:r w:rsidR="009C143D" w:rsidRPr="009C143D">
        <w:t xml:space="preserve">, </w:t>
      </w:r>
      <w:proofErr w:type="spellStart"/>
      <w:r w:rsidR="009C143D" w:rsidRPr="009C143D">
        <w:t>DEST_absorb</w:t>
      </w:r>
      <w:proofErr w:type="spellEnd"/>
      <w:r w:rsidR="009C143D" w:rsidRPr="009C143D">
        <w:t xml:space="preserve">, </w:t>
      </w:r>
      <w:proofErr w:type="spellStart"/>
      <w:r w:rsidR="009C143D" w:rsidRPr="009C143D">
        <w:t>NET_ok</w:t>
      </w:r>
      <w:proofErr w:type="spellEnd"/>
      <w:r w:rsidR="009C143D" w:rsidRPr="009C143D">
        <w:t xml:space="preserve">, </w:t>
      </w:r>
      <w:proofErr w:type="spellStart"/>
      <w:r w:rsidR="009C143D" w:rsidRPr="009C143D">
        <w:t>ORCH_ok</w:t>
      </w:r>
      <w:proofErr w:type="spellEnd"/>
    </w:p>
    <w:p w14:paraId="3A4C172E" w14:textId="07618945" w:rsidR="00AD11D3" w:rsidRPr="00AD11D3" w:rsidRDefault="00AD11D3" w:rsidP="00B8415C">
      <w:pPr>
        <w:pStyle w:val="BodyText"/>
        <w:numPr>
          <w:ilvl w:val="0"/>
          <w:numId w:val="2"/>
        </w:numPr>
      </w:pPr>
      <w:r>
        <w:rPr>
          <w:b/>
          <w:bCs/>
          <w:i/>
          <w:iCs/>
        </w:rPr>
        <w:t>Deferral sub-cascade</w:t>
      </w:r>
      <w:r>
        <w:t xml:space="preserve"> (3):</w:t>
      </w:r>
      <w:r w:rsidR="009C143D" w:rsidRPr="009C143D">
        <w:t xml:space="preserve"> </w:t>
      </w:r>
      <w:proofErr w:type="spellStart"/>
      <w:r w:rsidR="009C143D" w:rsidRPr="009C143D">
        <w:t>NIW_share</w:t>
      </w:r>
      <w:proofErr w:type="spellEnd"/>
      <w:r w:rsidR="009C143D" w:rsidRPr="009C143D">
        <w:t xml:space="preserve">, </w:t>
      </w:r>
      <w:proofErr w:type="spellStart"/>
      <w:r w:rsidR="009C143D" w:rsidRPr="009C143D">
        <w:t>WINDOW_ok</w:t>
      </w:r>
      <w:proofErr w:type="spellEnd"/>
      <w:r w:rsidR="009C143D" w:rsidRPr="009C143D">
        <w:t xml:space="preserve">, </w:t>
      </w:r>
      <w:proofErr w:type="spellStart"/>
      <w:r w:rsidR="009C143D" w:rsidRPr="009C143D">
        <w:t>QUEUE_ok</w:t>
      </w:r>
      <w:proofErr w:type="spellEnd"/>
    </w:p>
    <w:p w14:paraId="430BFE6C" w14:textId="33D10EE2" w:rsidR="00765CD5" w:rsidRPr="007A7626" w:rsidRDefault="00AD11D3" w:rsidP="00B8415C">
      <w:pPr>
        <w:pStyle w:val="BodyText"/>
        <w:numPr>
          <w:ilvl w:val="0"/>
          <w:numId w:val="2"/>
        </w:numPr>
      </w:pPr>
      <w:r>
        <w:rPr>
          <w:b/>
          <w:bCs/>
          <w:i/>
          <w:iCs/>
        </w:rPr>
        <w:t>DVFS sub-cascade</w:t>
      </w:r>
      <w:r>
        <w:rPr>
          <w:i/>
          <w:iCs/>
        </w:rPr>
        <w:t xml:space="preserve"> </w:t>
      </w:r>
      <w:r>
        <w:t>(2):</w:t>
      </w:r>
      <w:r w:rsidR="009C143D">
        <w:t xml:space="preserve"> </w:t>
      </w:r>
      <w:proofErr w:type="spellStart"/>
      <w:r w:rsidR="009C143D" w:rsidRPr="009C143D">
        <w:t>DVFS_headroom</w:t>
      </w:r>
      <w:proofErr w:type="spellEnd"/>
      <w:r w:rsidR="009C143D" w:rsidRPr="009C143D">
        <w:t xml:space="preserve">, </w:t>
      </w:r>
      <w:proofErr w:type="spellStart"/>
      <w:r w:rsidR="009C143D" w:rsidRPr="009C143D">
        <w:t>DVFS_reliability</w:t>
      </w:r>
      <w:proofErr w:type="spellEnd"/>
    </w:p>
    <w:p w14:paraId="6073ED71" w14:textId="5951593E" w:rsidR="00765CD5" w:rsidRDefault="00765CD5" w:rsidP="00765CD5">
      <w:pPr>
        <w:pStyle w:val="FirstParagraph"/>
      </w:pPr>
      <w:r w:rsidRPr="00765CD5">
        <w:rPr>
          <w:b/>
          <w:bCs/>
        </w:rPr>
        <w:lastRenderedPageBreak/>
        <w:t>1.</w:t>
      </w:r>
      <w:r>
        <w:rPr>
          <w:b/>
          <w:bCs/>
        </w:rPr>
        <w:t>4</w:t>
      </w:r>
      <w:r w:rsidRPr="00765CD5">
        <w:rPr>
          <w:b/>
          <w:bCs/>
        </w:rPr>
        <w:t xml:space="preserve"> </w:t>
      </w:r>
      <w:r>
        <w:rPr>
          <w:b/>
          <w:bCs/>
        </w:rPr>
        <w:t xml:space="preserve">Composition </w:t>
      </w:r>
      <w:r w:rsidR="007A7626">
        <w:rPr>
          <w:b/>
          <w:bCs/>
        </w:rPr>
        <w:t>f</w:t>
      </w:r>
      <w:r>
        <w:rPr>
          <w:b/>
          <w:bCs/>
        </w:rPr>
        <w:t>ormulas</w:t>
      </w:r>
    </w:p>
    <w:p w14:paraId="3C444E89" w14:textId="22B2FF19" w:rsidR="002E216E" w:rsidRPr="002E216E" w:rsidRDefault="002E216E" w:rsidP="002E216E">
      <w:pPr>
        <w:pStyle w:val="BodyText"/>
        <w:rPr>
          <w:b/>
          <w:bCs/>
          <w:i/>
          <w:iCs/>
        </w:rPr>
      </w:pPr>
      <w:r w:rsidRPr="002E216E">
        <w:rPr>
          <w:b/>
          <w:bCs/>
          <w:i/>
          <w:iCs/>
        </w:rPr>
        <w:t>Spatial:</w:t>
      </w:r>
    </w:p>
    <w:p w14:paraId="5D3EE36C" w14:textId="18BE9B75" w:rsidR="002E216E" w:rsidRPr="0025036A" w:rsidRDefault="002E216E" w:rsidP="002E216E">
      <w:pPr>
        <w:pStyle w:val="BodyText"/>
        <w:rPr>
          <w:color w:val="1F497D" w:themeColor="text2"/>
        </w:rPr>
      </w:pPr>
      <m:oMath>
        <m:sSub>
          <m:sSubPr>
            <m:ctrlPr>
              <w:rPr>
                <w:rFonts w:ascii="Cambria Math" w:hAnsi="Cambria Math"/>
                <w:i/>
                <w:color w:val="1F497D" w:themeColor="text2"/>
              </w:rPr>
            </m:ctrlPr>
          </m:sSubPr>
          <m:e>
            <m:r>
              <w:rPr>
                <w:rFonts w:ascii="Cambria Math" w:hAnsi="Cambria Math"/>
                <w:color w:val="1F497D" w:themeColor="text2"/>
              </w:rPr>
              <m:t>M</m:t>
            </m:r>
          </m:e>
          <m:sub>
            <m:r>
              <w:rPr>
                <w:rFonts w:ascii="Cambria Math" w:hAnsi="Cambria Math"/>
                <w:color w:val="1F497D" w:themeColor="text2"/>
              </w:rPr>
              <m:t>spatial</m:t>
            </m:r>
          </m:sub>
        </m:sSub>
        <m:r>
          <w:rPr>
            <w:rFonts w:ascii="Cambria Math" w:hAnsi="Cambria Math"/>
            <w:color w:val="1F497D" w:themeColor="text2"/>
          </w:rPr>
          <m:t xml:space="preserve">= </m:t>
        </m:r>
        <m:d>
          <m:dPr>
            <m:begChr m:val="["/>
            <m:endChr m:val="]"/>
            <m:ctrlPr>
              <w:rPr>
                <w:rFonts w:ascii="Cambria Math" w:hAnsi="Cambria Math"/>
                <w:i/>
                <w:color w:val="1F497D" w:themeColor="text2"/>
              </w:rPr>
            </m:ctrlPr>
          </m:dPr>
          <m:e>
            <m:r>
              <w:rPr>
                <w:rFonts w:ascii="Cambria Math" w:hAnsi="Cambria Math"/>
                <w:color w:val="1F497D" w:themeColor="text2"/>
              </w:rPr>
              <m:t xml:space="preserve">nameplate × </m:t>
            </m:r>
            <m:d>
              <m:dPr>
                <m:ctrlPr>
                  <w:rPr>
                    <w:rFonts w:ascii="Cambria Math" w:hAnsi="Cambria Math"/>
                    <w:i/>
                    <w:color w:val="1F497D" w:themeColor="text2"/>
                  </w:rPr>
                </m:ctrlPr>
              </m:dPr>
              <m:e>
                <m:f>
                  <m:fPr>
                    <m:ctrlPr>
                      <w:rPr>
                        <w:rFonts w:ascii="Cambria Math" w:hAnsi="Cambria Math"/>
                        <w:i/>
                        <w:color w:val="1F497D" w:themeColor="text2"/>
                      </w:rPr>
                    </m:ctrlPr>
                  </m:fPr>
                  <m:num>
                    <m:r>
                      <w:rPr>
                        <w:rFonts w:ascii="Cambria Math" w:hAnsi="Cambria Math"/>
                        <w:color w:val="1F497D" w:themeColor="text2"/>
                      </w:rPr>
                      <m:t>1</m:t>
                    </m:r>
                  </m:num>
                  <m:den>
                    <m:r>
                      <w:rPr>
                        <w:rFonts w:ascii="Cambria Math" w:hAnsi="Cambria Math"/>
                        <w:color w:val="1F497D" w:themeColor="text2"/>
                      </w:rPr>
                      <m:t>PUE</m:t>
                    </m:r>
                  </m:den>
                </m:f>
              </m:e>
            </m:d>
            <m:r>
              <w:rPr>
                <w:rFonts w:ascii="Cambria Math" w:hAnsi="Cambria Math"/>
                <w:color w:val="1F497D" w:themeColor="text2"/>
              </w:rPr>
              <m:t xml:space="preserve">× </m:t>
            </m:r>
            <m:sSub>
              <m:sSubPr>
                <m:ctrlPr>
                  <w:rPr>
                    <w:rFonts w:ascii="Cambria Math" w:hAnsi="Cambria Math"/>
                    <w:i/>
                    <w:color w:val="1F497D" w:themeColor="text2"/>
                  </w:rPr>
                </m:ctrlPr>
              </m:sSubPr>
              <m:e>
                <m:r>
                  <w:rPr>
                    <w:rFonts w:ascii="Cambria Math" w:hAnsi="Cambria Math"/>
                    <w:color w:val="1F497D" w:themeColor="text2"/>
                  </w:rPr>
                  <m:t>φ</m:t>
                </m:r>
              </m:e>
              <m:sub>
                <m:r>
                  <w:rPr>
                    <w:rFonts w:ascii="Cambria Math" w:hAnsi="Cambria Math"/>
                    <w:color w:val="1F497D" w:themeColor="text2"/>
                  </w:rPr>
                  <m:t>inf</m:t>
                </m:r>
              </m:sub>
            </m:sSub>
            <m:r>
              <w:rPr>
                <w:rFonts w:ascii="Cambria Math" w:hAnsi="Cambria Math"/>
                <w:color w:val="1F497D" w:themeColor="text2"/>
              </w:rPr>
              <m:t>,scope</m:t>
            </m:r>
          </m:e>
        </m:d>
        <m:r>
          <w:rPr>
            <w:rFonts w:ascii="Cambria Math" w:hAnsi="Cambria Math"/>
            <w:color w:val="1F497D" w:themeColor="text2"/>
          </w:rPr>
          <m:t xml:space="preserve">× </m:t>
        </m:r>
        <m:d>
          <m:dPr>
            <m:begChr m:val="["/>
            <m:endChr m:val="]"/>
            <m:ctrlPr>
              <w:rPr>
                <w:rFonts w:ascii="Cambria Math" w:hAnsi="Cambria Math"/>
                <w:i/>
                <w:color w:val="1F497D" w:themeColor="text2"/>
              </w:rPr>
            </m:ctrlPr>
          </m:dPr>
          <m:e>
            <m:r>
              <w:rPr>
                <w:rFonts w:ascii="Cambria Math" w:hAnsi="Cambria Math"/>
                <w:color w:val="1F497D" w:themeColor="text2"/>
              </w:rPr>
              <m:t>MI</m:t>
            </m:r>
            <m:sSub>
              <m:sSubPr>
                <m:ctrlPr>
                  <w:rPr>
                    <w:rFonts w:ascii="Cambria Math" w:hAnsi="Cambria Math"/>
                    <w:i/>
                    <w:color w:val="1F497D" w:themeColor="text2"/>
                  </w:rPr>
                </m:ctrlPr>
              </m:sSubPr>
              <m:e>
                <m:r>
                  <w:rPr>
                    <w:rFonts w:ascii="Cambria Math" w:hAnsi="Cambria Math"/>
                    <w:color w:val="1F497D" w:themeColor="text2"/>
                  </w:rPr>
                  <m:t>G</m:t>
                </m:r>
              </m:e>
              <m:sub>
                <m:r>
                  <w:rPr>
                    <w:rFonts w:ascii="Cambria Math" w:hAnsi="Cambria Math"/>
                    <w:color w:val="1F497D" w:themeColor="text2"/>
                  </w:rPr>
                  <m:t>elig</m:t>
                </m:r>
              </m:sub>
            </m:sSub>
            <m:r>
              <w:rPr>
                <w:rFonts w:ascii="Cambria Math" w:hAnsi="Cambria Math"/>
                <w:color w:val="1F497D" w:themeColor="text2"/>
              </w:rPr>
              <m:t>× DRAI</m:t>
            </m:r>
            <m:sSub>
              <m:sSubPr>
                <m:ctrlPr>
                  <w:rPr>
                    <w:rFonts w:ascii="Cambria Math" w:hAnsi="Cambria Math"/>
                    <w:i/>
                    <w:color w:val="1F497D" w:themeColor="text2"/>
                  </w:rPr>
                </m:ctrlPr>
              </m:sSubPr>
              <m:e>
                <m:r>
                  <w:rPr>
                    <w:rFonts w:ascii="Cambria Math" w:hAnsi="Cambria Math"/>
                    <w:color w:val="1F497D" w:themeColor="text2"/>
                  </w:rPr>
                  <m:t>N</m:t>
                </m:r>
              </m:e>
              <m:sub>
                <m:r>
                  <w:rPr>
                    <w:rFonts w:ascii="Cambria Math" w:hAnsi="Cambria Math"/>
                    <w:color w:val="1F497D" w:themeColor="text2"/>
                  </w:rPr>
                  <m:t>ok</m:t>
                </m:r>
              </m:sub>
            </m:sSub>
            <m:r>
              <w:rPr>
                <w:rFonts w:ascii="Cambria Math" w:hAnsi="Cambria Math"/>
                <w:color w:val="1F497D" w:themeColor="text2"/>
              </w:rPr>
              <m:t>× DES</m:t>
            </m:r>
            <m:sSub>
              <m:sSubPr>
                <m:ctrlPr>
                  <w:rPr>
                    <w:rFonts w:ascii="Cambria Math" w:hAnsi="Cambria Math"/>
                    <w:i/>
                    <w:color w:val="1F497D" w:themeColor="text2"/>
                  </w:rPr>
                </m:ctrlPr>
              </m:sSubPr>
              <m:e>
                <m:r>
                  <w:rPr>
                    <w:rFonts w:ascii="Cambria Math" w:hAnsi="Cambria Math"/>
                    <w:color w:val="1F497D" w:themeColor="text2"/>
                  </w:rPr>
                  <m:t>T</m:t>
                </m:r>
              </m:e>
              <m:sub>
                <m:r>
                  <w:rPr>
                    <w:rFonts w:ascii="Cambria Math" w:hAnsi="Cambria Math"/>
                    <w:color w:val="1F497D" w:themeColor="text2"/>
                  </w:rPr>
                  <m:t>avail</m:t>
                </m:r>
              </m:sub>
            </m:sSub>
            <m:r>
              <w:rPr>
                <w:rFonts w:ascii="Cambria Math" w:hAnsi="Cambria Math"/>
                <w:color w:val="1F497D" w:themeColor="text2"/>
              </w:rPr>
              <m:t>× DES</m:t>
            </m:r>
            <m:sSub>
              <m:sSubPr>
                <m:ctrlPr>
                  <w:rPr>
                    <w:rFonts w:ascii="Cambria Math" w:hAnsi="Cambria Math"/>
                    <w:i/>
                    <w:color w:val="1F497D" w:themeColor="text2"/>
                  </w:rPr>
                </m:ctrlPr>
              </m:sSubPr>
              <m:e>
                <m:r>
                  <w:rPr>
                    <w:rFonts w:ascii="Cambria Math" w:hAnsi="Cambria Math"/>
                    <w:color w:val="1F497D" w:themeColor="text2"/>
                  </w:rPr>
                  <m:t>T</m:t>
                </m:r>
              </m:e>
              <m:sub>
                <m:r>
                  <w:rPr>
                    <w:rFonts w:ascii="Cambria Math" w:hAnsi="Cambria Math"/>
                    <w:color w:val="1F497D" w:themeColor="text2"/>
                  </w:rPr>
                  <m:t>absorb</m:t>
                </m:r>
              </m:sub>
            </m:sSub>
            <m:r>
              <w:rPr>
                <w:rFonts w:ascii="Cambria Math" w:hAnsi="Cambria Math"/>
                <w:color w:val="1F497D" w:themeColor="text2"/>
              </w:rPr>
              <m:t>× NE</m:t>
            </m:r>
            <m:sSub>
              <m:sSubPr>
                <m:ctrlPr>
                  <w:rPr>
                    <w:rFonts w:ascii="Cambria Math" w:hAnsi="Cambria Math"/>
                    <w:i/>
                    <w:color w:val="1F497D" w:themeColor="text2"/>
                  </w:rPr>
                </m:ctrlPr>
              </m:sSubPr>
              <m:e>
                <m:r>
                  <w:rPr>
                    <w:rFonts w:ascii="Cambria Math" w:hAnsi="Cambria Math"/>
                    <w:color w:val="1F497D" w:themeColor="text2"/>
                  </w:rPr>
                  <m:t>T</m:t>
                </m:r>
              </m:e>
              <m:sub>
                <m:r>
                  <w:rPr>
                    <w:rFonts w:ascii="Cambria Math" w:hAnsi="Cambria Math"/>
                    <w:color w:val="1F497D" w:themeColor="text2"/>
                  </w:rPr>
                  <m:t>ok</m:t>
                </m:r>
              </m:sub>
            </m:sSub>
            <m:r>
              <w:rPr>
                <w:rFonts w:ascii="Cambria Math" w:hAnsi="Cambria Math"/>
                <w:color w:val="1F497D" w:themeColor="text2"/>
              </w:rPr>
              <m:t>× ORC</m:t>
            </m:r>
            <m:sSub>
              <m:sSubPr>
                <m:ctrlPr>
                  <w:rPr>
                    <w:rFonts w:ascii="Cambria Math" w:hAnsi="Cambria Math"/>
                    <w:i/>
                    <w:color w:val="1F497D" w:themeColor="text2"/>
                  </w:rPr>
                </m:ctrlPr>
              </m:sSubPr>
              <m:e>
                <m:r>
                  <w:rPr>
                    <w:rFonts w:ascii="Cambria Math" w:hAnsi="Cambria Math"/>
                    <w:color w:val="1F497D" w:themeColor="text2"/>
                  </w:rPr>
                  <m:t>H</m:t>
                </m:r>
              </m:e>
              <m:sub>
                <m:r>
                  <w:rPr>
                    <w:rFonts w:ascii="Cambria Math" w:hAnsi="Cambria Math"/>
                    <w:color w:val="1F497D" w:themeColor="text2"/>
                  </w:rPr>
                  <m:t>ok</m:t>
                </m:r>
              </m:sub>
            </m:sSub>
          </m:e>
        </m:d>
      </m:oMath>
      <w:r w:rsidR="0025036A" w:rsidRPr="0025036A">
        <w:rPr>
          <w:color w:val="1F497D" w:themeColor="text2"/>
        </w:rPr>
        <w:t xml:space="preserve"> </w:t>
      </w:r>
    </w:p>
    <w:p w14:paraId="272FF628" w14:textId="1E6473E8" w:rsidR="002E216E" w:rsidRDefault="002E216E" w:rsidP="002E216E">
      <w:pPr>
        <w:pStyle w:val="BodyText"/>
      </w:pPr>
      <w:r w:rsidRPr="0025036A">
        <w:rPr>
          <w:b/>
          <w:bCs/>
          <w:i/>
          <w:iCs/>
        </w:rPr>
        <w:t>Deferral (sequential, on residual after spatial):</w:t>
      </w:r>
    </w:p>
    <w:p w14:paraId="760316E6" w14:textId="5B63E73E" w:rsidR="002E216E" w:rsidRPr="0025036A" w:rsidRDefault="0025036A" w:rsidP="002E216E">
      <w:pPr>
        <w:pStyle w:val="BodyText"/>
        <w:rPr>
          <w:color w:val="1F497D" w:themeColor="text2"/>
        </w:rPr>
      </w:pPr>
      <m:oMath>
        <m:r>
          <w:rPr>
            <w:rFonts w:ascii="Cambria Math" w:hAnsi="Cambria Math"/>
            <w:color w:val="1F497D" w:themeColor="text2"/>
          </w:rPr>
          <m:t>M_defer = [residual inference MW after spatial] × [NIW_share × WINDOW_ok × QUEUE_ok]</m:t>
        </m:r>
      </m:oMath>
      <w:r w:rsidRPr="0025036A">
        <w:rPr>
          <w:color w:val="1F497D" w:themeColor="text2"/>
        </w:rPr>
        <w:t xml:space="preserve"> </w:t>
      </w:r>
    </w:p>
    <w:p w14:paraId="5DD9A689" w14:textId="472A81F5" w:rsidR="002E216E" w:rsidRDefault="002E216E" w:rsidP="002E216E">
      <w:pPr>
        <w:pStyle w:val="BodyText"/>
      </w:pPr>
      <w:r w:rsidRPr="0025036A">
        <w:rPr>
          <w:b/>
          <w:bCs/>
          <w:i/>
          <w:iCs/>
        </w:rPr>
        <w:t>DVFS (sequential, on residual after spatial + deferral):</w:t>
      </w:r>
    </w:p>
    <w:p w14:paraId="01D6AE1D" w14:textId="2D46835D" w:rsidR="002E216E" w:rsidRPr="0025036A" w:rsidRDefault="0025036A" w:rsidP="002E216E">
      <w:pPr>
        <w:pStyle w:val="BodyText"/>
        <w:rPr>
          <w:color w:val="1F497D" w:themeColor="text2"/>
        </w:rPr>
      </w:pPr>
      <m:oMath>
        <m:sSub>
          <m:sSubPr>
            <m:ctrlPr>
              <w:rPr>
                <w:rFonts w:ascii="Cambria Math" w:hAnsi="Cambria Math"/>
                <w:i/>
                <w:color w:val="1F497D" w:themeColor="text2"/>
              </w:rPr>
            </m:ctrlPr>
          </m:sSubPr>
          <m:e>
            <m:r>
              <w:rPr>
                <w:rFonts w:ascii="Cambria Math" w:hAnsi="Cambria Math"/>
                <w:color w:val="1F497D" w:themeColor="text2"/>
              </w:rPr>
              <m:t>M</m:t>
            </m:r>
          </m:e>
          <m:sub>
            <m:r>
              <w:rPr>
                <w:rFonts w:ascii="Cambria Math" w:hAnsi="Cambria Math"/>
                <w:color w:val="1F497D" w:themeColor="text2"/>
              </w:rPr>
              <m:t>DVFS</m:t>
            </m:r>
          </m:sub>
        </m:sSub>
        <m:r>
          <w:rPr>
            <w:rFonts w:ascii="Cambria Math" w:hAnsi="Cambria Math"/>
            <w:color w:val="1F497D" w:themeColor="text2"/>
          </w:rPr>
          <m:t xml:space="preserve">= </m:t>
        </m:r>
        <m:d>
          <m:dPr>
            <m:begChr m:val="["/>
            <m:endChr m:val="]"/>
            <m:ctrlPr>
              <w:rPr>
                <w:rFonts w:ascii="Cambria Math" w:hAnsi="Cambria Math"/>
                <w:i/>
                <w:color w:val="1F497D" w:themeColor="text2"/>
              </w:rPr>
            </m:ctrlPr>
          </m:dPr>
          <m:e>
            <m:r>
              <w:rPr>
                <w:rFonts w:ascii="Cambria Math" w:hAnsi="Cambria Math"/>
                <w:color w:val="1F497D" w:themeColor="text2"/>
              </w:rPr>
              <m:t>residual inference MW after spatial + deferral</m:t>
            </m:r>
          </m:e>
        </m:d>
        <m:r>
          <w:rPr>
            <w:rFonts w:ascii="Cambria Math" w:hAnsi="Cambria Math"/>
            <w:color w:val="1F497D" w:themeColor="text2"/>
          </w:rPr>
          <m:t xml:space="preserve">× </m:t>
        </m:r>
        <m:d>
          <m:dPr>
            <m:begChr m:val="["/>
            <m:endChr m:val="]"/>
            <m:ctrlPr>
              <w:rPr>
                <w:rFonts w:ascii="Cambria Math" w:hAnsi="Cambria Math"/>
                <w:i/>
                <w:color w:val="1F497D" w:themeColor="text2"/>
              </w:rPr>
            </m:ctrlPr>
          </m:dPr>
          <m:e>
            <m:r>
              <w:rPr>
                <w:rFonts w:ascii="Cambria Math" w:hAnsi="Cambria Math"/>
                <w:color w:val="1F497D" w:themeColor="text2"/>
              </w:rPr>
              <m:t>DVF</m:t>
            </m:r>
            <m:sSub>
              <m:sSubPr>
                <m:ctrlPr>
                  <w:rPr>
                    <w:rFonts w:ascii="Cambria Math" w:hAnsi="Cambria Math"/>
                    <w:i/>
                    <w:color w:val="1F497D" w:themeColor="text2"/>
                  </w:rPr>
                </m:ctrlPr>
              </m:sSubPr>
              <m:e>
                <m:r>
                  <w:rPr>
                    <w:rFonts w:ascii="Cambria Math" w:hAnsi="Cambria Math"/>
                    <w:color w:val="1F497D" w:themeColor="text2"/>
                  </w:rPr>
                  <m:t>S</m:t>
                </m:r>
              </m:e>
              <m:sub>
                <m:r>
                  <w:rPr>
                    <w:rFonts w:ascii="Cambria Math" w:hAnsi="Cambria Math"/>
                    <w:color w:val="1F497D" w:themeColor="text2"/>
                  </w:rPr>
                  <m:t>headroom</m:t>
                </m:r>
              </m:sub>
            </m:sSub>
            <m:r>
              <w:rPr>
                <w:rFonts w:ascii="Cambria Math" w:hAnsi="Cambria Math"/>
                <w:color w:val="1F497D" w:themeColor="text2"/>
              </w:rPr>
              <m:t>× DVF</m:t>
            </m:r>
            <m:sSub>
              <m:sSubPr>
                <m:ctrlPr>
                  <w:rPr>
                    <w:rFonts w:ascii="Cambria Math" w:hAnsi="Cambria Math"/>
                    <w:i/>
                    <w:color w:val="1F497D" w:themeColor="text2"/>
                  </w:rPr>
                </m:ctrlPr>
              </m:sSubPr>
              <m:e>
                <m:r>
                  <w:rPr>
                    <w:rFonts w:ascii="Cambria Math" w:hAnsi="Cambria Math"/>
                    <w:color w:val="1F497D" w:themeColor="text2"/>
                  </w:rPr>
                  <m:t>S</m:t>
                </m:r>
              </m:e>
              <m:sub>
                <m:r>
                  <w:rPr>
                    <w:rFonts w:ascii="Cambria Math" w:hAnsi="Cambria Math"/>
                    <w:color w:val="1F497D" w:themeColor="text2"/>
                  </w:rPr>
                  <m:t>reliability</m:t>
                </m:r>
              </m:sub>
            </m:sSub>
          </m:e>
        </m:d>
      </m:oMath>
      <w:r>
        <w:rPr>
          <w:color w:val="1F497D" w:themeColor="text2"/>
        </w:rPr>
        <w:t xml:space="preserve"> </w:t>
      </w:r>
    </w:p>
    <w:p w14:paraId="3AEE548C" w14:textId="2DDE270A" w:rsidR="002E216E" w:rsidRPr="0025036A" w:rsidRDefault="002E216E" w:rsidP="002E216E">
      <w:pPr>
        <w:pStyle w:val="BodyText"/>
        <w:rPr>
          <w:b/>
          <w:bCs/>
          <w:i/>
          <w:iCs/>
        </w:rPr>
      </w:pPr>
      <w:r w:rsidRPr="0025036A">
        <w:rPr>
          <w:b/>
          <w:bCs/>
          <w:i/>
          <w:iCs/>
        </w:rPr>
        <w:t>Total:</w:t>
      </w:r>
    </w:p>
    <w:p w14:paraId="642E5C98" w14:textId="65499935" w:rsidR="002E216E" w:rsidRPr="00584B4F" w:rsidRDefault="00F9460C" w:rsidP="002E216E">
      <w:pPr>
        <w:pStyle w:val="BodyText"/>
        <w:rPr>
          <w:color w:val="1F497D" w:themeColor="text2"/>
        </w:rPr>
      </w:pPr>
      <m:oMath>
        <m:sSub>
          <m:sSubPr>
            <m:ctrlPr>
              <w:rPr>
                <w:rFonts w:ascii="Cambria Math" w:hAnsi="Cambria Math"/>
                <w:i/>
                <w:color w:val="1F497D" w:themeColor="text2"/>
              </w:rPr>
            </m:ctrlPr>
          </m:sSubPr>
          <m:e>
            <m:r>
              <w:rPr>
                <w:rFonts w:ascii="Cambria Math" w:hAnsi="Cambria Math"/>
                <w:color w:val="1F497D" w:themeColor="text2"/>
              </w:rPr>
              <m:t>M</m:t>
            </m:r>
          </m:e>
          <m:sub>
            <m:r>
              <w:rPr>
                <w:rFonts w:ascii="Cambria Math" w:hAnsi="Cambria Math"/>
                <w:color w:val="1F497D" w:themeColor="text2"/>
              </w:rPr>
              <m:t>total</m:t>
            </m:r>
          </m:sub>
        </m:sSub>
        <m:r>
          <w:rPr>
            <w:rFonts w:ascii="Cambria Math" w:hAnsi="Cambria Math"/>
            <w:color w:val="1F497D" w:themeColor="text2"/>
          </w:rPr>
          <m:t xml:space="preserve">= </m:t>
        </m:r>
        <m:sSub>
          <m:sSubPr>
            <m:ctrlPr>
              <w:rPr>
                <w:rFonts w:ascii="Cambria Math" w:hAnsi="Cambria Math"/>
                <w:i/>
                <w:color w:val="1F497D" w:themeColor="text2"/>
              </w:rPr>
            </m:ctrlPr>
          </m:sSubPr>
          <m:e>
            <m:r>
              <w:rPr>
                <w:rFonts w:ascii="Cambria Math" w:hAnsi="Cambria Math"/>
                <w:color w:val="1F497D" w:themeColor="text2"/>
              </w:rPr>
              <m:t>M</m:t>
            </m:r>
          </m:e>
          <m:sub>
            <m:r>
              <w:rPr>
                <w:rFonts w:ascii="Cambria Math" w:hAnsi="Cambria Math"/>
                <w:color w:val="1F497D" w:themeColor="text2"/>
              </w:rPr>
              <m:t>spatial</m:t>
            </m:r>
          </m:sub>
        </m:sSub>
        <m:r>
          <w:rPr>
            <w:rFonts w:ascii="Cambria Math" w:hAnsi="Cambria Math"/>
            <w:color w:val="1F497D" w:themeColor="text2"/>
          </w:rPr>
          <m:t xml:space="preserve">+ </m:t>
        </m:r>
        <m:sSub>
          <m:sSubPr>
            <m:ctrlPr>
              <w:rPr>
                <w:rFonts w:ascii="Cambria Math" w:hAnsi="Cambria Math"/>
                <w:i/>
                <w:color w:val="1F497D" w:themeColor="text2"/>
              </w:rPr>
            </m:ctrlPr>
          </m:sSubPr>
          <m:e>
            <m:r>
              <w:rPr>
                <w:rFonts w:ascii="Cambria Math" w:hAnsi="Cambria Math"/>
                <w:color w:val="1F497D" w:themeColor="text2"/>
              </w:rPr>
              <m:t>M</m:t>
            </m:r>
          </m:e>
          <m:sub>
            <m:r>
              <w:rPr>
                <w:rFonts w:ascii="Cambria Math" w:hAnsi="Cambria Math"/>
                <w:color w:val="1F497D" w:themeColor="text2"/>
              </w:rPr>
              <m:t>defer</m:t>
            </m:r>
          </m:sub>
        </m:sSub>
        <m:r>
          <w:rPr>
            <w:rFonts w:ascii="Cambria Math" w:hAnsi="Cambria Math"/>
            <w:color w:val="1F497D" w:themeColor="text2"/>
          </w:rPr>
          <m:t xml:space="preserve">+ </m:t>
        </m:r>
        <m:sSub>
          <m:sSubPr>
            <m:ctrlPr>
              <w:rPr>
                <w:rFonts w:ascii="Cambria Math" w:hAnsi="Cambria Math"/>
                <w:i/>
                <w:color w:val="1F497D" w:themeColor="text2"/>
              </w:rPr>
            </m:ctrlPr>
          </m:sSubPr>
          <m:e>
            <m:r>
              <w:rPr>
                <w:rFonts w:ascii="Cambria Math" w:hAnsi="Cambria Math"/>
                <w:color w:val="1F497D" w:themeColor="text2"/>
              </w:rPr>
              <m:t>M</m:t>
            </m:r>
          </m:e>
          <m:sub>
            <m:r>
              <w:rPr>
                <w:rFonts w:ascii="Cambria Math" w:hAnsi="Cambria Math"/>
                <w:color w:val="1F497D" w:themeColor="text2"/>
              </w:rPr>
              <m:t>DVFS</m:t>
            </m:r>
          </m:sub>
        </m:sSub>
      </m:oMath>
      <w:r w:rsidRPr="00584B4F">
        <w:rPr>
          <w:color w:val="1F497D" w:themeColor="text2"/>
        </w:rPr>
        <w:t xml:space="preserve"> </w:t>
      </w:r>
    </w:p>
    <w:p w14:paraId="488EDABB" w14:textId="03817655" w:rsidR="002E216E" w:rsidRPr="00584B4F" w:rsidRDefault="00F9460C" w:rsidP="002E216E">
      <w:pPr>
        <w:pStyle w:val="BodyText"/>
        <w:rPr>
          <w:color w:val="1F497D" w:themeColor="text2"/>
        </w:rPr>
      </w:pPr>
      <m:oMath>
        <m:r>
          <w:rPr>
            <w:rFonts w:ascii="Cambria Math" w:hAnsi="Cambria Math"/>
            <w:color w:val="1F497D" w:themeColor="text2"/>
          </w:rPr>
          <m:t xml:space="preserve">Commitment depth </m:t>
        </m:r>
        <m:d>
          <m:dPr>
            <m:ctrlPr>
              <w:rPr>
                <w:rFonts w:ascii="Cambria Math" w:hAnsi="Cambria Math"/>
                <w:i/>
                <w:color w:val="1F497D" w:themeColor="text2"/>
              </w:rPr>
            </m:ctrlPr>
          </m:dPr>
          <m:e>
            <m:r>
              <w:rPr>
                <w:rFonts w:ascii="Cambria Math" w:hAnsi="Cambria Math"/>
                <w:color w:val="1F497D" w:themeColor="text2"/>
              </w:rPr>
              <m:t>per facility MW</m:t>
            </m:r>
          </m:e>
        </m:d>
        <m:r>
          <w:rPr>
            <w:rFonts w:ascii="Cambria Math" w:hAnsi="Cambria Math"/>
            <w:color w:val="1F497D" w:themeColor="text2"/>
          </w:rPr>
          <m:t>=</m:t>
        </m:r>
        <m:f>
          <m:fPr>
            <m:ctrlPr>
              <w:rPr>
                <w:rFonts w:ascii="Cambria Math" w:hAnsi="Cambria Math"/>
                <w:i/>
                <w:color w:val="1F497D" w:themeColor="text2"/>
              </w:rPr>
            </m:ctrlPr>
          </m:fPr>
          <m:num>
            <m:sSub>
              <m:sSubPr>
                <m:ctrlPr>
                  <w:rPr>
                    <w:rFonts w:ascii="Cambria Math" w:hAnsi="Cambria Math"/>
                    <w:i/>
                    <w:color w:val="1F497D" w:themeColor="text2"/>
                  </w:rPr>
                </m:ctrlPr>
              </m:sSubPr>
              <m:e>
                <m:r>
                  <w:rPr>
                    <w:rFonts w:ascii="Cambria Math" w:hAnsi="Cambria Math"/>
                    <w:color w:val="1F497D" w:themeColor="text2"/>
                  </w:rPr>
                  <m:t>M</m:t>
                </m:r>
              </m:e>
              <m:sub>
                <m:r>
                  <w:rPr>
                    <w:rFonts w:ascii="Cambria Math" w:hAnsi="Cambria Math"/>
                    <w:color w:val="1F497D" w:themeColor="text2"/>
                  </w:rPr>
                  <m:t>total</m:t>
                </m:r>
              </m:sub>
            </m:sSub>
          </m:num>
          <m:den>
            <m:r>
              <w:rPr>
                <w:rFonts w:ascii="Cambria Math" w:hAnsi="Cambria Math"/>
                <w:color w:val="1F497D" w:themeColor="text2"/>
              </w:rPr>
              <m:t>nameplate</m:t>
            </m:r>
          </m:den>
        </m:f>
      </m:oMath>
      <w:r w:rsidRPr="00584B4F">
        <w:rPr>
          <w:color w:val="1F497D" w:themeColor="text2"/>
        </w:rPr>
        <w:t xml:space="preserve"> </w:t>
      </w:r>
    </w:p>
    <w:p w14:paraId="1D99A75C" w14:textId="2AB62A99" w:rsidR="00584B4F" w:rsidRPr="00584B4F" w:rsidRDefault="002E1003">
      <w:pPr>
        <w:pStyle w:val="FirstParagraph"/>
        <w:rPr>
          <w:rFonts w:eastAsiaTheme="minorEastAsia"/>
          <w:color w:val="1F497D" w:themeColor="text2"/>
        </w:rPr>
      </w:pPr>
      <m:oMath>
        <m:r>
          <w:rPr>
            <w:rFonts w:ascii="Cambria Math" w:hAnsi="Cambria Math"/>
            <w:color w:val="1F497D" w:themeColor="text2"/>
          </w:rPr>
          <m:t xml:space="preserve">Commitment depth </m:t>
        </m:r>
        <m:d>
          <m:dPr>
            <m:ctrlPr>
              <w:rPr>
                <w:rFonts w:ascii="Cambria Math" w:hAnsi="Cambria Math"/>
                <w:i/>
                <w:color w:val="1F497D" w:themeColor="text2"/>
              </w:rPr>
            </m:ctrlPr>
          </m:dPr>
          <m:e>
            <m:r>
              <w:rPr>
                <w:rFonts w:ascii="Cambria Math" w:hAnsi="Cambria Math"/>
                <w:color w:val="1F497D" w:themeColor="text2"/>
              </w:rPr>
              <m:t>per inference MW</m:t>
            </m:r>
          </m:e>
        </m:d>
        <m:r>
          <w:rPr>
            <w:rFonts w:ascii="Cambria Math" w:hAnsi="Cambria Math"/>
            <w:color w:val="1F497D" w:themeColor="text2"/>
          </w:rPr>
          <m:t>=</m:t>
        </m:r>
        <m:f>
          <m:fPr>
            <m:ctrlPr>
              <w:rPr>
                <w:rFonts w:ascii="Cambria Math" w:hAnsi="Cambria Math"/>
                <w:i/>
                <w:color w:val="1F497D" w:themeColor="text2"/>
              </w:rPr>
            </m:ctrlPr>
          </m:fPr>
          <m:num>
            <m:sSub>
              <m:sSubPr>
                <m:ctrlPr>
                  <w:rPr>
                    <w:rFonts w:ascii="Cambria Math" w:hAnsi="Cambria Math"/>
                    <w:i/>
                    <w:color w:val="1F497D" w:themeColor="text2"/>
                  </w:rPr>
                </m:ctrlPr>
              </m:sSubPr>
              <m:e>
                <m:r>
                  <w:rPr>
                    <w:rFonts w:ascii="Cambria Math" w:hAnsi="Cambria Math"/>
                    <w:color w:val="1F497D" w:themeColor="text2"/>
                  </w:rPr>
                  <m:t>M</m:t>
                </m:r>
              </m:e>
              <m:sub>
                <m:r>
                  <w:rPr>
                    <w:rFonts w:ascii="Cambria Math" w:hAnsi="Cambria Math"/>
                    <w:color w:val="1F497D" w:themeColor="text2"/>
                  </w:rPr>
                  <m:t>total</m:t>
                </m:r>
              </m:sub>
            </m:sSub>
          </m:num>
          <m:den>
            <m:d>
              <m:dPr>
                <m:begChr m:val="["/>
                <m:endChr m:val="]"/>
                <m:ctrlPr>
                  <w:rPr>
                    <w:rFonts w:ascii="Cambria Math" w:hAnsi="Cambria Math"/>
                    <w:i/>
                    <w:color w:val="1F497D" w:themeColor="text2"/>
                  </w:rPr>
                </m:ctrlPr>
              </m:dPr>
              <m:e>
                <m:r>
                  <w:rPr>
                    <w:rFonts w:ascii="Cambria Math" w:hAnsi="Cambria Math"/>
                    <w:color w:val="1F497D" w:themeColor="text2"/>
                  </w:rPr>
                  <m:t xml:space="preserve">nameplate × </m:t>
                </m:r>
                <m:d>
                  <m:dPr>
                    <m:ctrlPr>
                      <w:rPr>
                        <w:rFonts w:ascii="Cambria Math" w:hAnsi="Cambria Math"/>
                        <w:i/>
                        <w:color w:val="1F497D" w:themeColor="text2"/>
                      </w:rPr>
                    </m:ctrlPr>
                  </m:dPr>
                  <m:e>
                    <m:f>
                      <m:fPr>
                        <m:ctrlPr>
                          <w:rPr>
                            <w:rFonts w:ascii="Cambria Math" w:hAnsi="Cambria Math"/>
                            <w:i/>
                            <w:color w:val="1F497D" w:themeColor="text2"/>
                          </w:rPr>
                        </m:ctrlPr>
                      </m:fPr>
                      <m:num>
                        <m:r>
                          <w:rPr>
                            <w:rFonts w:ascii="Cambria Math" w:hAnsi="Cambria Math"/>
                            <w:color w:val="1F497D" w:themeColor="text2"/>
                          </w:rPr>
                          <m:t>1</m:t>
                        </m:r>
                      </m:num>
                      <m:den>
                        <m:r>
                          <w:rPr>
                            <w:rFonts w:ascii="Cambria Math" w:hAnsi="Cambria Math"/>
                            <w:color w:val="1F497D" w:themeColor="text2"/>
                          </w:rPr>
                          <m:t>PUE</m:t>
                        </m:r>
                      </m:den>
                    </m:f>
                  </m:e>
                </m:d>
                <m:r>
                  <w:rPr>
                    <w:rFonts w:ascii="Cambria Math" w:hAnsi="Cambria Math"/>
                    <w:color w:val="1F497D" w:themeColor="text2"/>
                  </w:rPr>
                  <m:t xml:space="preserve">× </m:t>
                </m:r>
                <m:sSub>
                  <m:sSubPr>
                    <m:ctrlPr>
                      <w:rPr>
                        <w:rFonts w:ascii="Cambria Math" w:hAnsi="Cambria Math"/>
                        <w:i/>
                        <w:color w:val="1F497D" w:themeColor="text2"/>
                      </w:rPr>
                    </m:ctrlPr>
                  </m:sSubPr>
                  <m:e>
                    <m:r>
                      <w:rPr>
                        <w:rFonts w:ascii="Cambria Math" w:hAnsi="Cambria Math"/>
                        <w:color w:val="1F497D" w:themeColor="text2"/>
                      </w:rPr>
                      <m:t>φ</m:t>
                    </m:r>
                  </m:e>
                  <m:sub>
                    <m:r>
                      <w:rPr>
                        <w:rFonts w:ascii="Cambria Math" w:hAnsi="Cambria Math"/>
                        <w:color w:val="1F497D" w:themeColor="text2"/>
                      </w:rPr>
                      <m:t>inf</m:t>
                    </m:r>
                  </m:sub>
                </m:sSub>
              </m:e>
            </m:d>
          </m:den>
        </m:f>
      </m:oMath>
      <w:r w:rsidR="00584B4F" w:rsidRPr="00584B4F">
        <w:rPr>
          <w:rFonts w:eastAsiaTheme="minorEastAsia"/>
          <w:color w:val="1F497D" w:themeColor="text2"/>
        </w:rPr>
        <w:t xml:space="preserve"> </w:t>
      </w:r>
    </w:p>
    <w:p w14:paraId="1ECF9287" w14:textId="00373FF9" w:rsidR="00584B4F" w:rsidRDefault="00584B4F">
      <w:pPr>
        <w:pStyle w:val="FirstParagraph"/>
        <w:rPr>
          <w:b/>
          <w:bCs/>
        </w:rPr>
      </w:pPr>
      <w:r>
        <w:rPr>
          <w:b/>
          <w:bCs/>
        </w:rPr>
        <w:t>1.5 Two-Scope reporting</w:t>
      </w:r>
    </w:p>
    <w:p w14:paraId="188F3EFC" w14:textId="77777777" w:rsidR="00851889" w:rsidRDefault="00851889" w:rsidP="00851889">
      <w:pPr>
        <w:pStyle w:val="BodyText"/>
      </w:pPr>
      <w:r>
        <w:t>The framework is reported under two parallel scope scenarios reflecting the bi-modal heterogeneity of the projected 2030 data center fleet:</w:t>
      </w:r>
    </w:p>
    <w:p w14:paraId="5A30FA23" w14:textId="6B2C76C6" w:rsidR="00851889" w:rsidRDefault="00851889" w:rsidP="00B8415C">
      <w:pPr>
        <w:pStyle w:val="BodyText"/>
        <w:numPr>
          <w:ilvl w:val="0"/>
          <w:numId w:val="3"/>
        </w:numPr>
      </w:pPr>
      <w:r w:rsidRPr="00851889">
        <w:rPr>
          <w:b/>
          <w:bCs/>
          <w:i/>
          <w:iCs/>
        </w:rPr>
        <w:t>Scope A</w:t>
      </w:r>
      <w:r w:rsidRPr="00851889">
        <w:rPr>
          <w:b/>
          <w:bCs/>
          <w:i/>
          <w:iCs/>
        </w:rPr>
        <w:t xml:space="preserve"> (</w:t>
      </w:r>
      <w:r w:rsidRPr="00851889">
        <w:rPr>
          <w:b/>
          <w:bCs/>
          <w:i/>
          <w:iCs/>
        </w:rPr>
        <w:t>Mixed-use facility scenario</w:t>
      </w:r>
      <w:r w:rsidRPr="00851889">
        <w:rPr>
          <w:b/>
          <w:bCs/>
          <w:i/>
          <w:iCs/>
        </w:rPr>
        <w:t>)</w:t>
      </w:r>
      <w:r>
        <w:t xml:space="preserve">: </w:t>
      </w:r>
      <w:proofErr w:type="spellStart"/>
      <w:r>
        <w:t>φ_</w:t>
      </w:r>
      <w:proofErr w:type="gramStart"/>
      <w:r>
        <w:t>inf,mixed</w:t>
      </w:r>
      <w:proofErr w:type="spellEnd"/>
      <w:proofErr w:type="gramEnd"/>
      <w:r>
        <w:t xml:space="preserve"> = 0.43; the typical </w:t>
      </w:r>
      <w:proofErr w:type="spellStart"/>
      <w:r>
        <w:t>hyperscaler</w:t>
      </w:r>
      <w:proofErr w:type="spellEnd"/>
      <w:r>
        <w:t xml:space="preserve"> colocation facility for which inference is approximately 43% of IT </w:t>
      </w:r>
      <w:proofErr w:type="gramStart"/>
      <w:r>
        <w:t>compute</w:t>
      </w:r>
      <w:proofErr w:type="gramEnd"/>
      <w:r>
        <w:t xml:space="preserve"> by 2030.</w:t>
      </w:r>
    </w:p>
    <w:p w14:paraId="4F2A73BC" w14:textId="5FAC11D5" w:rsidR="00851889" w:rsidRDefault="00851889" w:rsidP="00B8415C">
      <w:pPr>
        <w:pStyle w:val="BodyText"/>
        <w:numPr>
          <w:ilvl w:val="0"/>
          <w:numId w:val="3"/>
        </w:numPr>
      </w:pPr>
      <w:r w:rsidRPr="007A7626">
        <w:rPr>
          <w:b/>
          <w:bCs/>
          <w:i/>
          <w:iCs/>
        </w:rPr>
        <w:t>Scope B</w:t>
      </w:r>
      <w:r w:rsidRPr="007A7626">
        <w:rPr>
          <w:b/>
          <w:bCs/>
          <w:i/>
          <w:iCs/>
        </w:rPr>
        <w:t xml:space="preserve"> (</w:t>
      </w:r>
      <w:r w:rsidRPr="007A7626">
        <w:rPr>
          <w:b/>
          <w:bCs/>
          <w:i/>
          <w:iCs/>
        </w:rPr>
        <w:t>Inference-dominant facility scenario</w:t>
      </w:r>
      <w:r w:rsidRPr="007A7626">
        <w:rPr>
          <w:b/>
          <w:bCs/>
          <w:i/>
          <w:iCs/>
        </w:rPr>
        <w:t>)</w:t>
      </w:r>
      <w:r>
        <w:t>:</w:t>
      </w:r>
      <w:r>
        <w:t xml:space="preserve"> </w:t>
      </w:r>
      <w:proofErr w:type="spellStart"/>
      <w:r>
        <w:t>φ_</w:t>
      </w:r>
      <w:proofErr w:type="gramStart"/>
      <w:r>
        <w:t>inf,dominant</w:t>
      </w:r>
      <w:proofErr w:type="spellEnd"/>
      <w:proofErr w:type="gramEnd"/>
      <w:r>
        <w:t xml:space="preserve"> = 0.70; purpose-built AI campuses for which inference exceeds 70% of IT compute.</w:t>
      </w:r>
    </w:p>
    <w:p w14:paraId="5DC85AF9" w14:textId="5CFB9F2B" w:rsidR="00584B4F" w:rsidRPr="00851889" w:rsidRDefault="00851889" w:rsidP="00851889">
      <w:pPr>
        <w:pStyle w:val="BodyText"/>
      </w:pPr>
      <w:r>
        <w:t>The two scopes are reported as parallel realizations of the framework rather than alternatives. The actual 2030 fleet will include both classes, and the difference between their commitment depths is itself a finding — the marginal flexibility gain from purpose-built siting decisions is decomposable.</w:t>
      </w:r>
    </w:p>
    <w:p w14:paraId="3776B4C2" w14:textId="640A75FD" w:rsidR="00584B4F" w:rsidRPr="007A7626" w:rsidRDefault="007A7626">
      <w:pPr>
        <w:pStyle w:val="FirstParagraph"/>
        <w:rPr>
          <w:b/>
          <w:bCs/>
        </w:rPr>
      </w:pPr>
      <w:r>
        <w:rPr>
          <w:b/>
          <w:bCs/>
        </w:rPr>
        <w:t>1.6 What this framework is not</w:t>
      </w:r>
    </w:p>
    <w:p w14:paraId="2C0DB321" w14:textId="77777777" w:rsidR="00DF4104" w:rsidRDefault="00DF4104" w:rsidP="00DF4104">
      <w:pPr>
        <w:pStyle w:val="FirstParagraph"/>
      </w:pPr>
      <w:r>
        <w:t xml:space="preserve">It is not a mechanism paper. The mechanisms — spatial migration, temporal deferral, DVFS — are established in the </w:t>
      </w:r>
      <w:proofErr w:type="gramStart"/>
      <w:r>
        <w:t>systems literature</w:t>
      </w:r>
      <w:proofErr w:type="gramEnd"/>
      <w:r>
        <w:t xml:space="preserve"> and deployed at production scale. </w:t>
      </w:r>
      <w:proofErr w:type="spellStart"/>
      <w:r>
        <w:t>Splitwise</w:t>
      </w:r>
      <w:proofErr w:type="spellEnd"/>
      <w:r>
        <w:t xml:space="preserve">, </w:t>
      </w:r>
      <w:proofErr w:type="spellStart"/>
      <w:r>
        <w:t>DistServe</w:t>
      </w:r>
      <w:proofErr w:type="spellEnd"/>
      <w:r>
        <w:t xml:space="preserve">, and Mooncake establish intra-facility phase-disaggregated LLM inference; Microsoft's Flex, Facebook's Dynamo, and Google's Thunderbolt establish DC-wide power management at production reliability; Google's TVA and Indiana Michigan Power agreements establish ML-specific demand response under contract. The framework's </w:t>
      </w:r>
      <w:r>
        <w:lastRenderedPageBreak/>
        <w:t>contribution is the translation layer: taking the operational flexibility that systems engineers have built and expressing it in the capacity-accreditation terms that resource adequacy planning requires.</w:t>
      </w:r>
    </w:p>
    <w:p w14:paraId="249DB0D0" w14:textId="77777777" w:rsidR="00DF4104" w:rsidRDefault="00DF4104" w:rsidP="00DF4104">
      <w:pPr>
        <w:pStyle w:val="FirstParagraph"/>
      </w:pPr>
    </w:p>
    <w:p w14:paraId="642F78F5" w14:textId="5094DB67" w:rsidR="00DF4104" w:rsidRDefault="00DF4104" w:rsidP="00DF4104">
      <w:pPr>
        <w:pStyle w:val="FirstParagraph"/>
      </w:pPr>
      <w:r>
        <w:t>It is not a point-estimator. Every parameter carries a grounding category and a range; the framework's primary function is decomposition, identifying where the operational, empirical, and institutional uncertainties are concentrated, grading the evidence for each, and bounding the consequences of those uncertainties across a plausible parameter space. Headline values reported in §7 are illustrative; reliability curves, percentile statistics, and CVaR propagate the full uncertainty rather than conditioning on midpoints.</w:t>
      </w:r>
    </w:p>
    <w:p w14:paraId="68D702EC" w14:textId="77777777" w:rsidR="00B8415C" w:rsidRPr="00B8415C" w:rsidRDefault="00B8415C" w:rsidP="00B8415C">
      <w:pPr>
        <w:pStyle w:val="BodyText"/>
        <w:pBdr>
          <w:bottom w:val="single" w:sz="12" w:space="1" w:color="auto"/>
        </w:pBdr>
      </w:pPr>
    </w:p>
    <w:p w14:paraId="2B248009" w14:textId="0DD23D37" w:rsidR="00DF4104" w:rsidRPr="000B2C9D" w:rsidRDefault="00DF4104" w:rsidP="00DF4104">
      <w:pPr>
        <w:rPr>
          <w:b/>
          <w:bCs/>
          <w:sz w:val="28"/>
          <w:szCs w:val="28"/>
        </w:rPr>
      </w:pPr>
      <w:r>
        <w:rPr>
          <w:b/>
          <w:bCs/>
          <w:sz w:val="28"/>
          <w:szCs w:val="28"/>
        </w:rPr>
        <w:t>2</w:t>
      </w:r>
      <w:r w:rsidRPr="000B2C9D">
        <w:rPr>
          <w:b/>
          <w:bCs/>
          <w:sz w:val="28"/>
          <w:szCs w:val="28"/>
        </w:rPr>
        <w:t xml:space="preserve">. </w:t>
      </w:r>
      <w:r>
        <w:rPr>
          <w:b/>
          <w:bCs/>
          <w:sz w:val="28"/>
          <w:szCs w:val="28"/>
        </w:rPr>
        <w:t>Scope Scalar</w:t>
      </w:r>
    </w:p>
    <w:p w14:paraId="02A3A32C" w14:textId="7D4583E2" w:rsidR="006A087E" w:rsidRPr="006A087E" w:rsidRDefault="00BD330F" w:rsidP="006A087E">
      <w:pPr>
        <w:pStyle w:val="BodyText"/>
        <w:rPr>
          <w:b/>
          <w:bCs/>
        </w:rPr>
      </w:pPr>
      <w:r>
        <w:rPr>
          <w:rFonts w:ascii="MV Boli" w:hAnsi="MV Boli" w:cs="MV Boli"/>
          <w:b/>
          <w:bCs/>
        </w:rPr>
        <w:t xml:space="preserve"> </w:t>
      </w:r>
      <w:proofErr w:type="spellStart"/>
      <w:r w:rsidR="00414623" w:rsidRPr="00414623">
        <w:rPr>
          <w:b/>
          <w:bCs/>
        </w:rPr>
        <w:t>φ_inf</w:t>
      </w:r>
      <w:proofErr w:type="spellEnd"/>
      <w:r w:rsidR="006A087E" w:rsidRPr="006A087E">
        <w:rPr>
          <w:b/>
          <w:bCs/>
        </w:rPr>
        <w:t xml:space="preserve"> </w:t>
      </w:r>
      <w:r w:rsidR="006A087E" w:rsidRPr="006A087E">
        <w:t xml:space="preserve">- </w:t>
      </w:r>
      <w:r w:rsidR="006A087E" w:rsidRPr="006A087E">
        <w:rPr>
          <w:b/>
          <w:bCs/>
        </w:rPr>
        <w:t>Fleet inference share</w:t>
      </w:r>
    </w:p>
    <w:tbl>
      <w:tblPr>
        <w:tblStyle w:val="TableGrid"/>
        <w:tblW w:w="0" w:type="auto"/>
        <w:tblLook w:val="04A0" w:firstRow="1" w:lastRow="0" w:firstColumn="1" w:lastColumn="0" w:noHBand="0" w:noVBand="1"/>
      </w:tblPr>
      <w:tblGrid>
        <w:gridCol w:w="4233"/>
        <w:gridCol w:w="3729"/>
      </w:tblGrid>
      <w:tr w:rsidR="00EE723B" w:rsidRPr="006A087E" w14:paraId="013F982D" w14:textId="4906B996" w:rsidTr="00FD25D5">
        <w:trPr>
          <w:trHeight w:val="404"/>
        </w:trPr>
        <w:tc>
          <w:tcPr>
            <w:tcW w:w="4233" w:type="dxa"/>
            <w:shd w:val="clear" w:color="auto" w:fill="D9D9D9" w:themeFill="background1" w:themeFillShade="D9"/>
          </w:tcPr>
          <w:p w14:paraId="544F4CBC" w14:textId="77777777" w:rsidR="00EE723B" w:rsidRPr="006A087E" w:rsidRDefault="00EE723B" w:rsidP="00EE723B">
            <w:pPr>
              <w:pStyle w:val="BodyText"/>
              <w:rPr>
                <w:b/>
                <w:bCs/>
              </w:rPr>
            </w:pPr>
            <w:r w:rsidRPr="006A087E">
              <w:rPr>
                <w:b/>
                <w:bCs/>
              </w:rPr>
              <w:t>Attribute</w:t>
            </w:r>
          </w:p>
        </w:tc>
        <w:tc>
          <w:tcPr>
            <w:tcW w:w="3729" w:type="dxa"/>
            <w:shd w:val="clear" w:color="auto" w:fill="D9D9D9" w:themeFill="background1" w:themeFillShade="D9"/>
          </w:tcPr>
          <w:p w14:paraId="220A7B2C" w14:textId="5560E368" w:rsidR="00EE723B" w:rsidRPr="006A087E" w:rsidRDefault="00EE723B" w:rsidP="00EE723B">
            <w:pPr>
              <w:pStyle w:val="BodyText"/>
              <w:rPr>
                <w:b/>
                <w:bCs/>
              </w:rPr>
            </w:pPr>
            <w:r w:rsidRPr="006A087E">
              <w:rPr>
                <w:b/>
                <w:bCs/>
              </w:rPr>
              <w:t>Value</w:t>
            </w:r>
          </w:p>
        </w:tc>
      </w:tr>
      <w:tr w:rsidR="00EE723B" w:rsidRPr="006A087E" w14:paraId="2806ADE6" w14:textId="79641BEF" w:rsidTr="00EE723B">
        <w:trPr>
          <w:trHeight w:val="525"/>
        </w:trPr>
        <w:tc>
          <w:tcPr>
            <w:tcW w:w="4233" w:type="dxa"/>
          </w:tcPr>
          <w:p w14:paraId="7FBD9B95" w14:textId="77777777" w:rsidR="00EE723B" w:rsidRPr="006A087E" w:rsidRDefault="00EE723B" w:rsidP="00EE723B">
            <w:pPr>
              <w:pStyle w:val="BodyText"/>
            </w:pPr>
            <w:r w:rsidRPr="006A087E">
              <w:t>Symbol (Scope A)</w:t>
            </w:r>
          </w:p>
        </w:tc>
        <w:tc>
          <w:tcPr>
            <w:tcW w:w="3729" w:type="dxa"/>
          </w:tcPr>
          <w:p w14:paraId="10909F5B" w14:textId="3A5093A2" w:rsidR="00EE723B" w:rsidRPr="006A087E" w:rsidRDefault="00FD25D5" w:rsidP="00EE723B">
            <w:pPr>
              <w:pStyle w:val="BodyText"/>
            </w:pPr>
            <w:proofErr w:type="spellStart"/>
            <w:r w:rsidRPr="00FD25D5">
              <w:t>φ_</w:t>
            </w:r>
            <w:proofErr w:type="gramStart"/>
            <w:r w:rsidRPr="00FD25D5">
              <w:t>inf</w:t>
            </w:r>
            <w:r w:rsidR="00EE723B" w:rsidRPr="006A087E">
              <w:t>,mixed</w:t>
            </w:r>
            <w:proofErr w:type="spellEnd"/>
            <w:proofErr w:type="gramEnd"/>
          </w:p>
        </w:tc>
      </w:tr>
      <w:tr w:rsidR="00EE723B" w:rsidRPr="006A087E" w14:paraId="6D8E8A47" w14:textId="1EA8D5B2" w:rsidTr="00EE723B">
        <w:trPr>
          <w:trHeight w:val="533"/>
        </w:trPr>
        <w:tc>
          <w:tcPr>
            <w:tcW w:w="4233" w:type="dxa"/>
          </w:tcPr>
          <w:p w14:paraId="234A1EDB" w14:textId="77777777" w:rsidR="00EE723B" w:rsidRPr="006A087E" w:rsidRDefault="00EE723B" w:rsidP="00EE723B">
            <w:pPr>
              <w:pStyle w:val="BodyText"/>
            </w:pPr>
            <w:r w:rsidRPr="006A087E">
              <w:t>Symbol (Scope B)</w:t>
            </w:r>
          </w:p>
        </w:tc>
        <w:tc>
          <w:tcPr>
            <w:tcW w:w="3729" w:type="dxa"/>
          </w:tcPr>
          <w:p w14:paraId="4E1AD37F" w14:textId="6E42568E" w:rsidR="00EE723B" w:rsidRPr="006A087E" w:rsidRDefault="00FD25D5" w:rsidP="00EE723B">
            <w:pPr>
              <w:pStyle w:val="BodyText"/>
            </w:pPr>
            <w:proofErr w:type="spellStart"/>
            <w:r w:rsidRPr="00FD25D5">
              <w:t>φ_</w:t>
            </w:r>
            <w:proofErr w:type="gramStart"/>
            <w:r w:rsidRPr="00FD25D5">
              <w:t>inf</w:t>
            </w:r>
            <w:r w:rsidR="00EE723B" w:rsidRPr="006A087E">
              <w:t>,dominant</w:t>
            </w:r>
            <w:proofErr w:type="spellEnd"/>
            <w:proofErr w:type="gramEnd"/>
          </w:p>
        </w:tc>
      </w:tr>
      <w:tr w:rsidR="00EE723B" w:rsidRPr="006A087E" w14:paraId="2915B86C" w14:textId="4C4BE321" w:rsidTr="00EE723B">
        <w:trPr>
          <w:trHeight w:val="533"/>
        </w:trPr>
        <w:tc>
          <w:tcPr>
            <w:tcW w:w="4233" w:type="dxa"/>
          </w:tcPr>
          <w:p w14:paraId="105BB404" w14:textId="77777777" w:rsidR="00EE723B" w:rsidRPr="006A087E" w:rsidRDefault="00EE723B" w:rsidP="00EE723B">
            <w:pPr>
              <w:pStyle w:val="BodyText"/>
            </w:pPr>
            <w:r w:rsidRPr="006A087E">
              <w:t>Central (Scope A)</w:t>
            </w:r>
          </w:p>
        </w:tc>
        <w:tc>
          <w:tcPr>
            <w:tcW w:w="3729" w:type="dxa"/>
          </w:tcPr>
          <w:p w14:paraId="1655563D" w14:textId="653DF959" w:rsidR="00EE723B" w:rsidRPr="006A087E" w:rsidRDefault="00EE723B" w:rsidP="00EE723B">
            <w:pPr>
              <w:pStyle w:val="BodyText"/>
            </w:pPr>
            <w:r w:rsidRPr="006A087E">
              <w:t>0.43</w:t>
            </w:r>
          </w:p>
        </w:tc>
      </w:tr>
      <w:tr w:rsidR="00EE723B" w:rsidRPr="006A087E" w14:paraId="568F8ACE" w14:textId="3CFE4E42" w:rsidTr="00EE723B">
        <w:trPr>
          <w:trHeight w:val="533"/>
        </w:trPr>
        <w:tc>
          <w:tcPr>
            <w:tcW w:w="4233" w:type="dxa"/>
          </w:tcPr>
          <w:p w14:paraId="4150DF33" w14:textId="77777777" w:rsidR="00EE723B" w:rsidRPr="006A087E" w:rsidRDefault="00EE723B" w:rsidP="00EE723B">
            <w:pPr>
              <w:pStyle w:val="BodyText"/>
            </w:pPr>
            <w:r w:rsidRPr="006A087E">
              <w:t xml:space="preserve">Range </w:t>
            </w:r>
            <w:proofErr w:type="gramStart"/>
            <w:r w:rsidRPr="006A087E">
              <w:t>( Scope</w:t>
            </w:r>
            <w:proofErr w:type="gramEnd"/>
            <w:r w:rsidRPr="006A087E">
              <w:t xml:space="preserve"> A)</w:t>
            </w:r>
          </w:p>
        </w:tc>
        <w:tc>
          <w:tcPr>
            <w:tcW w:w="3729" w:type="dxa"/>
          </w:tcPr>
          <w:p w14:paraId="030D0E5A" w14:textId="1593AF40" w:rsidR="00EE723B" w:rsidRPr="006A087E" w:rsidRDefault="00EE723B" w:rsidP="00EE723B">
            <w:pPr>
              <w:pStyle w:val="BodyText"/>
            </w:pPr>
            <w:r w:rsidRPr="006A087E">
              <w:t>[0.30, 0.50]</w:t>
            </w:r>
          </w:p>
        </w:tc>
      </w:tr>
      <w:tr w:rsidR="00EE723B" w:rsidRPr="006A087E" w14:paraId="60CDA3E7" w14:textId="4D6A1EE2" w:rsidTr="00EE723B">
        <w:trPr>
          <w:trHeight w:val="525"/>
        </w:trPr>
        <w:tc>
          <w:tcPr>
            <w:tcW w:w="4233" w:type="dxa"/>
          </w:tcPr>
          <w:p w14:paraId="5BCCF486" w14:textId="77777777" w:rsidR="00EE723B" w:rsidRPr="006A087E" w:rsidRDefault="00EE723B" w:rsidP="00EE723B">
            <w:pPr>
              <w:pStyle w:val="BodyText"/>
            </w:pPr>
            <w:r w:rsidRPr="006A087E">
              <w:t>Central (Scope B)</w:t>
            </w:r>
          </w:p>
        </w:tc>
        <w:tc>
          <w:tcPr>
            <w:tcW w:w="3729" w:type="dxa"/>
          </w:tcPr>
          <w:p w14:paraId="7B2FA1AF" w14:textId="5DB6F939" w:rsidR="00EE723B" w:rsidRPr="006A087E" w:rsidRDefault="00EE723B" w:rsidP="00EE723B">
            <w:pPr>
              <w:pStyle w:val="BodyText"/>
            </w:pPr>
            <w:r w:rsidRPr="006A087E">
              <w:t>0.70</w:t>
            </w:r>
          </w:p>
        </w:tc>
      </w:tr>
      <w:tr w:rsidR="00EE723B" w:rsidRPr="006A087E" w14:paraId="7673BEEE" w14:textId="100A4386" w:rsidTr="00EE723B">
        <w:trPr>
          <w:trHeight w:val="533"/>
        </w:trPr>
        <w:tc>
          <w:tcPr>
            <w:tcW w:w="4233" w:type="dxa"/>
          </w:tcPr>
          <w:p w14:paraId="4C15ABFC" w14:textId="77777777" w:rsidR="00EE723B" w:rsidRPr="006A087E" w:rsidRDefault="00EE723B" w:rsidP="00EE723B">
            <w:pPr>
              <w:pStyle w:val="BodyText"/>
            </w:pPr>
            <w:r w:rsidRPr="006A087E">
              <w:t xml:space="preserve">Range </w:t>
            </w:r>
            <w:proofErr w:type="gramStart"/>
            <w:r w:rsidRPr="006A087E">
              <w:t>( Scope</w:t>
            </w:r>
            <w:proofErr w:type="gramEnd"/>
            <w:r w:rsidRPr="006A087E">
              <w:t xml:space="preserve"> B)</w:t>
            </w:r>
          </w:p>
        </w:tc>
        <w:tc>
          <w:tcPr>
            <w:tcW w:w="3729" w:type="dxa"/>
          </w:tcPr>
          <w:p w14:paraId="74CD27C5" w14:textId="4F83EAC7" w:rsidR="00EE723B" w:rsidRPr="006A087E" w:rsidRDefault="00EE723B" w:rsidP="00EE723B">
            <w:pPr>
              <w:pStyle w:val="BodyText"/>
            </w:pPr>
            <w:r w:rsidRPr="006A087E">
              <w:t>[0.60,0.85]</w:t>
            </w:r>
          </w:p>
        </w:tc>
      </w:tr>
      <w:tr w:rsidR="00EE723B" w:rsidRPr="006A087E" w14:paraId="6AFF9DE2" w14:textId="67C8FEA5" w:rsidTr="00EE723B">
        <w:trPr>
          <w:trHeight w:val="533"/>
        </w:trPr>
        <w:tc>
          <w:tcPr>
            <w:tcW w:w="4233" w:type="dxa"/>
          </w:tcPr>
          <w:p w14:paraId="5170AF3D" w14:textId="77777777" w:rsidR="00EE723B" w:rsidRPr="006A087E" w:rsidRDefault="00EE723B" w:rsidP="00EE723B">
            <w:pPr>
              <w:pStyle w:val="BodyText"/>
            </w:pPr>
            <w:r w:rsidRPr="006A087E">
              <w:t xml:space="preserve">Grounding </w:t>
            </w:r>
            <w:proofErr w:type="gramStart"/>
            <w:r w:rsidRPr="006A087E">
              <w:t>( Scope</w:t>
            </w:r>
            <w:proofErr w:type="gramEnd"/>
            <w:r w:rsidRPr="006A087E">
              <w:t xml:space="preserve"> A)</w:t>
            </w:r>
          </w:p>
        </w:tc>
        <w:tc>
          <w:tcPr>
            <w:tcW w:w="3729" w:type="dxa"/>
          </w:tcPr>
          <w:p w14:paraId="24DDDF8D" w14:textId="12D2C3CA" w:rsidR="00EE723B" w:rsidRPr="006A087E" w:rsidRDefault="00EE723B" w:rsidP="00EE723B">
            <w:pPr>
              <w:pStyle w:val="BodyText"/>
            </w:pPr>
            <w:r w:rsidRPr="006A087E">
              <w:t>DATA</w:t>
            </w:r>
          </w:p>
        </w:tc>
      </w:tr>
      <w:tr w:rsidR="00EE723B" w:rsidRPr="006A087E" w14:paraId="4CD98B38" w14:textId="3E72DC45" w:rsidTr="00EE723B">
        <w:trPr>
          <w:trHeight w:val="533"/>
        </w:trPr>
        <w:tc>
          <w:tcPr>
            <w:tcW w:w="4233" w:type="dxa"/>
          </w:tcPr>
          <w:p w14:paraId="6B58E86D" w14:textId="77777777" w:rsidR="00EE723B" w:rsidRPr="006A087E" w:rsidRDefault="00EE723B" w:rsidP="00EE723B">
            <w:pPr>
              <w:pStyle w:val="BodyText"/>
            </w:pPr>
            <w:r w:rsidRPr="006A087E">
              <w:t>Grounding (Scope B)</w:t>
            </w:r>
          </w:p>
        </w:tc>
        <w:tc>
          <w:tcPr>
            <w:tcW w:w="3729" w:type="dxa"/>
          </w:tcPr>
          <w:p w14:paraId="57791A22" w14:textId="3AADDAA6" w:rsidR="00EE723B" w:rsidRPr="006A087E" w:rsidRDefault="00EE723B" w:rsidP="00EE723B">
            <w:pPr>
              <w:pStyle w:val="BodyText"/>
            </w:pPr>
            <w:r w:rsidRPr="005E5072">
              <w:t>STRUCTURAL</w:t>
            </w:r>
          </w:p>
        </w:tc>
      </w:tr>
    </w:tbl>
    <w:p w14:paraId="7152ACDF" w14:textId="77777777" w:rsidR="00A958A3" w:rsidRDefault="00A958A3" w:rsidP="00A958A3">
      <w:pPr>
        <w:pStyle w:val="Compact"/>
        <w:ind w:left="720"/>
      </w:pPr>
      <w:bookmarkStart w:id="2" w:name="source-side-parameters"/>
      <w:bookmarkStart w:id="3" w:name="s1-workload-candidacy"/>
      <w:bookmarkStart w:id="4" w:name="Xc75443290cc10df727b808e1f2c4467a5ce995a"/>
      <w:bookmarkEnd w:id="1"/>
    </w:p>
    <w:bookmarkEnd w:id="0"/>
    <w:bookmarkEnd w:id="2"/>
    <w:bookmarkEnd w:id="3"/>
    <w:bookmarkEnd w:id="4"/>
    <w:p w14:paraId="36586A72" w14:textId="7FE7CC2A" w:rsidR="000B7531" w:rsidRPr="000B7531" w:rsidRDefault="000B7531" w:rsidP="000B7531">
      <w:pPr>
        <w:pStyle w:val="Compact"/>
      </w:pPr>
      <w:r w:rsidRPr="000B7531">
        <w:rPr>
          <w:b/>
          <w:bCs/>
        </w:rPr>
        <w:t>What</w:t>
      </w:r>
      <w:r>
        <w:rPr>
          <w:b/>
          <w:bCs/>
        </w:rPr>
        <w:t xml:space="preserve"> </w:t>
      </w:r>
      <w:proofErr w:type="spellStart"/>
      <w:r w:rsidRPr="00414623">
        <w:rPr>
          <w:b/>
          <w:bCs/>
        </w:rPr>
        <w:t>φ_inf</w:t>
      </w:r>
      <w:proofErr w:type="spellEnd"/>
      <w:r w:rsidRPr="000B7531">
        <w:rPr>
          <w:b/>
          <w:bCs/>
        </w:rPr>
        <w:t xml:space="preserve"> </w:t>
      </w:r>
      <w:r w:rsidRPr="000B7531">
        <w:rPr>
          <w:b/>
          <w:bCs/>
        </w:rPr>
        <w:t xml:space="preserve">measures. </w:t>
      </w:r>
      <w:r w:rsidRPr="000B7531">
        <w:t>Of facility nameplate IT compute, what fraction is AI inference</w:t>
      </w:r>
    </w:p>
    <w:p w14:paraId="78F85860" w14:textId="129897B3" w:rsidR="000B7531" w:rsidRPr="000B7531" w:rsidRDefault="000B7531" w:rsidP="000B7531">
      <w:pPr>
        <w:pStyle w:val="Compact"/>
      </w:pPr>
      <w:r w:rsidRPr="000B7531">
        <w:t xml:space="preserve">workload that participates in the framework's three mechanism </w:t>
      </w:r>
      <w:proofErr w:type="gramStart"/>
      <w:r w:rsidRPr="000B7531">
        <w:t>mini-cascades</w:t>
      </w:r>
      <w:proofErr w:type="gramEnd"/>
      <w:r w:rsidRPr="000B7531">
        <w:t xml:space="preserve">? </w:t>
      </w:r>
      <w:proofErr w:type="spellStart"/>
      <w:r w:rsidRPr="000B7531">
        <w:t>φ_inf</w:t>
      </w:r>
      <w:proofErr w:type="spellEnd"/>
      <w:r w:rsidRPr="000B7531">
        <w:t xml:space="preserve"> is</w:t>
      </w:r>
    </w:p>
    <w:p w14:paraId="492925A2" w14:textId="77777777" w:rsidR="00DE5F02" w:rsidRDefault="000B7531" w:rsidP="000A6FDA">
      <w:pPr>
        <w:pStyle w:val="Compact"/>
      </w:pPr>
      <w:r w:rsidRPr="000B7531">
        <w:t>applied at the MW translation layer:</w:t>
      </w:r>
      <w:r>
        <w:br/>
      </w:r>
      <m:oMathPara>
        <m:oMath>
          <m:r>
            <w:rPr>
              <w:rFonts w:ascii="Cambria Math" w:hAnsi="Cambria Math"/>
              <w:color w:val="1F497D" w:themeColor="text2"/>
            </w:rPr>
            <m:t xml:space="preserve">Facility Inference </m:t>
          </m:r>
          <m:r>
            <w:rPr>
              <w:rFonts w:ascii="Cambria Math" w:hAnsi="Cambria Math"/>
              <w:color w:val="1F497D" w:themeColor="text2"/>
            </w:rPr>
            <m:t xml:space="preserve">MW= nameplate </m:t>
          </m:r>
          <m:r>
            <w:rPr>
              <w:rFonts w:ascii="Cambria Math" w:hAnsi="Cambria Math"/>
              <w:color w:val="1F497D" w:themeColor="text2"/>
            </w:rPr>
            <m:t>×</m:t>
          </m:r>
          <m:r>
            <w:rPr>
              <w:rFonts w:ascii="Cambria Math" w:hAnsi="Cambria Math"/>
              <w:color w:val="1F497D" w:themeColor="text2"/>
            </w:rPr>
            <m:t xml:space="preserve"> </m:t>
          </m:r>
          <m:d>
            <m:dPr>
              <m:ctrlPr>
                <w:rPr>
                  <w:rFonts w:ascii="Cambria Math" w:hAnsi="Cambria Math"/>
                  <w:i/>
                  <w:color w:val="1F497D" w:themeColor="text2"/>
                </w:rPr>
              </m:ctrlPr>
            </m:dPr>
            <m:e>
              <m:f>
                <m:fPr>
                  <m:ctrlPr>
                    <w:rPr>
                      <w:rFonts w:ascii="Cambria Math" w:hAnsi="Cambria Math"/>
                      <w:i/>
                      <w:color w:val="1F497D" w:themeColor="text2"/>
                    </w:rPr>
                  </m:ctrlPr>
                </m:fPr>
                <m:num>
                  <m:r>
                    <w:rPr>
                      <w:rFonts w:ascii="Cambria Math" w:hAnsi="Cambria Math"/>
                      <w:color w:val="1F497D" w:themeColor="text2"/>
                    </w:rPr>
                    <m:t>1</m:t>
                  </m:r>
                </m:num>
                <m:den>
                  <m:r>
                    <w:rPr>
                      <w:rFonts w:ascii="Cambria Math" w:hAnsi="Cambria Math"/>
                      <w:color w:val="1F497D" w:themeColor="text2"/>
                    </w:rPr>
                    <m:t>PUE</m:t>
                  </m:r>
                </m:den>
              </m:f>
            </m:e>
          </m:d>
          <m:r>
            <w:rPr>
              <w:rFonts w:ascii="Cambria Math" w:hAnsi="Cambria Math"/>
              <w:color w:val="1F497D" w:themeColor="text2"/>
            </w:rPr>
            <m:t>×</m:t>
          </m:r>
          <m:r>
            <w:rPr>
              <w:rFonts w:ascii="Cambria Math" w:hAnsi="Cambria Math"/>
              <w:color w:val="1F497D" w:themeColor="text2"/>
            </w:rPr>
            <m:t xml:space="preserve"> </m:t>
          </m:r>
          <m:sSub>
            <m:sSubPr>
              <m:ctrlPr>
                <w:rPr>
                  <w:rFonts w:ascii="Cambria Math" w:hAnsi="Cambria Math"/>
                  <w:i/>
                  <w:color w:val="1F497D" w:themeColor="text2"/>
                </w:rPr>
              </m:ctrlPr>
            </m:sSubPr>
            <m:e>
              <m:r>
                <w:rPr>
                  <w:rFonts w:ascii="Cambria Math" w:hAnsi="Cambria Math"/>
                  <w:color w:val="1F497D" w:themeColor="text2"/>
                </w:rPr>
                <m:t>φ</m:t>
              </m:r>
            </m:e>
            <m:sub>
              <m:r>
                <w:rPr>
                  <w:rFonts w:ascii="Cambria Math" w:hAnsi="Cambria Math"/>
                  <w:color w:val="1F497D" w:themeColor="text2"/>
                </w:rPr>
                <m:t>inf</m:t>
              </m:r>
            </m:sub>
          </m:sSub>
          <m:r>
            <w:rPr>
              <w:b/>
              <w:bCs/>
            </w:rPr>
            <w:br/>
          </m:r>
        </m:oMath>
      </m:oMathPara>
      <w:r w:rsidR="000E54D8">
        <w:rPr>
          <w:b/>
          <w:bCs/>
        </w:rPr>
        <w:t>S</w:t>
      </w:r>
      <w:r w:rsidRPr="000B7531">
        <w:rPr>
          <w:b/>
          <w:bCs/>
        </w:rPr>
        <w:t xml:space="preserve">cope A grounding (mixed-use, 0.43). </w:t>
      </w:r>
      <w:r w:rsidRPr="000B7531">
        <w:t xml:space="preserve">McKinsey's December 2025 report "The next big </w:t>
      </w:r>
      <w:r w:rsidRPr="000B7531">
        <w:lastRenderedPageBreak/>
        <w:t>shifts</w:t>
      </w:r>
      <w:r w:rsidR="00D70E48">
        <w:t xml:space="preserve"> </w:t>
      </w:r>
      <w:r w:rsidRPr="000B7531">
        <w:t xml:space="preserve">in AI workloads and </w:t>
      </w:r>
      <w:proofErr w:type="spellStart"/>
      <w:r w:rsidRPr="000B7531">
        <w:t>hyperscaler</w:t>
      </w:r>
      <w:proofErr w:type="spellEnd"/>
      <w:r w:rsidRPr="000B7531">
        <w:t xml:space="preserve"> strategies" projects inference at 93.3 GW of 219 GW total datacenter</w:t>
      </w:r>
      <w:r w:rsidR="00D70E48">
        <w:t xml:space="preserve"> </w:t>
      </w:r>
      <w:r w:rsidRPr="000B7531">
        <w:t>demand in 2030 (42.6%, base case). The exhibit title states explicitly: "Inference</w:t>
      </w:r>
      <w:r w:rsidR="00D70E48">
        <w:t xml:space="preserve"> </w:t>
      </w:r>
      <w:r w:rsidRPr="000B7531">
        <w:t>workloads could make up more than 40 percent of data center demand in 2030." McKinsey p. 3</w:t>
      </w:r>
      <w:r w:rsidR="00D70E48">
        <w:t xml:space="preserve"> </w:t>
      </w:r>
      <w:r w:rsidRPr="000B7531">
        <w:t>verbatim: "approximately 70 percent of demand for new core campuses is for 'colocation'</w:t>
      </w:r>
      <w:r w:rsidR="00D70E48">
        <w:t xml:space="preserve"> </w:t>
      </w:r>
      <w:r w:rsidRPr="000B7531">
        <w:t>facilities supporting both AI and traditional workloads." Scope A captures this fleet-average</w:t>
      </w:r>
      <w:r w:rsidR="00D70E48">
        <w:t xml:space="preserve"> </w:t>
      </w:r>
      <w:r w:rsidRPr="000B7531">
        <w:t xml:space="preserve">composition: the typical mixed-use </w:t>
      </w:r>
      <w:proofErr w:type="spellStart"/>
      <w:r w:rsidRPr="000B7531">
        <w:t>hyperscaler</w:t>
      </w:r>
      <w:proofErr w:type="spellEnd"/>
      <w:r w:rsidRPr="000B7531">
        <w:t xml:space="preserve"> colocation facility serving inference alongside</w:t>
      </w:r>
      <w:r w:rsidR="00D70E48">
        <w:t xml:space="preserve"> </w:t>
      </w:r>
      <w:r w:rsidRPr="000B7531">
        <w:t>training, traditional cloud, and enterprise workloads. The remainder</w:t>
      </w:r>
      <w:r w:rsidRPr="000B7531">
        <w:t xml:space="preserve"> </w:t>
      </w:r>
      <w:r w:rsidR="000A6FDA" w:rsidRPr="000A6FDA">
        <w:t>(57%) is treated as</w:t>
      </w:r>
      <w:r w:rsidR="00D70E48">
        <w:t xml:space="preserve"> </w:t>
      </w:r>
      <w:r w:rsidR="000A6FDA" w:rsidRPr="000A6FDA">
        <w:t>inflexible or outside the framework's analytical scope.</w:t>
      </w:r>
    </w:p>
    <w:p w14:paraId="66620C36" w14:textId="77777777" w:rsidR="00DE5F02" w:rsidRDefault="00DE5F02" w:rsidP="000A6FDA">
      <w:pPr>
        <w:pStyle w:val="Compact"/>
        <w:rPr>
          <w:b/>
          <w:bCs/>
        </w:rPr>
      </w:pPr>
    </w:p>
    <w:p w14:paraId="2C7C8506" w14:textId="71E5B417" w:rsidR="000A6FDA" w:rsidRDefault="000A6FDA" w:rsidP="000A6FDA">
      <w:pPr>
        <w:pStyle w:val="Compact"/>
      </w:pPr>
      <w:r w:rsidRPr="000A6FDA">
        <w:rPr>
          <w:b/>
          <w:bCs/>
        </w:rPr>
        <w:t xml:space="preserve">Scope B grounding (inference-dominant, 0.70). </w:t>
      </w:r>
      <w:r w:rsidRPr="000A6FDA">
        <w:t>Scope B represents purpose-built or majority</w:t>
      </w:r>
      <w:r w:rsidR="00DE5F02">
        <w:t xml:space="preserve"> </w:t>
      </w:r>
      <w:r w:rsidRPr="000A6FDA">
        <w:t>dedicated</w:t>
      </w:r>
      <w:r w:rsidR="00DE5F02">
        <w:t xml:space="preserve"> </w:t>
      </w:r>
      <w:r w:rsidRPr="000A6FDA">
        <w:t>AI inference facilities. The grounding is structural rather than empirical-fleet</w:t>
      </w:r>
      <w:r w:rsidR="00DE5F02">
        <w:t xml:space="preserve"> </w:t>
      </w:r>
      <w:r w:rsidRPr="000A6FDA">
        <w:t>average.</w:t>
      </w:r>
      <w:r w:rsidR="00DE5F02">
        <w:t xml:space="preserve"> </w:t>
      </w:r>
      <w:r w:rsidRPr="000A6FDA">
        <w:t>Anchors: (a) the IEA 2025 Energy and AI report's framing of "Al-focused HPC" as a</w:t>
      </w:r>
      <w:r w:rsidR="00DE5F02">
        <w:t xml:space="preserve"> </w:t>
      </w:r>
      <w:r w:rsidRPr="000A6FDA">
        <w:t>distinct facility class with utilization, flexibility, and operational characteristics distinct from</w:t>
      </w:r>
      <w:r w:rsidR="00DE5F02">
        <w:t xml:space="preserve"> </w:t>
      </w:r>
      <w:r w:rsidRPr="000A6FDA">
        <w:t>general-purpose data centers; (b) Zhou et al. 's 2024 empirical finding that AI-focused HPC data</w:t>
      </w:r>
      <w:r w:rsidR="00DE5F02">
        <w:t xml:space="preserve"> </w:t>
      </w:r>
      <w:r w:rsidRPr="000A6FDA">
        <w:t>centers operate at mean utilization 70-80% with low variance, structurally distinct from</w:t>
      </w:r>
      <w:r w:rsidR="00DE5F02">
        <w:t xml:space="preserve"> </w:t>
      </w:r>
      <w:r w:rsidRPr="000A6FDA">
        <w:t xml:space="preserve">general-purpose HPC; (c) industry direction signal in </w:t>
      </w:r>
      <w:proofErr w:type="spellStart"/>
      <w:r w:rsidRPr="000A6FDA">
        <w:t>hyperscaler</w:t>
      </w:r>
      <w:proofErr w:type="spellEnd"/>
      <w:r w:rsidRPr="000A6FDA">
        <w:t xml:space="preserve"> purpose-built AI campuses</w:t>
      </w:r>
      <w:r w:rsidR="00DE5F02">
        <w:t xml:space="preserve"> </w:t>
      </w:r>
      <w:r w:rsidRPr="000A6FDA">
        <w:t>(</w:t>
      </w:r>
      <w:proofErr w:type="spellStart"/>
      <w:r w:rsidRPr="000A6FDA">
        <w:t>xAI</w:t>
      </w:r>
      <w:proofErr w:type="spellEnd"/>
      <w:r w:rsidRPr="000A6FDA">
        <w:t xml:space="preserve"> Colossus Memphis, Meta Hyperion Louisiana, Stargate). The range [0.60, 0.85] reflects</w:t>
      </w:r>
      <w:r w:rsidR="00DE5F02">
        <w:t xml:space="preserve"> </w:t>
      </w:r>
      <w:r w:rsidRPr="000A6FDA">
        <w:t xml:space="preserve">how aggressively a facility commits to inference-dominant </w:t>
      </w:r>
      <w:proofErr w:type="gramStart"/>
      <w:r w:rsidRPr="000A6FDA">
        <w:t>siting</w:t>
      </w:r>
      <w:proofErr w:type="gramEnd"/>
      <w:r w:rsidRPr="000A6FDA">
        <w:t>; the central value of 0.70</w:t>
      </w:r>
      <w:r w:rsidR="00DE5F02">
        <w:t xml:space="preserve"> </w:t>
      </w:r>
      <w:r w:rsidRPr="000A6FDA">
        <w:t>represents the threshold below which a facility would no longer be classified as inference</w:t>
      </w:r>
      <w:r w:rsidR="00DE5F02">
        <w:t xml:space="preserve"> </w:t>
      </w:r>
      <w:r w:rsidRPr="000A6FDA">
        <w:t>dominant.</w:t>
      </w:r>
    </w:p>
    <w:p w14:paraId="2FE44218" w14:textId="77777777" w:rsidR="00DE5F02" w:rsidRPr="000A6FDA" w:rsidRDefault="00DE5F02" w:rsidP="000A6FDA">
      <w:pPr>
        <w:pStyle w:val="Compact"/>
      </w:pPr>
    </w:p>
    <w:p w14:paraId="4A2AE495" w14:textId="4C00FA99" w:rsidR="000A6FDA" w:rsidRPr="000A6FDA" w:rsidRDefault="000A6FDA" w:rsidP="000A6FDA">
      <w:pPr>
        <w:pStyle w:val="Compact"/>
      </w:pPr>
      <w:r w:rsidRPr="000A6FDA">
        <w:rPr>
          <w:b/>
          <w:bCs/>
        </w:rPr>
        <w:t xml:space="preserve">Why two scopes, reported in parallel. </w:t>
      </w:r>
      <w:r w:rsidRPr="000A6FDA">
        <w:t>Single-scope reporting forces a choice between a fleet</w:t>
      </w:r>
      <w:r w:rsidR="00DE5F02">
        <w:t xml:space="preserve"> </w:t>
      </w:r>
      <w:r w:rsidRPr="000A6FDA">
        <w:t>average</w:t>
      </w:r>
      <w:r w:rsidR="00DE5F02">
        <w:t xml:space="preserve"> </w:t>
      </w:r>
      <w:r w:rsidRPr="000A6FDA">
        <w:t xml:space="preserve">that understates the upper envelope reachable by purpose-built </w:t>
      </w:r>
      <w:proofErr w:type="gramStart"/>
      <w:r w:rsidRPr="000A6FDA">
        <w:t>siting</w:t>
      </w:r>
      <w:proofErr w:type="gramEnd"/>
      <w:r w:rsidRPr="000A6FDA">
        <w:t xml:space="preserve">, and a </w:t>
      </w:r>
      <w:proofErr w:type="gramStart"/>
      <w:r w:rsidRPr="000A6FDA">
        <w:t>purpose</w:t>
      </w:r>
      <w:r w:rsidR="00DE5F02">
        <w:t xml:space="preserve"> </w:t>
      </w:r>
      <w:r w:rsidRPr="000A6FDA">
        <w:t>built</w:t>
      </w:r>
      <w:proofErr w:type="gramEnd"/>
      <w:r w:rsidR="00DE5F02">
        <w:t xml:space="preserve"> </w:t>
      </w:r>
      <w:r w:rsidRPr="000A6FDA">
        <w:t>scenario that overstates fleet-average commitment depth. Both choices are unfaithful to</w:t>
      </w:r>
      <w:r w:rsidR="00DE5F02">
        <w:t xml:space="preserve"> </w:t>
      </w:r>
      <w:r w:rsidRPr="000A6FDA">
        <w:t>the projected fleet composition. Reporting both in parallel is more honest than collapsing to a</w:t>
      </w:r>
      <w:r w:rsidR="00DE5F02">
        <w:t xml:space="preserve"> </w:t>
      </w:r>
      <w:r w:rsidRPr="000A6FDA">
        <w:t>single scope and allows the difference between the two - the marginal flexibility gain from</w:t>
      </w:r>
      <w:r w:rsidR="00DE5F02">
        <w:t xml:space="preserve"> </w:t>
      </w:r>
      <w:r w:rsidRPr="000A6FDA">
        <w:t xml:space="preserve">inference-dominant </w:t>
      </w:r>
      <w:proofErr w:type="gramStart"/>
      <w:r w:rsidRPr="000A6FDA">
        <w:t>siting</w:t>
      </w:r>
      <w:proofErr w:type="gramEnd"/>
      <w:r w:rsidRPr="000A6FDA">
        <w:t xml:space="preserve"> decisions - to be read directly off the commitment-depth</w:t>
      </w:r>
      <w:r w:rsidR="00DE5F02">
        <w:t xml:space="preserve"> </w:t>
      </w:r>
      <w:r w:rsidRPr="000A6FDA">
        <w:t>comparison. This is itself a policy finding: facility-class composition is a tractable lever, not a</w:t>
      </w:r>
      <w:r w:rsidR="00DE5F02">
        <w:t xml:space="preserve"> </w:t>
      </w:r>
      <w:r w:rsidRPr="000A6FDA">
        <w:t>fixed exogenous condition.</w:t>
      </w:r>
    </w:p>
    <w:p w14:paraId="34A2F763" w14:textId="77777777" w:rsidR="00DE5F02" w:rsidRDefault="00DE5F02" w:rsidP="000A6FDA">
      <w:pPr>
        <w:pStyle w:val="Compact"/>
        <w:rPr>
          <w:b/>
          <w:bCs/>
        </w:rPr>
      </w:pPr>
    </w:p>
    <w:p w14:paraId="3C1DD64F" w14:textId="5BAFA93F" w:rsidR="00DC24CA" w:rsidRDefault="000A6FDA" w:rsidP="00DC24CA">
      <w:pPr>
        <w:pStyle w:val="Compact"/>
        <w:pBdr>
          <w:bottom w:val="single" w:sz="12" w:space="1" w:color="auto"/>
        </w:pBdr>
      </w:pPr>
      <w:r w:rsidRPr="000A6FDA">
        <w:rPr>
          <w:b/>
          <w:bCs/>
        </w:rPr>
        <w:t xml:space="preserve">Why D4 from the prior framework is dropped. </w:t>
      </w:r>
      <w:r w:rsidRPr="000A6FDA">
        <w:t>The prior framework included a destination</w:t>
      </w:r>
      <w:r w:rsidR="00DE5F02">
        <w:t xml:space="preserve"> </w:t>
      </w:r>
      <w:r w:rsidRPr="000A6FDA">
        <w:t>side</w:t>
      </w:r>
      <w:r w:rsidR="00DE5F02">
        <w:t xml:space="preserve"> </w:t>
      </w:r>
      <w:r w:rsidRPr="000A6FDA">
        <w:t>parameter (D4, 0.50) discounting destination compute by inference share. Under the</w:t>
      </w:r>
      <w:r w:rsidR="00DE5F02">
        <w:t xml:space="preserve"> </w:t>
      </w:r>
      <w:r w:rsidRPr="000A6FDA">
        <w:t>unified-scope reading where source and destination facilities are drawn from the same scope</w:t>
      </w:r>
      <w:r w:rsidR="00DE5F02">
        <w:t xml:space="preserve"> </w:t>
      </w:r>
      <w:r w:rsidRPr="000A6FDA">
        <w:t xml:space="preserve">scenario, D4 is redundant with </w:t>
      </w:r>
      <w:proofErr w:type="spellStart"/>
      <w:r w:rsidR="00DE5F02" w:rsidRPr="00DE5F02">
        <w:t>φ_inf</w:t>
      </w:r>
      <w:proofErr w:type="spellEnd"/>
      <w:r w:rsidR="00DE5F02" w:rsidRPr="000A6FDA">
        <w:t xml:space="preserve"> </w:t>
      </w:r>
      <w:r w:rsidRPr="000A6FDA">
        <w:t>and creates a double-discount on the destination side.</w:t>
      </w:r>
    </w:p>
    <w:p w14:paraId="2A8B0321" w14:textId="77777777" w:rsidR="00B8415C" w:rsidRDefault="00B8415C" w:rsidP="00DC24CA">
      <w:pPr>
        <w:pStyle w:val="Compact"/>
        <w:pBdr>
          <w:bottom w:val="single" w:sz="12" w:space="1" w:color="auto"/>
        </w:pBdr>
      </w:pPr>
    </w:p>
    <w:p w14:paraId="41833D19" w14:textId="77777777" w:rsidR="00B8415C" w:rsidRDefault="00B8415C" w:rsidP="00DC24CA">
      <w:pPr>
        <w:pStyle w:val="Compact"/>
      </w:pPr>
    </w:p>
    <w:p w14:paraId="138030BE" w14:textId="77777777" w:rsidR="00DC24CA" w:rsidRDefault="00DC24CA" w:rsidP="00DC24CA">
      <w:pPr>
        <w:pStyle w:val="Compact"/>
      </w:pPr>
    </w:p>
    <w:p w14:paraId="56253E99" w14:textId="77777777" w:rsidR="00B8415C" w:rsidRDefault="00B8415C" w:rsidP="00DC24CA">
      <w:pPr>
        <w:pStyle w:val="Compact"/>
      </w:pPr>
    </w:p>
    <w:p w14:paraId="2B5F11C3" w14:textId="77777777" w:rsidR="00B8415C" w:rsidRDefault="00B8415C" w:rsidP="00DC24CA">
      <w:pPr>
        <w:pStyle w:val="Compact"/>
      </w:pPr>
    </w:p>
    <w:p w14:paraId="1FD4BB5B" w14:textId="77777777" w:rsidR="00B8415C" w:rsidRDefault="00B8415C" w:rsidP="00DC24CA">
      <w:pPr>
        <w:pStyle w:val="Compact"/>
      </w:pPr>
    </w:p>
    <w:p w14:paraId="71D0B94B" w14:textId="77777777" w:rsidR="00B8415C" w:rsidRDefault="00B8415C" w:rsidP="00DC24CA">
      <w:pPr>
        <w:pStyle w:val="Compact"/>
      </w:pPr>
    </w:p>
    <w:p w14:paraId="0967AC68" w14:textId="77777777" w:rsidR="00B8415C" w:rsidRDefault="00B8415C" w:rsidP="00DC24CA">
      <w:pPr>
        <w:pStyle w:val="Compact"/>
      </w:pPr>
    </w:p>
    <w:p w14:paraId="56E25AAB" w14:textId="055DF1B4" w:rsidR="00DC24CA" w:rsidRDefault="00DC24CA" w:rsidP="00DC24CA">
      <w:pPr>
        <w:rPr>
          <w:b/>
          <w:bCs/>
          <w:sz w:val="28"/>
          <w:szCs w:val="28"/>
        </w:rPr>
      </w:pPr>
      <w:r>
        <w:rPr>
          <w:b/>
          <w:bCs/>
          <w:sz w:val="28"/>
          <w:szCs w:val="28"/>
        </w:rPr>
        <w:t>3</w:t>
      </w:r>
      <w:r w:rsidRPr="000B2C9D">
        <w:rPr>
          <w:b/>
          <w:bCs/>
          <w:sz w:val="28"/>
          <w:szCs w:val="28"/>
        </w:rPr>
        <w:t xml:space="preserve">. </w:t>
      </w:r>
      <w:r>
        <w:rPr>
          <w:b/>
          <w:bCs/>
          <w:sz w:val="28"/>
          <w:szCs w:val="28"/>
        </w:rPr>
        <w:t>Spatial Migration Mini-Cascade (six parameters)</w:t>
      </w:r>
    </w:p>
    <w:p w14:paraId="1A07E987" w14:textId="77777777" w:rsidR="00C16BC5" w:rsidRPr="00C16BC5" w:rsidRDefault="00C16BC5" w:rsidP="00C16BC5">
      <w:pPr>
        <w:rPr>
          <w:b/>
          <w:bCs/>
        </w:rPr>
      </w:pPr>
      <w:proofErr w:type="spellStart"/>
      <w:r w:rsidRPr="00C16BC5">
        <w:rPr>
          <w:b/>
          <w:bCs/>
        </w:rPr>
        <w:t>MIG_elig</w:t>
      </w:r>
      <w:proofErr w:type="spellEnd"/>
      <w:r w:rsidRPr="00C16BC5">
        <w:rPr>
          <w:b/>
          <w:bCs/>
        </w:rPr>
        <w:t xml:space="preserve"> - Migration eligibility</w:t>
      </w:r>
    </w:p>
    <w:tbl>
      <w:tblPr>
        <w:tblStyle w:val="TableGrid"/>
        <w:tblW w:w="0" w:type="auto"/>
        <w:tblLook w:val="04A0" w:firstRow="1" w:lastRow="0" w:firstColumn="1" w:lastColumn="0" w:noHBand="0" w:noVBand="1"/>
      </w:tblPr>
      <w:tblGrid>
        <w:gridCol w:w="4996"/>
        <w:gridCol w:w="4354"/>
      </w:tblGrid>
      <w:tr w:rsidR="00FD25D5" w:rsidRPr="00FD25D5" w14:paraId="66EE68B2" w14:textId="6A6BE7F3" w:rsidTr="00FD25D5">
        <w:tc>
          <w:tcPr>
            <w:tcW w:w="4996" w:type="dxa"/>
            <w:shd w:val="clear" w:color="auto" w:fill="D9D9D9" w:themeFill="background1" w:themeFillShade="D9"/>
          </w:tcPr>
          <w:p w14:paraId="16200F0F" w14:textId="77777777" w:rsidR="00FD25D5" w:rsidRPr="00FD25D5" w:rsidRDefault="00FD25D5" w:rsidP="00FD25D5">
            <w:pPr>
              <w:rPr>
                <w:b/>
                <w:bCs/>
              </w:rPr>
            </w:pPr>
            <w:r w:rsidRPr="00C16BC5">
              <w:rPr>
                <w:b/>
                <w:bCs/>
              </w:rPr>
              <w:t xml:space="preserve">Attribute </w:t>
            </w:r>
          </w:p>
        </w:tc>
        <w:tc>
          <w:tcPr>
            <w:tcW w:w="4354" w:type="dxa"/>
            <w:shd w:val="clear" w:color="auto" w:fill="D9D9D9" w:themeFill="background1" w:themeFillShade="D9"/>
          </w:tcPr>
          <w:p w14:paraId="48AE5302" w14:textId="4E03BD9D" w:rsidR="00FD25D5" w:rsidRPr="00FD25D5" w:rsidRDefault="00FD25D5" w:rsidP="00FD25D5">
            <w:pPr>
              <w:rPr>
                <w:b/>
                <w:bCs/>
              </w:rPr>
            </w:pPr>
            <w:r w:rsidRPr="00C16BC5">
              <w:rPr>
                <w:b/>
                <w:bCs/>
              </w:rPr>
              <w:t>Value</w:t>
            </w:r>
          </w:p>
        </w:tc>
      </w:tr>
      <w:tr w:rsidR="00FD25D5" w:rsidRPr="00FD25D5" w14:paraId="4542DAE9" w14:textId="3FE7A850" w:rsidTr="00FD25D5">
        <w:tc>
          <w:tcPr>
            <w:tcW w:w="4996" w:type="dxa"/>
          </w:tcPr>
          <w:p w14:paraId="633361FC" w14:textId="77777777" w:rsidR="00FD25D5" w:rsidRPr="00FD25D5" w:rsidRDefault="00FD25D5" w:rsidP="00FD25D5">
            <w:r w:rsidRPr="00C16BC5">
              <w:t xml:space="preserve">Central </w:t>
            </w:r>
          </w:p>
        </w:tc>
        <w:tc>
          <w:tcPr>
            <w:tcW w:w="4354" w:type="dxa"/>
          </w:tcPr>
          <w:p w14:paraId="3530D1F1" w14:textId="008E0D66" w:rsidR="00FD25D5" w:rsidRPr="00FD25D5" w:rsidRDefault="00FD25D5" w:rsidP="00FD25D5">
            <w:r w:rsidRPr="00C16BC5">
              <w:t>0.65 (held fixed across ensembles)</w:t>
            </w:r>
          </w:p>
        </w:tc>
      </w:tr>
      <w:tr w:rsidR="00FD25D5" w:rsidRPr="00FD25D5" w14:paraId="755700D6" w14:textId="6018DB08" w:rsidTr="00FD25D5">
        <w:tc>
          <w:tcPr>
            <w:tcW w:w="4996" w:type="dxa"/>
          </w:tcPr>
          <w:p w14:paraId="30D4F8BC" w14:textId="77777777" w:rsidR="00FD25D5" w:rsidRPr="00FD25D5" w:rsidRDefault="00FD25D5" w:rsidP="00FD25D5">
            <w:r w:rsidRPr="00C16BC5">
              <w:t xml:space="preserve">Range </w:t>
            </w:r>
          </w:p>
        </w:tc>
        <w:tc>
          <w:tcPr>
            <w:tcW w:w="4354" w:type="dxa"/>
          </w:tcPr>
          <w:p w14:paraId="3497AF87" w14:textId="64A4C1F7" w:rsidR="00FD25D5" w:rsidRPr="00FD25D5" w:rsidRDefault="00FD25D5" w:rsidP="00FD25D5">
            <w:r w:rsidRPr="00C16BC5">
              <w:t>[0.45, 0.85]</w:t>
            </w:r>
          </w:p>
        </w:tc>
      </w:tr>
      <w:tr w:rsidR="00FD25D5" w:rsidRPr="00FD25D5" w14:paraId="060C522F" w14:textId="07F033DD" w:rsidTr="00FD25D5">
        <w:tc>
          <w:tcPr>
            <w:tcW w:w="4996" w:type="dxa"/>
          </w:tcPr>
          <w:p w14:paraId="25C808F4" w14:textId="77777777" w:rsidR="00FD25D5" w:rsidRPr="00FD25D5" w:rsidRDefault="00FD25D5" w:rsidP="00FD25D5">
            <w:r w:rsidRPr="00FD25D5">
              <w:t xml:space="preserve">Grounding </w:t>
            </w:r>
          </w:p>
        </w:tc>
        <w:tc>
          <w:tcPr>
            <w:tcW w:w="4354" w:type="dxa"/>
          </w:tcPr>
          <w:p w14:paraId="2502680C" w14:textId="1FB21E9D" w:rsidR="00FD25D5" w:rsidRPr="00FD25D5" w:rsidRDefault="00FD25D5" w:rsidP="00FD25D5">
            <w:r w:rsidRPr="00FD25D5">
              <w:t>MIXED: Component A DATA, Component B ESTIMATED-WEAK</w:t>
            </w:r>
          </w:p>
        </w:tc>
      </w:tr>
    </w:tbl>
    <w:p w14:paraId="4ABB79B4" w14:textId="77777777" w:rsidR="00E25EFB" w:rsidRPr="00E25EFB" w:rsidRDefault="00E25EFB" w:rsidP="00E25EFB">
      <w:pPr>
        <w:pStyle w:val="Compact"/>
      </w:pPr>
      <w:r w:rsidRPr="00E25EFB">
        <w:rPr>
          <w:b/>
          <w:bCs/>
        </w:rPr>
        <w:lastRenderedPageBreak/>
        <w:t xml:space="preserve">What </w:t>
      </w:r>
      <w:proofErr w:type="spellStart"/>
      <w:r w:rsidRPr="00E25EFB">
        <w:rPr>
          <w:b/>
          <w:bCs/>
        </w:rPr>
        <w:t>MIG_elig</w:t>
      </w:r>
      <w:proofErr w:type="spellEnd"/>
      <w:r w:rsidRPr="00E25EFB">
        <w:rPr>
          <w:b/>
          <w:bCs/>
        </w:rPr>
        <w:t xml:space="preserve"> measures. </w:t>
      </w:r>
      <w:r w:rsidRPr="00E25EFB">
        <w:t>Of source inference compute, what fraction is (a) architecturally</w:t>
      </w:r>
    </w:p>
    <w:p w14:paraId="3D04C103" w14:textId="0234C26F" w:rsidR="00E25EFB" w:rsidRDefault="00E25EFB" w:rsidP="00E25EFB">
      <w:pPr>
        <w:pStyle w:val="Compact"/>
      </w:pPr>
      <w:r w:rsidRPr="00E25EFB">
        <w:t>capable of cross-facility request routing AND (b) free from contractual or operational pinning</w:t>
      </w:r>
      <w:r>
        <w:t xml:space="preserve"> </w:t>
      </w:r>
      <w:r w:rsidRPr="00E25EFB">
        <w:t>preventing relocation?</w:t>
      </w:r>
    </w:p>
    <w:p w14:paraId="53AE9674" w14:textId="77777777" w:rsidR="00E86D31" w:rsidRPr="00E25EFB" w:rsidRDefault="00E86D31" w:rsidP="00E25EFB">
      <w:pPr>
        <w:pStyle w:val="Compact"/>
      </w:pPr>
    </w:p>
    <w:p w14:paraId="7A6D71A5" w14:textId="77777777" w:rsidR="00E25EFB" w:rsidRPr="00E25EFB" w:rsidRDefault="00E25EFB" w:rsidP="00E25EFB">
      <w:pPr>
        <w:pStyle w:val="Compact"/>
      </w:pPr>
      <w:r w:rsidRPr="00E25EFB">
        <w:rPr>
          <w:b/>
          <w:bCs/>
        </w:rPr>
        <w:t xml:space="preserve">What </w:t>
      </w:r>
      <w:proofErr w:type="spellStart"/>
      <w:r w:rsidRPr="00E25EFB">
        <w:rPr>
          <w:b/>
          <w:bCs/>
        </w:rPr>
        <w:t>MIG_elig</w:t>
      </w:r>
      <w:proofErr w:type="spellEnd"/>
      <w:r w:rsidRPr="00E25EFB">
        <w:rPr>
          <w:b/>
          <w:bCs/>
        </w:rPr>
        <w:t xml:space="preserve"> does NOT measure. </w:t>
      </w:r>
      <w:r w:rsidRPr="00E25EFB">
        <w:t>Whether destinations exist (</w:t>
      </w:r>
      <w:r w:rsidRPr="00E25EFB">
        <w:rPr>
          <w:rFonts w:ascii="Segoe UI Symbol" w:hAnsi="Segoe UI Symbol" w:cs="Segoe UI Symbol"/>
        </w:rPr>
        <w:t>➔</w:t>
      </w:r>
      <w:r w:rsidRPr="00E25EFB">
        <w:t xml:space="preserve"> DEST avail</w:t>
      </w:r>
      <w:proofErr w:type="gramStart"/>
      <w:r w:rsidRPr="00E25EFB">
        <w:t>);</w:t>
      </w:r>
      <w:proofErr w:type="gramEnd"/>
      <w:r w:rsidRPr="00E25EFB">
        <w:t xml:space="preserve"> drain</w:t>
      </w:r>
    </w:p>
    <w:p w14:paraId="53ADB3D0" w14:textId="77777777" w:rsidR="00E25EFB" w:rsidRPr="00E25EFB" w:rsidRDefault="00E25EFB" w:rsidP="00E25EFB">
      <w:pPr>
        <w:pStyle w:val="Compact"/>
      </w:pPr>
      <w:proofErr w:type="gramStart"/>
      <w:r w:rsidRPr="00E25EFB">
        <w:t>feasibility(</w:t>
      </w:r>
      <w:proofErr w:type="gramEnd"/>
      <w:r w:rsidRPr="00E25EFB">
        <w:rPr>
          <w:rFonts w:ascii="Segoe UI Symbol" w:hAnsi="Segoe UI Symbol" w:cs="Segoe UI Symbol"/>
        </w:rPr>
        <w:t>➔</w:t>
      </w:r>
      <w:r w:rsidRPr="00E25EFB">
        <w:t xml:space="preserve"> </w:t>
      </w:r>
      <w:proofErr w:type="spellStart"/>
      <w:r w:rsidRPr="00E25EFB">
        <w:t>DRAIN_ok</w:t>
      </w:r>
      <w:proofErr w:type="spellEnd"/>
      <w:r w:rsidRPr="00E25EFB">
        <w:t xml:space="preserve">); destination compute </w:t>
      </w:r>
      <w:proofErr w:type="gramStart"/>
      <w:r w:rsidRPr="00E25EFB">
        <w:t>conditions(</w:t>
      </w:r>
      <w:proofErr w:type="gramEnd"/>
      <w:r w:rsidRPr="00E25EFB">
        <w:rPr>
          <w:rFonts w:ascii="Segoe UI Symbol" w:hAnsi="Segoe UI Symbol" w:cs="Segoe UI Symbol"/>
        </w:rPr>
        <w:t>➔</w:t>
      </w:r>
      <w:r w:rsidRPr="00E25EFB">
        <w:t xml:space="preserve"> DEST _absorb).</w:t>
      </w:r>
    </w:p>
    <w:p w14:paraId="7634732B" w14:textId="77777777" w:rsidR="00E86D31" w:rsidRDefault="00E86D31" w:rsidP="00E25EFB">
      <w:pPr>
        <w:pStyle w:val="Compact"/>
        <w:rPr>
          <w:b/>
          <w:bCs/>
        </w:rPr>
      </w:pPr>
    </w:p>
    <w:p w14:paraId="7FF36200" w14:textId="0D06E767" w:rsidR="00E25EFB" w:rsidRPr="00E25EFB" w:rsidRDefault="00E25EFB" w:rsidP="00E25EFB">
      <w:pPr>
        <w:pStyle w:val="Compact"/>
      </w:pPr>
      <w:r w:rsidRPr="00E25EFB">
        <w:rPr>
          <w:b/>
          <w:bCs/>
        </w:rPr>
        <w:t xml:space="preserve">Component A </w:t>
      </w:r>
      <w:r w:rsidRPr="00E25EFB">
        <w:t xml:space="preserve">- </w:t>
      </w:r>
      <w:r w:rsidRPr="00E25EFB">
        <w:rPr>
          <w:b/>
          <w:bCs/>
        </w:rPr>
        <w:t xml:space="preserve">architectural portability </w:t>
      </w:r>
      <w:proofErr w:type="gramStart"/>
      <w:r w:rsidRPr="00E25EFB">
        <w:t xml:space="preserve">( </w:t>
      </w:r>
      <w:r w:rsidRPr="00E25EFB">
        <w:rPr>
          <w:b/>
          <w:bCs/>
        </w:rPr>
        <w:t>central</w:t>
      </w:r>
      <w:proofErr w:type="gramEnd"/>
      <w:r w:rsidRPr="00E25EFB">
        <w:rPr>
          <w:b/>
          <w:bCs/>
        </w:rPr>
        <w:t xml:space="preserve"> 0.85). </w:t>
      </w:r>
      <w:r w:rsidRPr="00E25EFB">
        <w:t>McKinsey December 2025 p. 3 direct</w:t>
      </w:r>
      <w:r w:rsidR="00E86D31">
        <w:t xml:space="preserve"> </w:t>
      </w:r>
      <w:r w:rsidRPr="00E25EFB">
        <w:t xml:space="preserve">claim: "inference workloads are highly </w:t>
      </w:r>
      <w:proofErr w:type="spellStart"/>
      <w:r w:rsidRPr="00E25EFB">
        <w:t>atomizable</w:t>
      </w:r>
      <w:proofErr w:type="spellEnd"/>
      <w:r w:rsidRPr="00E25EFB">
        <w:t>-individual tasks can be handled</w:t>
      </w:r>
    </w:p>
    <w:p w14:paraId="37039CE7" w14:textId="77777777" w:rsidR="00E25EFB" w:rsidRPr="00E25EFB" w:rsidRDefault="00E25EFB" w:rsidP="00E25EFB">
      <w:pPr>
        <w:pStyle w:val="Compact"/>
      </w:pPr>
      <w:proofErr w:type="gramStart"/>
      <w:r w:rsidRPr="00E25EFB">
        <w:t>independently-unlike</w:t>
      </w:r>
      <w:proofErr w:type="gramEnd"/>
      <w:r w:rsidRPr="00E25EFB">
        <w:t xml:space="preserve"> training, which relies on large-scale, tightly synchronized GPU</w:t>
      </w:r>
    </w:p>
    <w:p w14:paraId="20A709FC" w14:textId="77777777" w:rsidR="00E25EFB" w:rsidRPr="00E25EFB" w:rsidRDefault="00E25EFB" w:rsidP="00E25EFB">
      <w:pPr>
        <w:pStyle w:val="Compact"/>
      </w:pPr>
      <w:r w:rsidRPr="00E25EFB">
        <w:t xml:space="preserve">clusters." This is the direct textual grounding for cross-facility </w:t>
      </w:r>
      <w:proofErr w:type="spellStart"/>
      <w:r w:rsidRPr="00E25EFB">
        <w:t>routability</w:t>
      </w:r>
      <w:proofErr w:type="spellEnd"/>
      <w:r w:rsidRPr="00E25EFB">
        <w:t xml:space="preserve"> of inference at the</w:t>
      </w:r>
    </w:p>
    <w:p w14:paraId="2452814C" w14:textId="07DF3153" w:rsidR="00E25EFB" w:rsidRPr="00E25EFB" w:rsidRDefault="00E25EFB" w:rsidP="00E25EFB">
      <w:pPr>
        <w:pStyle w:val="Compact"/>
      </w:pPr>
      <w:r w:rsidRPr="00E25EFB">
        <w:t>request level.</w:t>
      </w:r>
      <w:r w:rsidR="00E86D31">
        <w:t xml:space="preserve"> </w:t>
      </w:r>
      <w:r w:rsidRPr="00E25EFB">
        <w:t>Corroborated by within-facility production deployments of phase-disaggregated inference</w:t>
      </w:r>
      <w:r w:rsidR="00E86D31">
        <w:t xml:space="preserve"> </w:t>
      </w:r>
      <w:r w:rsidRPr="00E25EFB">
        <w:t>systems. S</w:t>
      </w:r>
      <w:proofErr w:type="spellStart"/>
      <w:r w:rsidRPr="00E25EFB">
        <w:t>plitwise</w:t>
      </w:r>
      <w:proofErr w:type="spellEnd"/>
      <w:r w:rsidRPr="00E25EFB">
        <w:t xml:space="preserve"> (Patel et al., ISCA 2024) demonstrates that production inference workloads</w:t>
      </w:r>
      <w:r w:rsidR="00E86D31">
        <w:t xml:space="preserve"> </w:t>
      </w:r>
      <w:r w:rsidRPr="00E25EFB">
        <w:t>can be disaggregated across machines at sub-request granularity, with prompt-phase and</w:t>
      </w:r>
      <w:r w:rsidR="00E86D31">
        <w:t xml:space="preserve"> </w:t>
      </w:r>
      <w:r w:rsidRPr="00E25EFB">
        <w:t xml:space="preserve">token-generation-phase computation assigned to different hardware and coordinated via </w:t>
      </w:r>
      <w:proofErr w:type="spellStart"/>
      <w:r w:rsidRPr="00E25EFB">
        <w:t>KVcache</w:t>
      </w:r>
      <w:proofErr w:type="spellEnd"/>
      <w:r w:rsidR="00E86D31">
        <w:t xml:space="preserve"> </w:t>
      </w:r>
      <w:r w:rsidRPr="00E25EFB">
        <w:t xml:space="preserve">transfer over an InfiniBand back-plane. </w:t>
      </w:r>
      <w:proofErr w:type="spellStart"/>
      <w:r w:rsidRPr="00E25EFB">
        <w:t>DistServe</w:t>
      </w:r>
      <w:proofErr w:type="spellEnd"/>
      <w:r w:rsidRPr="00E25EFB">
        <w:t xml:space="preserve"> (Zhong et al., OSDI 2024) extends this</w:t>
      </w:r>
      <w:r w:rsidR="00E86D31">
        <w:t xml:space="preserve"> </w:t>
      </w:r>
      <w:r w:rsidRPr="00E25EFB">
        <w:t>to placement-level optimization, providing published algorithms for assigning prefill and</w:t>
      </w:r>
      <w:r w:rsidR="00E86D31">
        <w:t xml:space="preserve"> </w:t>
      </w:r>
      <w:r w:rsidRPr="00E25EFB">
        <w:t>decoding computation across heterogeneous GPU resources based on cluster bandwidth.</w:t>
      </w:r>
      <w:r w:rsidR="00C111BA">
        <w:t xml:space="preserve"> </w:t>
      </w:r>
      <w:r w:rsidRPr="00E25EFB">
        <w:t xml:space="preserve">Mooncake (Qin et al., 2024), deployed at Moonshot AI to serve Kimi, implements </w:t>
      </w:r>
      <w:proofErr w:type="spellStart"/>
      <w:r w:rsidRPr="00E25EFB">
        <w:t>KVCache</w:t>
      </w:r>
      <w:proofErr w:type="spellEnd"/>
      <w:r w:rsidR="00E86D31">
        <w:t xml:space="preserve"> </w:t>
      </w:r>
      <w:r w:rsidRPr="00E25EFB">
        <w:t>centric</w:t>
      </w:r>
      <w:r w:rsidR="00E86D31">
        <w:t xml:space="preserve"> </w:t>
      </w:r>
      <w:r w:rsidRPr="00E25EFB">
        <w:t>scheduling with explicit predictive admission control for overload management in a</w:t>
      </w:r>
    </w:p>
    <w:p w14:paraId="0C36FF41" w14:textId="77777777" w:rsidR="00E25EFB" w:rsidRPr="00E25EFB" w:rsidRDefault="00E25EFB" w:rsidP="00E25EFB">
      <w:pPr>
        <w:pStyle w:val="Compact"/>
      </w:pPr>
      <w:r w:rsidRPr="00E25EFB">
        <w:t>production system.</w:t>
      </w:r>
    </w:p>
    <w:p w14:paraId="6F1781AA" w14:textId="40A54418" w:rsidR="00E25EFB" w:rsidRPr="00E25EFB" w:rsidRDefault="00E25EFB" w:rsidP="00E25EFB">
      <w:pPr>
        <w:pStyle w:val="Compact"/>
      </w:pPr>
      <w:r w:rsidRPr="00E25EFB">
        <w:t xml:space="preserve">The three systems papers establish that treating inference </w:t>
      </w:r>
      <w:proofErr w:type="gramStart"/>
      <w:r w:rsidRPr="00E25EFB">
        <w:t>compute</w:t>
      </w:r>
      <w:proofErr w:type="gramEnd"/>
      <w:r w:rsidRPr="00E25EFB">
        <w:t xml:space="preserve"> as placement-flexible, with</w:t>
      </w:r>
      <w:r w:rsidR="00C111BA">
        <w:t xml:space="preserve"> </w:t>
      </w:r>
      <w:r w:rsidRPr="00E25EFB">
        <w:t>request-level dispatch decisions made at arrival by a global scheduler, is standard practice</w:t>
      </w:r>
      <w:r w:rsidR="00C111BA">
        <w:t xml:space="preserve"> </w:t>
      </w:r>
      <w:r w:rsidRPr="00E25EFB">
        <w:t>within a facility. Whole-request routing across facilities - decided at request arrival, operating</w:t>
      </w:r>
      <w:r w:rsidR="00C111BA">
        <w:t xml:space="preserve"> </w:t>
      </w:r>
      <w:r w:rsidRPr="00E25EFB">
        <w:t>on entire requests rather than sub-request phases, and requiring no inter-facility state transfer</w:t>
      </w:r>
      <w:r w:rsidR="009F1BFB">
        <w:t xml:space="preserve"> – is </w:t>
      </w:r>
      <w:r w:rsidRPr="00E25EFB">
        <w:t>coarser along every axis that makes intra-facility scheduling difficult: granularity, decision</w:t>
      </w:r>
      <w:r w:rsidR="009F1BFB">
        <w:t xml:space="preserve"> </w:t>
      </w:r>
      <w:r w:rsidRPr="00E25EFB">
        <w:t>frequency, and coordination overhead. Cross-facility routing is therefore an architectural</w:t>
      </w:r>
      <w:r w:rsidR="009F1BFB">
        <w:t xml:space="preserve"> </w:t>
      </w:r>
      <w:r w:rsidRPr="00E25EFB">
        <w:t>extension of statelessness plus containerization, not a direct production claim of these papers;</w:t>
      </w:r>
      <w:r w:rsidR="009F1BFB">
        <w:t xml:space="preserve"> </w:t>
      </w:r>
      <w:r w:rsidRPr="00E25EFB">
        <w:t xml:space="preserve">the McKinsey </w:t>
      </w:r>
      <w:proofErr w:type="spellStart"/>
      <w:r w:rsidRPr="00E25EFB">
        <w:t>atomizability</w:t>
      </w:r>
      <w:proofErr w:type="spellEnd"/>
      <w:r w:rsidRPr="00E25EFB">
        <w:t xml:space="preserve"> statement carries the direct cross-facility claim, and the systems</w:t>
      </w:r>
      <w:r w:rsidR="009F1BFB">
        <w:t xml:space="preserve"> </w:t>
      </w:r>
      <w:r w:rsidRPr="00E25EFB">
        <w:t>papers corroborate the underlying within-facility precedent. The within-facility scope caveat is</w:t>
      </w:r>
      <w:r w:rsidR="00A360D1">
        <w:t xml:space="preserve"> </w:t>
      </w:r>
      <w:r w:rsidRPr="00E25EFB">
        <w:t>documented in CV-003.</w:t>
      </w:r>
    </w:p>
    <w:p w14:paraId="16590D92" w14:textId="09CA54FC" w:rsidR="00E25EFB" w:rsidRPr="00E25EFB" w:rsidRDefault="00E25EFB" w:rsidP="00E25EFB">
      <w:pPr>
        <w:pStyle w:val="Compact"/>
      </w:pPr>
      <w:r w:rsidRPr="00E25EFB">
        <w:t xml:space="preserve">The 0.85 central value reflects the architectural ceiling on cross-facility </w:t>
      </w:r>
      <w:proofErr w:type="spellStart"/>
      <w:r w:rsidRPr="00E25EFB">
        <w:t>routability</w:t>
      </w:r>
      <w:proofErr w:type="spellEnd"/>
      <w:r w:rsidRPr="00E25EFB">
        <w:t xml:space="preserve"> accounting</w:t>
      </w:r>
      <w:r w:rsidR="00A360D1">
        <w:t xml:space="preserve"> </w:t>
      </w:r>
      <w:r w:rsidRPr="00E25EFB">
        <w:t>for the cache-reuse partition: cache-warm traffic (multi-turn conversations, shared long</w:t>
      </w:r>
      <w:r w:rsidR="00A360D1">
        <w:t xml:space="preserve"> </w:t>
      </w:r>
      <w:r w:rsidRPr="00E25EFB">
        <w:t>context</w:t>
      </w:r>
      <w:r w:rsidR="00A360D1">
        <w:t xml:space="preserve"> </w:t>
      </w:r>
      <w:r w:rsidRPr="00E25EFB">
        <w:t xml:space="preserve">prefixes) carries an efficiency penalty from </w:t>
      </w:r>
      <w:proofErr w:type="spellStart"/>
      <w:r w:rsidRPr="00E25EFB">
        <w:t>recomputation</w:t>
      </w:r>
      <w:proofErr w:type="spellEnd"/>
      <w:r w:rsidRPr="00E25EFB">
        <w:t xml:space="preserve"> that must be weighed</w:t>
      </w:r>
      <w:r w:rsidR="00A360D1">
        <w:t xml:space="preserve"> </w:t>
      </w:r>
      <w:r w:rsidRPr="00E25EFB">
        <w:t>against grid-side gains. Requests without meaningful cache-reuse potential - fresh queries,</w:t>
      </w:r>
      <w:r w:rsidR="00A360D1">
        <w:t xml:space="preserve"> </w:t>
      </w:r>
      <w:r w:rsidRPr="00E25EFB">
        <w:t>independent sessions, one-shot completions - are cleanly shiftable. The 15% reduction from</w:t>
      </w:r>
      <w:r w:rsidR="00A360D1">
        <w:t xml:space="preserve"> </w:t>
      </w:r>
      <w:r w:rsidRPr="00E25EFB">
        <w:t>1.0 reflects the share of inference compute where cache reuse value materially exceeds spatial</w:t>
      </w:r>
      <w:r w:rsidR="00A360D1">
        <w:t xml:space="preserve"> </w:t>
      </w:r>
      <w:r w:rsidRPr="00E25EFB">
        <w:t>flexibility</w:t>
      </w:r>
      <w:r w:rsidR="00A360D1">
        <w:t xml:space="preserve"> </w:t>
      </w:r>
      <w:r w:rsidRPr="00E25EFB">
        <w:t>value.</w:t>
      </w:r>
    </w:p>
    <w:p w14:paraId="342C8687" w14:textId="77777777" w:rsidR="00A360D1" w:rsidRDefault="00A360D1" w:rsidP="00E25EFB">
      <w:pPr>
        <w:pStyle w:val="Compact"/>
        <w:rPr>
          <w:b/>
          <w:bCs/>
        </w:rPr>
      </w:pPr>
    </w:p>
    <w:p w14:paraId="6A3FB262" w14:textId="400F26E3" w:rsidR="00E25EFB" w:rsidRPr="00E25EFB" w:rsidRDefault="00E25EFB" w:rsidP="00E25EFB">
      <w:pPr>
        <w:pStyle w:val="Compact"/>
      </w:pPr>
      <w:r w:rsidRPr="00E25EFB">
        <w:rPr>
          <w:b/>
          <w:bCs/>
        </w:rPr>
        <w:t xml:space="preserve">Component B-unpinned (central 0.77). </w:t>
      </w:r>
      <w:r w:rsidRPr="00E25EFB">
        <w:t>No published measurement quantifies the fraction</w:t>
      </w:r>
      <w:r w:rsidR="00A360D1">
        <w:t xml:space="preserve"> </w:t>
      </w:r>
      <w:r w:rsidRPr="00E25EFB">
        <w:t>of inference workloads subject to contractual or operational pinning preventing cross-facility</w:t>
      </w:r>
      <w:r w:rsidR="00A360D1">
        <w:t xml:space="preserve"> </w:t>
      </w:r>
      <w:r w:rsidRPr="00E25EFB">
        <w:t>relocation. Component B grounding is therefore ESTIMATED-WEAK, with the range [0.55,0.95] reflecting absence of public data.</w:t>
      </w:r>
    </w:p>
    <w:p w14:paraId="28AB4AAC" w14:textId="77777777" w:rsidR="00E25EFB" w:rsidRPr="00E25EFB" w:rsidRDefault="00E25EFB" w:rsidP="00E25EFB">
      <w:pPr>
        <w:pStyle w:val="Compact"/>
      </w:pPr>
      <w:r w:rsidRPr="00E25EFB">
        <w:lastRenderedPageBreak/>
        <w:t>The bounding logic operates on three categories of geographic constraint:</w:t>
      </w:r>
    </w:p>
    <w:p w14:paraId="7AF5D9E1" w14:textId="77777777" w:rsidR="00A360D1" w:rsidRDefault="00E25EFB" w:rsidP="00B8415C">
      <w:pPr>
        <w:pStyle w:val="Compact"/>
        <w:numPr>
          <w:ilvl w:val="0"/>
          <w:numId w:val="4"/>
        </w:numPr>
      </w:pPr>
      <w:r w:rsidRPr="00E25EFB">
        <w:rPr>
          <w:b/>
          <w:bCs/>
        </w:rPr>
        <w:t xml:space="preserve">Data residency and sovereignty mandates. </w:t>
      </w:r>
      <w:r w:rsidRPr="00E25EFB">
        <w:t>Within CO NUS scope, federal data residency</w:t>
      </w:r>
      <w:r w:rsidR="00A360D1">
        <w:t xml:space="preserve"> </w:t>
      </w:r>
      <w:r w:rsidRPr="00E25EFB">
        <w:t>mandates apply primarily to federal government workloads (FedRAMP, CJIS, IRS 1075,</w:t>
      </w:r>
      <w:r w:rsidR="00A360D1">
        <w:t xml:space="preserve"> </w:t>
      </w:r>
      <w:r w:rsidRPr="00E25EFB">
        <w:t>ITAR) and to a limited set of state-government procurement contracts. Sectoral</w:t>
      </w:r>
      <w:r w:rsidR="00A360D1">
        <w:t xml:space="preserve"> </w:t>
      </w:r>
      <w:r w:rsidRPr="00E25EFB">
        <w:t>regulations (HIPAA, GLBA) impose safeguards but do not pin geographically within the</w:t>
      </w:r>
      <w:r w:rsidR="00A360D1">
        <w:t xml:space="preserve"> </w:t>
      </w:r>
      <w:r w:rsidRPr="00E25EFB">
        <w:t>United States. For commercial AI inference workloads, CONUS-to-CONUS migration is</w:t>
      </w:r>
      <w:r w:rsidR="00A360D1">
        <w:t xml:space="preserve"> </w:t>
      </w:r>
      <w:r w:rsidRPr="00E25EFB">
        <w:t>not meaningfully constrained by data residency. Considered immaterial for the U.S. -only</w:t>
      </w:r>
      <w:r w:rsidR="00A360D1">
        <w:t xml:space="preserve"> </w:t>
      </w:r>
      <w:r w:rsidRPr="00E25EFB">
        <w:t>scope.</w:t>
      </w:r>
    </w:p>
    <w:p w14:paraId="5312984A" w14:textId="77777777" w:rsidR="001756D3" w:rsidRDefault="00E25EFB" w:rsidP="00B8415C">
      <w:pPr>
        <w:pStyle w:val="Compact"/>
        <w:numPr>
          <w:ilvl w:val="0"/>
          <w:numId w:val="4"/>
        </w:numPr>
      </w:pPr>
      <w:r w:rsidRPr="00E25EFB">
        <w:rPr>
          <w:b/>
          <w:bCs/>
        </w:rPr>
        <w:t xml:space="preserve">Ultra-low-latency SLO constraints. </w:t>
      </w:r>
      <w:r w:rsidRPr="00E25EFB">
        <w:t xml:space="preserve">Cross-CO NUS round-trip latency on </w:t>
      </w:r>
      <w:proofErr w:type="spellStart"/>
      <w:r w:rsidRPr="00E25EFB">
        <w:t>hyperscaler</w:t>
      </w:r>
      <w:proofErr w:type="spellEnd"/>
      <w:r w:rsidR="00A360D1">
        <w:t xml:space="preserve"> </w:t>
      </w:r>
      <w:r w:rsidRPr="00E25EFB">
        <w:t xml:space="preserve">backbone networks is bounded above by approximately 80 </w:t>
      </w:r>
      <w:proofErr w:type="spellStart"/>
      <w:r w:rsidRPr="00E25EFB">
        <w:t>ms</w:t>
      </w:r>
      <w:proofErr w:type="spellEnd"/>
      <w:r w:rsidRPr="00E25EFB">
        <w:t xml:space="preserve"> (measured Azure inter</w:t>
      </w:r>
      <w:r w:rsidR="00A360D1">
        <w:t>-</w:t>
      </w:r>
      <w:r w:rsidRPr="00E25EFB">
        <w:t>region</w:t>
      </w:r>
      <w:r w:rsidR="00A360D1">
        <w:t xml:space="preserve"> </w:t>
      </w:r>
      <w:r w:rsidRPr="00E25EFB">
        <w:t xml:space="preserve">P50, West US+-+ East US: 73 </w:t>
      </w:r>
      <w:proofErr w:type="spellStart"/>
      <w:r w:rsidRPr="00E25EFB">
        <w:t>ms</w:t>
      </w:r>
      <w:proofErr w:type="spellEnd"/>
      <w:r w:rsidRPr="00E25EFB">
        <w:t>), well within the SLO budget of the vast majority of</w:t>
      </w:r>
      <w:r w:rsidR="00A360D1">
        <w:t xml:space="preserve"> </w:t>
      </w:r>
      <w:r w:rsidRPr="00E25EFB">
        <w:t>data-center-served AI inference</w:t>
      </w:r>
      <w:r w:rsidR="001756D3">
        <w:t xml:space="preserve"> – production </w:t>
      </w:r>
      <w:r w:rsidRPr="00E25EFB">
        <w:t>LLM time-to-first-token SLOs are typically</w:t>
      </w:r>
      <w:r w:rsidR="001756D3">
        <w:t xml:space="preserve"> </w:t>
      </w:r>
      <w:r w:rsidRPr="00E25EFB">
        <w:t xml:space="preserve">200-500 </w:t>
      </w:r>
      <w:proofErr w:type="spellStart"/>
      <w:r w:rsidRPr="00E25EFB">
        <w:t>ms.</w:t>
      </w:r>
      <w:proofErr w:type="spellEnd"/>
      <w:r w:rsidRPr="00E25EFB">
        <w:t xml:space="preserve"> Edge-deployed inference with tight latency requirements runs on embedded</w:t>
      </w:r>
      <w:r w:rsidR="001756D3">
        <w:t xml:space="preserve"> </w:t>
      </w:r>
      <w:r w:rsidRPr="00E25EFB">
        <w:t xml:space="preserve">hardware outside the </w:t>
      </w:r>
      <w:proofErr w:type="spellStart"/>
      <w:r w:rsidRPr="00E25EFB">
        <w:t>hyperscaler</w:t>
      </w:r>
      <w:proofErr w:type="spellEnd"/>
      <w:r w:rsidRPr="00E25EFB">
        <w:t xml:space="preserve"> fleet and is not part of the </w:t>
      </w:r>
      <w:proofErr w:type="gramStart"/>
      <w:r w:rsidRPr="00E25EFB">
        <w:t>compute</w:t>
      </w:r>
      <w:proofErr w:type="gramEnd"/>
      <w:r w:rsidRPr="00E25EFB">
        <w:t xml:space="preserve"> base under analysis.</w:t>
      </w:r>
      <w:r w:rsidR="001756D3">
        <w:t xml:space="preserve"> </w:t>
      </w:r>
      <w:r w:rsidRPr="00E25EFB">
        <w:t>Considered immaterial.</w:t>
      </w:r>
    </w:p>
    <w:p w14:paraId="3B6C41B4" w14:textId="4C0DFC6A" w:rsidR="00E25EFB" w:rsidRPr="00E25EFB" w:rsidRDefault="00E25EFB" w:rsidP="00B8415C">
      <w:pPr>
        <w:pStyle w:val="Compact"/>
        <w:numPr>
          <w:ilvl w:val="0"/>
          <w:numId w:val="4"/>
        </w:numPr>
      </w:pPr>
      <w:r w:rsidRPr="00E25EFB">
        <w:rPr>
          <w:b/>
          <w:bCs/>
        </w:rPr>
        <w:t xml:space="preserve">Enterprise contractual restrictions. </w:t>
      </w:r>
      <w:r w:rsidRPr="00E25EFB">
        <w:t>Some enterprise cloud deployments include</w:t>
      </w:r>
      <w:r w:rsidR="001756D3">
        <w:t xml:space="preserve"> </w:t>
      </w:r>
      <w:r w:rsidRPr="00E25EFB">
        <w:t>contractual provisions specifying execution region or facility independent of regulatory</w:t>
      </w:r>
      <w:r w:rsidR="001756D3">
        <w:t xml:space="preserve"> </w:t>
      </w:r>
      <w:r w:rsidRPr="00E25EFB">
        <w:t>requirements - examples include Microsoft's Advanced Data Residency, Google Cloud's</w:t>
      </w:r>
      <w:r w:rsidR="001756D3">
        <w:t xml:space="preserve"> </w:t>
      </w:r>
      <w:r w:rsidRPr="00E25EFB">
        <w:t>Assured Workloads, and region-specific Committed Use Discount agreements. Beyond</w:t>
      </w:r>
      <w:r w:rsidR="001756D3">
        <w:t xml:space="preserve"> </w:t>
      </w:r>
      <w:r w:rsidRPr="00E25EFB">
        <w:t>explicit contracts, operational friction (internal change-control, customer-notification</w:t>
      </w:r>
      <w:r w:rsidR="001756D3">
        <w:t xml:space="preserve"> </w:t>
      </w:r>
      <w:r w:rsidRPr="00E25EFB">
        <w:t>practices, SLA exposure concerns) can functionally pin workloads. These constraints are</w:t>
      </w:r>
      <w:r w:rsidR="001756D3">
        <w:t xml:space="preserve"> </w:t>
      </w:r>
      <w:r w:rsidRPr="00E25EFB">
        <w:t>commercial and organizational rather than physical, but binding during a dispatch event.</w:t>
      </w:r>
      <w:r w:rsidR="0071613D">
        <w:t xml:space="preserve"> </w:t>
      </w:r>
      <w:r w:rsidRPr="00E25EFB">
        <w:t>This is the category that does the analytical work in Component B.</w:t>
      </w:r>
    </w:p>
    <w:p w14:paraId="432179F8" w14:textId="77777777" w:rsidR="00E25EFB" w:rsidRPr="00E25EFB" w:rsidRDefault="00E25EFB" w:rsidP="00E25EFB">
      <w:pPr>
        <w:pStyle w:val="Compact"/>
      </w:pPr>
      <w:proofErr w:type="gramStart"/>
      <w:r w:rsidRPr="00E25EFB">
        <w:t>The Component</w:t>
      </w:r>
      <w:proofErr w:type="gramEnd"/>
      <w:r w:rsidRPr="00E25EFB">
        <w:t xml:space="preserve"> B central of 0.77 assumes approximately 23% of inference is pinned,</w:t>
      </w:r>
    </w:p>
    <w:p w14:paraId="7651084A" w14:textId="77777777" w:rsidR="00E25EFB" w:rsidRPr="00E25EFB" w:rsidRDefault="00E25EFB" w:rsidP="00E25EFB">
      <w:pPr>
        <w:pStyle w:val="Compact"/>
      </w:pPr>
      <w:r w:rsidRPr="00E25EFB">
        <w:t>dominated by Category 3. The range floor (0.55) reflects aggressive contractual rigidity; the</w:t>
      </w:r>
    </w:p>
    <w:p w14:paraId="1DB7FFFD" w14:textId="77777777" w:rsidR="00E25EFB" w:rsidRPr="00E25EFB" w:rsidRDefault="00E25EFB" w:rsidP="00E25EFB">
      <w:pPr>
        <w:pStyle w:val="Compact"/>
      </w:pPr>
      <w:r w:rsidRPr="00E25EFB">
        <w:t>range ceiling (0.95) reflects that the bulk of cloud API serving, batch inference, embedding</w:t>
      </w:r>
    </w:p>
    <w:p w14:paraId="36E43F30" w14:textId="77777777" w:rsidR="00E25EFB" w:rsidRPr="00E25EFB" w:rsidRDefault="00E25EFB" w:rsidP="00E25EFB">
      <w:pPr>
        <w:pStyle w:val="Compact"/>
      </w:pPr>
      <w:r w:rsidRPr="00E25EFB">
        <w:t>generation, and asynchronous evaluation faces no formal pinning.</w:t>
      </w:r>
    </w:p>
    <w:p w14:paraId="48F1B38D" w14:textId="77777777" w:rsidR="0071613D" w:rsidRDefault="0071613D" w:rsidP="00E25EFB">
      <w:pPr>
        <w:pStyle w:val="Compact"/>
        <w:rPr>
          <w:b/>
          <w:bCs/>
        </w:rPr>
      </w:pPr>
    </w:p>
    <w:p w14:paraId="3BC3D25D" w14:textId="0F6238BA" w:rsidR="00E25EFB" w:rsidRDefault="00E25EFB" w:rsidP="00E25EFB">
      <w:pPr>
        <w:pStyle w:val="Compact"/>
      </w:pPr>
      <w:r w:rsidRPr="00E25EFB">
        <w:rPr>
          <w:b/>
          <w:bCs/>
        </w:rPr>
        <w:t xml:space="preserve">Composition. </w:t>
      </w:r>
      <w:r w:rsidRPr="00E25EFB">
        <w:t xml:space="preserve">Central </w:t>
      </w:r>
      <w:proofErr w:type="gramStart"/>
      <w:r w:rsidRPr="00E25EFB">
        <w:t>0.65:::::</w:t>
      </w:r>
      <w:proofErr w:type="gramEnd"/>
      <w:r w:rsidRPr="00E25EFB">
        <w:t xml:space="preserve"> 0.85 x 0.77, reported as a single parameter with range [0.45, 0.85]</w:t>
      </w:r>
      <w:r w:rsidR="0071613D">
        <w:t xml:space="preserve"> </w:t>
      </w:r>
      <w:r w:rsidRPr="00E25EFB">
        <w:t>because Components A and Bare correlated: regulated industries that pin workloads also tend</w:t>
      </w:r>
      <w:r w:rsidR="0071613D">
        <w:t xml:space="preserve"> </w:t>
      </w:r>
      <w:r w:rsidRPr="00E25EFB">
        <w:t>to require operator-controlled deployment topologies that constrain architectural portability.</w:t>
      </w:r>
    </w:p>
    <w:p w14:paraId="5EC63503" w14:textId="77777777" w:rsidR="0071613D" w:rsidRPr="00E25EFB" w:rsidRDefault="0071613D" w:rsidP="00E25EFB">
      <w:pPr>
        <w:pStyle w:val="Compact"/>
      </w:pPr>
    </w:p>
    <w:p w14:paraId="58A58590" w14:textId="31F9B51B" w:rsidR="00E25EFB" w:rsidRPr="00E25EFB" w:rsidRDefault="00E25EFB" w:rsidP="00E25EFB">
      <w:pPr>
        <w:pStyle w:val="Compact"/>
      </w:pPr>
      <w:r w:rsidRPr="00E25EFB">
        <w:rPr>
          <w:b/>
          <w:bCs/>
        </w:rPr>
        <w:t xml:space="preserve">Why fixed across ensembles. </w:t>
      </w:r>
      <w:r w:rsidRPr="00E25EFB">
        <w:t>An earlier draft of the reformed framework proposed ensemble</w:t>
      </w:r>
      <w:r w:rsidR="0071613D">
        <w:t>-</w:t>
      </w:r>
      <w:r w:rsidRPr="00E25EFB">
        <w:t>dependent</w:t>
      </w:r>
      <w:r w:rsidR="0071613D">
        <w:t xml:space="preserve"> </w:t>
      </w:r>
      <w:proofErr w:type="spellStart"/>
      <w:r w:rsidRPr="00E25EFB">
        <w:t>MIG_elig</w:t>
      </w:r>
      <w:proofErr w:type="spellEnd"/>
      <w:r w:rsidRPr="00E25EFB">
        <w:t xml:space="preserve"> (varying with cross-region latency tightness across IW-F-heavy / balanced</w:t>
      </w:r>
      <w:r w:rsidR="0071613D">
        <w:t xml:space="preserve"> </w:t>
      </w:r>
      <w:r w:rsidRPr="00E25EFB">
        <w:t>/ NIW-heavy ensembles). Withdrawn. No source supports ensemble variation in eligibility</w:t>
      </w:r>
      <w:r w:rsidR="0071613D">
        <w:t xml:space="preserve"> </w:t>
      </w:r>
      <w:r w:rsidRPr="00E25EFB">
        <w:t>itself; latency-sensitive workloads still meet eligibility, they simply have lower migration value</w:t>
      </w:r>
      <w:r w:rsidR="0071613D">
        <w:t xml:space="preserve"> </w:t>
      </w:r>
      <w:r w:rsidRPr="00E25EFB">
        <w:t xml:space="preserve">at execution time, which is captured downstream in NET _ok and </w:t>
      </w:r>
      <w:proofErr w:type="spellStart"/>
      <w:r w:rsidRPr="00E25EFB">
        <w:t>ORCH_ok</w:t>
      </w:r>
      <w:proofErr w:type="spellEnd"/>
      <w:r w:rsidRPr="00E25EFB">
        <w:t xml:space="preserve">. Holding </w:t>
      </w:r>
      <w:proofErr w:type="spellStart"/>
      <w:r w:rsidRPr="00E25EFB">
        <w:t>MIG_elig</w:t>
      </w:r>
      <w:proofErr w:type="spellEnd"/>
      <w:r w:rsidR="0071613D">
        <w:t xml:space="preserve"> </w:t>
      </w:r>
      <w:r w:rsidRPr="00E25EFB">
        <w:t>ensemble-invariant simplifies the framework without losing information.</w:t>
      </w:r>
    </w:p>
    <w:p w14:paraId="12D1F8AE" w14:textId="77777777" w:rsidR="0071613D" w:rsidRDefault="0071613D" w:rsidP="00E25EFB">
      <w:pPr>
        <w:pStyle w:val="Compact"/>
        <w:rPr>
          <w:b/>
          <w:bCs/>
        </w:rPr>
      </w:pPr>
    </w:p>
    <w:p w14:paraId="6101C944" w14:textId="53A59856" w:rsidR="00E25EFB" w:rsidRPr="00E25EFB" w:rsidRDefault="00E25EFB" w:rsidP="00E25EFB">
      <w:pPr>
        <w:pStyle w:val="Compact"/>
      </w:pPr>
      <w:r w:rsidRPr="00E25EFB">
        <w:rPr>
          <w:b/>
          <w:bCs/>
        </w:rPr>
        <w:t xml:space="preserve">Production-precedent caveat. </w:t>
      </w:r>
      <w:r w:rsidRPr="00E25EFB">
        <w:t>Cross-region inference is architecturally deployed and</w:t>
      </w:r>
    </w:p>
    <w:p w14:paraId="1C931B62" w14:textId="77777777" w:rsidR="00E25EFB" w:rsidRPr="00E25EFB" w:rsidRDefault="00E25EFB" w:rsidP="00E25EFB">
      <w:pPr>
        <w:pStyle w:val="Compact"/>
      </w:pPr>
      <w:r w:rsidRPr="00E25EFB">
        <w:t>operationally demonstrated. Google has run carbon-aware temporal and spatial compute</w:t>
      </w:r>
    </w:p>
    <w:p w14:paraId="528E44BC" w14:textId="77777777" w:rsidR="00E25EFB" w:rsidRPr="00E25EFB" w:rsidRDefault="00E25EFB" w:rsidP="00E25EFB">
      <w:pPr>
        <w:pStyle w:val="Compact"/>
      </w:pPr>
      <w:r w:rsidRPr="00E25EFB">
        <w:lastRenderedPageBreak/>
        <w:t>shifting in production since 2020 (Radovanovic et al., IEEE Transactions on Power Systems</w:t>
      </w:r>
    </w:p>
    <w:p w14:paraId="40D61539" w14:textId="4C715E11" w:rsidR="00E25EFB" w:rsidRPr="00E25EFB" w:rsidRDefault="00E25EFB" w:rsidP="00E25EFB">
      <w:pPr>
        <w:pStyle w:val="Compact"/>
      </w:pPr>
      <w:r w:rsidRPr="00E25EFB">
        <w:t>38(2), 2023). Amazon Bedrock routes inference requests across regions automatically via cross</w:t>
      </w:r>
      <w:r w:rsidR="0071613D">
        <w:t>-</w:t>
      </w:r>
      <w:r w:rsidRPr="00E25EFB">
        <w:t>region</w:t>
      </w:r>
      <w:r w:rsidR="0071613D">
        <w:t xml:space="preserve"> </w:t>
      </w:r>
      <w:r w:rsidRPr="00E25EFB">
        <w:t>inference profiles. Academic work on cross-region load balancing for LLM inference</w:t>
      </w:r>
      <w:r w:rsidR="0071613D">
        <w:t xml:space="preserve"> </w:t>
      </w:r>
      <w:r w:rsidRPr="00E25EFB">
        <w:t>(</w:t>
      </w:r>
      <w:proofErr w:type="spellStart"/>
      <w:r w:rsidRPr="00E25EFB">
        <w:t>SkyLB</w:t>
      </w:r>
      <w:proofErr w:type="spellEnd"/>
      <w:r w:rsidRPr="00E25EFB">
        <w:t>, 2025) demonstrates locality-aware orchestration at production latency. The question</w:t>
      </w:r>
      <w:r w:rsidR="0071613D">
        <w:t xml:space="preserve"> </w:t>
      </w:r>
      <w:proofErr w:type="spellStart"/>
      <w:r w:rsidRPr="00E25EFB">
        <w:t>MIG_elig</w:t>
      </w:r>
      <w:proofErr w:type="spellEnd"/>
      <w:r w:rsidRPr="00E25EFB">
        <w:t xml:space="preserve"> answers is not whether inference can be geographically redistributed but what</w:t>
      </w:r>
      <w:r w:rsidR="0071613D">
        <w:t xml:space="preserve"> </w:t>
      </w:r>
      <w:r w:rsidRPr="00E25EFB">
        <w:t>fraction of the aggregate fleet is subject to constraints that prevent it.</w:t>
      </w:r>
    </w:p>
    <w:p w14:paraId="14AAAAAD" w14:textId="77777777" w:rsidR="0071613D" w:rsidRDefault="0071613D" w:rsidP="00E25EFB">
      <w:pPr>
        <w:pStyle w:val="Compact"/>
        <w:rPr>
          <w:b/>
          <w:bCs/>
        </w:rPr>
      </w:pPr>
    </w:p>
    <w:p w14:paraId="120FA050" w14:textId="34329C80" w:rsidR="00C16BC5" w:rsidRDefault="00E25EFB" w:rsidP="00E25EFB">
      <w:pPr>
        <w:pStyle w:val="Compact"/>
        <w:pBdr>
          <w:bottom w:val="single" w:sz="12" w:space="1" w:color="auto"/>
        </w:pBdr>
      </w:pPr>
      <w:r w:rsidRPr="00E25EFB">
        <w:rPr>
          <w:b/>
          <w:bCs/>
        </w:rPr>
        <w:t xml:space="preserve">CV workbook ties. </w:t>
      </w:r>
      <w:r w:rsidRPr="00E25EFB">
        <w:t xml:space="preserve">CV-001 (McKinsey </w:t>
      </w:r>
      <w:proofErr w:type="spellStart"/>
      <w:r w:rsidRPr="00E25EFB">
        <w:t>atomizability</w:t>
      </w:r>
      <w:proofErr w:type="spellEnd"/>
      <w:r w:rsidRPr="00E25EFB">
        <w:t>), CV-003 (</w:t>
      </w:r>
      <w:proofErr w:type="spellStart"/>
      <w:r w:rsidRPr="00E25EFB">
        <w:t>Splitwise</w:t>
      </w:r>
      <w:proofErr w:type="spellEnd"/>
      <w:r w:rsidRPr="00E25EFB">
        <w:t xml:space="preserve"> within-facility scope).</w:t>
      </w:r>
    </w:p>
    <w:p w14:paraId="71FA99C9" w14:textId="77777777" w:rsidR="00B8415C" w:rsidRDefault="00B8415C" w:rsidP="00E25EFB">
      <w:pPr>
        <w:pStyle w:val="Compact"/>
        <w:pBdr>
          <w:bottom w:val="single" w:sz="12" w:space="1" w:color="auto"/>
        </w:pBdr>
      </w:pPr>
    </w:p>
    <w:p w14:paraId="7DE120B9" w14:textId="77777777" w:rsidR="00A3194E" w:rsidRDefault="00A3194E" w:rsidP="00E25EFB">
      <w:pPr>
        <w:pStyle w:val="Compact"/>
      </w:pPr>
    </w:p>
    <w:p w14:paraId="0E1104CF" w14:textId="77777777" w:rsidR="003169FD" w:rsidRPr="003169FD" w:rsidRDefault="003169FD" w:rsidP="003169FD">
      <w:pPr>
        <w:pStyle w:val="Compact"/>
        <w:rPr>
          <w:b/>
          <w:bCs/>
        </w:rPr>
      </w:pPr>
      <w:proofErr w:type="spellStart"/>
      <w:r w:rsidRPr="003169FD">
        <w:rPr>
          <w:b/>
          <w:bCs/>
        </w:rPr>
        <w:t>DRAIN_ok</w:t>
      </w:r>
      <w:proofErr w:type="spellEnd"/>
      <w:r w:rsidRPr="003169FD">
        <w:rPr>
          <w:b/>
          <w:bCs/>
        </w:rPr>
        <w:t>- Drain within dispatch notice window</w:t>
      </w:r>
    </w:p>
    <w:tbl>
      <w:tblPr>
        <w:tblStyle w:val="TableGrid"/>
        <w:tblW w:w="0" w:type="auto"/>
        <w:tblLook w:val="04A0" w:firstRow="1" w:lastRow="0" w:firstColumn="1" w:lastColumn="0" w:noHBand="0" w:noVBand="1"/>
      </w:tblPr>
      <w:tblGrid>
        <w:gridCol w:w="4971"/>
        <w:gridCol w:w="4379"/>
      </w:tblGrid>
      <w:tr w:rsidR="003169FD" w:rsidRPr="003169FD" w14:paraId="5D97955B" w14:textId="34A624FE" w:rsidTr="003169FD">
        <w:tc>
          <w:tcPr>
            <w:tcW w:w="4971" w:type="dxa"/>
            <w:shd w:val="clear" w:color="auto" w:fill="D9D9D9" w:themeFill="background1" w:themeFillShade="D9"/>
          </w:tcPr>
          <w:p w14:paraId="6A230C31" w14:textId="7EA6B56B" w:rsidR="003169FD" w:rsidRPr="003169FD" w:rsidRDefault="003169FD" w:rsidP="00853652">
            <w:pPr>
              <w:pStyle w:val="Compact"/>
              <w:rPr>
                <w:b/>
                <w:bCs/>
              </w:rPr>
            </w:pPr>
            <w:r w:rsidRPr="003169FD">
              <w:rPr>
                <w:b/>
                <w:bCs/>
              </w:rPr>
              <w:t xml:space="preserve">Attribute </w:t>
            </w:r>
          </w:p>
        </w:tc>
        <w:tc>
          <w:tcPr>
            <w:tcW w:w="4379" w:type="dxa"/>
            <w:shd w:val="clear" w:color="auto" w:fill="D9D9D9" w:themeFill="background1" w:themeFillShade="D9"/>
          </w:tcPr>
          <w:p w14:paraId="64E5FE09" w14:textId="5C8AB8C3" w:rsidR="003169FD" w:rsidRPr="003169FD" w:rsidRDefault="003169FD" w:rsidP="00853652">
            <w:pPr>
              <w:pStyle w:val="Compact"/>
              <w:rPr>
                <w:b/>
                <w:bCs/>
              </w:rPr>
            </w:pPr>
            <w:r w:rsidRPr="003169FD">
              <w:rPr>
                <w:b/>
                <w:bCs/>
              </w:rPr>
              <w:t>Value</w:t>
            </w:r>
          </w:p>
        </w:tc>
      </w:tr>
      <w:tr w:rsidR="003169FD" w:rsidRPr="003169FD" w14:paraId="75157160" w14:textId="47CC89F7" w:rsidTr="003169FD">
        <w:tc>
          <w:tcPr>
            <w:tcW w:w="4971" w:type="dxa"/>
          </w:tcPr>
          <w:p w14:paraId="1B49B0EF" w14:textId="0A8EA723" w:rsidR="003169FD" w:rsidRPr="003169FD" w:rsidRDefault="003169FD" w:rsidP="00853652">
            <w:pPr>
              <w:pStyle w:val="Compact"/>
            </w:pPr>
            <w:r w:rsidRPr="003169FD">
              <w:t xml:space="preserve">Central </w:t>
            </w:r>
          </w:p>
        </w:tc>
        <w:tc>
          <w:tcPr>
            <w:tcW w:w="4379" w:type="dxa"/>
          </w:tcPr>
          <w:p w14:paraId="0CD59802" w14:textId="1DAE96F9" w:rsidR="003169FD" w:rsidRPr="003169FD" w:rsidRDefault="003169FD" w:rsidP="00853652">
            <w:pPr>
              <w:pStyle w:val="Compact"/>
            </w:pPr>
            <w:r w:rsidRPr="003169FD">
              <w:t>0.95</w:t>
            </w:r>
          </w:p>
        </w:tc>
      </w:tr>
      <w:tr w:rsidR="003169FD" w:rsidRPr="003169FD" w14:paraId="144294AC" w14:textId="02A94BDE" w:rsidTr="003169FD">
        <w:tc>
          <w:tcPr>
            <w:tcW w:w="4971" w:type="dxa"/>
          </w:tcPr>
          <w:p w14:paraId="52AB64B0" w14:textId="1F0994BB" w:rsidR="003169FD" w:rsidRPr="003169FD" w:rsidRDefault="003169FD" w:rsidP="00853652">
            <w:pPr>
              <w:pStyle w:val="Compact"/>
            </w:pPr>
            <w:r w:rsidRPr="003169FD">
              <w:t xml:space="preserve">Range </w:t>
            </w:r>
          </w:p>
        </w:tc>
        <w:tc>
          <w:tcPr>
            <w:tcW w:w="4379" w:type="dxa"/>
          </w:tcPr>
          <w:p w14:paraId="33D026DE" w14:textId="4D9B8713" w:rsidR="003169FD" w:rsidRPr="003169FD" w:rsidRDefault="003169FD" w:rsidP="00853652">
            <w:pPr>
              <w:pStyle w:val="Compact"/>
            </w:pPr>
            <w:r w:rsidRPr="003169FD">
              <w:t>[0.90, 0.98]</w:t>
            </w:r>
          </w:p>
        </w:tc>
      </w:tr>
      <w:tr w:rsidR="003169FD" w:rsidRPr="00DC24CA" w14:paraId="2C88D710" w14:textId="2B71CB86" w:rsidTr="003169FD">
        <w:tc>
          <w:tcPr>
            <w:tcW w:w="4971" w:type="dxa"/>
          </w:tcPr>
          <w:p w14:paraId="594E5111" w14:textId="473020CF" w:rsidR="003169FD" w:rsidRPr="00DC24CA" w:rsidRDefault="003169FD" w:rsidP="00853652">
            <w:pPr>
              <w:pStyle w:val="Compact"/>
            </w:pPr>
            <w:r w:rsidRPr="003169FD">
              <w:t xml:space="preserve">Grounding </w:t>
            </w:r>
          </w:p>
        </w:tc>
        <w:tc>
          <w:tcPr>
            <w:tcW w:w="4379" w:type="dxa"/>
          </w:tcPr>
          <w:p w14:paraId="47999D2F" w14:textId="1C677706" w:rsidR="003169FD" w:rsidRPr="003169FD" w:rsidRDefault="003169FD" w:rsidP="00853652">
            <w:pPr>
              <w:pStyle w:val="Compact"/>
            </w:pPr>
            <w:r w:rsidRPr="003169FD">
              <w:t>DATA</w:t>
            </w:r>
          </w:p>
        </w:tc>
      </w:tr>
    </w:tbl>
    <w:p w14:paraId="0C2D7B3C" w14:textId="678B6809" w:rsidR="003169FD" w:rsidRDefault="003169FD" w:rsidP="003169FD">
      <w:pPr>
        <w:pStyle w:val="Compact"/>
      </w:pPr>
    </w:p>
    <w:p w14:paraId="6CACD653" w14:textId="75CACFC1" w:rsidR="00F40DFD" w:rsidRPr="00F40DFD" w:rsidRDefault="00F40DFD" w:rsidP="00F40DFD">
      <w:pPr>
        <w:pStyle w:val="Compact"/>
      </w:pPr>
      <w:r w:rsidRPr="00F40DFD">
        <w:rPr>
          <w:b/>
          <w:bCs/>
        </w:rPr>
        <w:t xml:space="preserve">What </w:t>
      </w:r>
      <w:proofErr w:type="spellStart"/>
      <w:r w:rsidRPr="00F40DFD">
        <w:rPr>
          <w:b/>
          <w:bCs/>
        </w:rPr>
        <w:t>DRAIN_ok</w:t>
      </w:r>
      <w:proofErr w:type="spellEnd"/>
      <w:r w:rsidRPr="00F40DFD">
        <w:rPr>
          <w:b/>
          <w:bCs/>
        </w:rPr>
        <w:t xml:space="preserve"> measures. </w:t>
      </w:r>
      <w:r w:rsidRPr="00F40DFD">
        <w:t>Of</w:t>
      </w:r>
      <w:r>
        <w:t xml:space="preserve"> </w:t>
      </w:r>
      <w:proofErr w:type="spellStart"/>
      <w:r w:rsidRPr="00F40DFD">
        <w:t>MIG_elig</w:t>
      </w:r>
      <w:proofErr w:type="spellEnd"/>
      <w:r w:rsidRPr="00F40DFD">
        <w:t>-qualified workload, what fraction has active requests</w:t>
      </w:r>
      <w:r>
        <w:t xml:space="preserve"> </w:t>
      </w:r>
      <w:r w:rsidRPr="00F40DFD">
        <w:t>that complete within the dispatch notice window (10 min for PJM emergency DR)?</w:t>
      </w:r>
    </w:p>
    <w:p w14:paraId="5920A6F8" w14:textId="77777777" w:rsidR="00F40DFD" w:rsidRDefault="00F40DFD" w:rsidP="00F40DFD">
      <w:pPr>
        <w:pStyle w:val="Compact"/>
        <w:rPr>
          <w:b/>
          <w:bCs/>
        </w:rPr>
      </w:pPr>
    </w:p>
    <w:p w14:paraId="3DA72BA8" w14:textId="009116B4" w:rsidR="00F40DFD" w:rsidRPr="00F40DFD" w:rsidRDefault="00F40DFD" w:rsidP="00F40DFD">
      <w:pPr>
        <w:pStyle w:val="Compact"/>
      </w:pPr>
      <w:r w:rsidRPr="00F40DFD">
        <w:rPr>
          <w:b/>
          <w:bCs/>
        </w:rPr>
        <w:t xml:space="preserve">What DRAIN _ok does NOT measure. </w:t>
      </w:r>
      <w:r w:rsidRPr="00F40DFD">
        <w:t xml:space="preserve">Architectural eligibility </w:t>
      </w:r>
      <w:proofErr w:type="gramStart"/>
      <w:r w:rsidRPr="00F40DFD">
        <w:t xml:space="preserve">( </w:t>
      </w:r>
      <w:r w:rsidRPr="00F40DFD">
        <w:rPr>
          <w:rFonts w:ascii="Segoe UI Symbol" w:hAnsi="Segoe UI Symbol" w:cs="Segoe UI Symbol"/>
        </w:rPr>
        <w:t>➔</w:t>
      </w:r>
      <w:proofErr w:type="gramEnd"/>
      <w:r w:rsidRPr="00F40DFD">
        <w:t xml:space="preserve"> MIG_ </w:t>
      </w:r>
      <w:proofErr w:type="spellStart"/>
      <w:r w:rsidRPr="00F40DFD">
        <w:t>elig</w:t>
      </w:r>
      <w:proofErr w:type="spellEnd"/>
      <w:r w:rsidRPr="00F40DFD">
        <w:t>); destination</w:t>
      </w:r>
    </w:p>
    <w:p w14:paraId="5142AF76" w14:textId="77777777" w:rsidR="00F40DFD" w:rsidRPr="00F40DFD" w:rsidRDefault="00F40DFD" w:rsidP="00F40DFD">
      <w:pPr>
        <w:pStyle w:val="Compact"/>
      </w:pPr>
      <w:r w:rsidRPr="00F40DFD">
        <w:t>availability (</w:t>
      </w:r>
      <w:r w:rsidRPr="00F40DFD">
        <w:rPr>
          <w:rFonts w:ascii="Segoe UI Symbol" w:hAnsi="Segoe UI Symbol" w:cs="Segoe UI Symbol"/>
        </w:rPr>
        <w:t>➔</w:t>
      </w:r>
      <w:r w:rsidRPr="00F40DFD">
        <w:t xml:space="preserve"> DEST avail).</w:t>
      </w:r>
    </w:p>
    <w:p w14:paraId="59F52454" w14:textId="77777777" w:rsidR="00F40DFD" w:rsidRDefault="00F40DFD" w:rsidP="00F40DFD">
      <w:pPr>
        <w:pStyle w:val="Compact"/>
        <w:rPr>
          <w:b/>
          <w:bCs/>
        </w:rPr>
      </w:pPr>
    </w:p>
    <w:p w14:paraId="45E5CB4D" w14:textId="77777777" w:rsidR="00F40DFD" w:rsidRDefault="00F40DFD" w:rsidP="00F40DFD">
      <w:pPr>
        <w:pStyle w:val="Compact"/>
      </w:pPr>
      <w:r w:rsidRPr="00F40DFD">
        <w:rPr>
          <w:b/>
          <w:bCs/>
        </w:rPr>
        <w:t xml:space="preserve">The empirical case. </w:t>
      </w:r>
      <w:r w:rsidRPr="00F40DFD">
        <w:t>The argument rests on a two-orders-of-magnitude gap between the drain</w:t>
      </w:r>
      <w:r>
        <w:t xml:space="preserve"> </w:t>
      </w:r>
      <w:r w:rsidRPr="00F40DFD">
        <w:t>timescale and the dispatch notice timescale.</w:t>
      </w:r>
    </w:p>
    <w:p w14:paraId="60C9E42E" w14:textId="77777777" w:rsidR="00F40DFD" w:rsidRDefault="00F40DFD" w:rsidP="00B8415C">
      <w:pPr>
        <w:pStyle w:val="Compact"/>
        <w:numPr>
          <w:ilvl w:val="0"/>
          <w:numId w:val="5"/>
        </w:numPr>
      </w:pPr>
      <w:r w:rsidRPr="00F40DFD">
        <w:rPr>
          <w:b/>
          <w:bCs/>
        </w:rPr>
        <w:t xml:space="preserve">PJM dispatch </w:t>
      </w:r>
      <w:r w:rsidRPr="00F40DFD">
        <w:t>window.10-30 minutes advance notice (PJM Manual 13: Emergency</w:t>
      </w:r>
      <w:r>
        <w:t xml:space="preserve"> </w:t>
      </w:r>
      <w:r w:rsidRPr="00F40DFD">
        <w:t>Operations, Rev. 97, effective November 20, 2025).</w:t>
      </w:r>
    </w:p>
    <w:p w14:paraId="1992BC7B" w14:textId="13B6A44D" w:rsidR="00F40DFD" w:rsidRPr="00F40DFD" w:rsidRDefault="00F40DFD" w:rsidP="00B8415C">
      <w:pPr>
        <w:pStyle w:val="Compact"/>
        <w:numPr>
          <w:ilvl w:val="0"/>
          <w:numId w:val="5"/>
        </w:numPr>
      </w:pPr>
      <w:r w:rsidRPr="00F40DFD">
        <w:rPr>
          <w:b/>
          <w:bCs/>
        </w:rPr>
        <w:t xml:space="preserve">Inference drain time. </w:t>
      </w:r>
      <w:r w:rsidRPr="00F40DFD">
        <w:t>P99 of 4.5-12.1 seconds at typical 60 tokens/second generation rate.</w:t>
      </w:r>
    </w:p>
    <w:p w14:paraId="087C4FD6" w14:textId="77777777" w:rsidR="00F40DFD" w:rsidRDefault="00F40DFD" w:rsidP="00F40DFD">
      <w:pPr>
        <w:pStyle w:val="Compact"/>
      </w:pPr>
    </w:p>
    <w:p w14:paraId="43EE0FDB" w14:textId="40B89317" w:rsidR="00F40DFD" w:rsidRPr="00F40DFD" w:rsidRDefault="00F40DFD" w:rsidP="00F40DFD">
      <w:pPr>
        <w:pStyle w:val="Compact"/>
      </w:pPr>
      <w:r w:rsidRPr="00F40DFD">
        <w:t>Even at 10x the observed P99 drain time (-120 seconds), the operation completes well within</w:t>
      </w:r>
      <w:r>
        <w:t xml:space="preserve"> </w:t>
      </w:r>
      <w:r w:rsidRPr="00F40DFD">
        <w:t>the 10-minute minimum notice period.</w:t>
      </w:r>
    </w:p>
    <w:p w14:paraId="5537AA8B" w14:textId="77777777" w:rsidR="00480E2F" w:rsidRDefault="00480E2F" w:rsidP="00F40DFD">
      <w:pPr>
        <w:pStyle w:val="Compact"/>
        <w:rPr>
          <w:b/>
          <w:bCs/>
        </w:rPr>
      </w:pPr>
    </w:p>
    <w:p w14:paraId="4B0B28ED" w14:textId="4ACDD380" w:rsidR="00F40DFD" w:rsidRDefault="00F40DFD" w:rsidP="00F40DFD">
      <w:pPr>
        <w:pStyle w:val="Compact"/>
      </w:pPr>
      <w:r w:rsidRPr="00F40DFD">
        <w:rPr>
          <w:b/>
          <w:bCs/>
        </w:rPr>
        <w:t xml:space="preserve">Empirical validation. </w:t>
      </w:r>
      <w:r w:rsidRPr="00F40DFD">
        <w:t>Two independent production inference datasets, totaling 49.4 million</w:t>
      </w:r>
      <w:r>
        <w:t xml:space="preserve"> </w:t>
      </w:r>
      <w:r w:rsidRPr="00F40DFD">
        <w:t>requests over a combined 128 days of observation, anchor the central value:</w:t>
      </w:r>
    </w:p>
    <w:tbl>
      <w:tblPr>
        <w:tblStyle w:val="TableGrid"/>
        <w:tblW w:w="0" w:type="auto"/>
        <w:tblLook w:val="04A0" w:firstRow="1" w:lastRow="0" w:firstColumn="1" w:lastColumn="0" w:noHBand="0" w:noVBand="1"/>
      </w:tblPr>
      <w:tblGrid>
        <w:gridCol w:w="1870"/>
        <w:gridCol w:w="1870"/>
        <w:gridCol w:w="1870"/>
        <w:gridCol w:w="1870"/>
        <w:gridCol w:w="1870"/>
      </w:tblGrid>
      <w:tr w:rsidR="008151EA" w:rsidRPr="008151EA" w14:paraId="69D2332F" w14:textId="77777777" w:rsidTr="00CF3C27">
        <w:tc>
          <w:tcPr>
            <w:tcW w:w="1870" w:type="dxa"/>
            <w:shd w:val="clear" w:color="auto" w:fill="D9D9D9" w:themeFill="background1" w:themeFillShade="D9"/>
          </w:tcPr>
          <w:p w14:paraId="5ABD0CCB" w14:textId="0E3EDB70" w:rsidR="008151EA" w:rsidRPr="008151EA" w:rsidRDefault="00CF3C27" w:rsidP="00773049">
            <w:pPr>
              <w:pStyle w:val="Compact"/>
              <w:rPr>
                <w:b/>
                <w:bCs/>
              </w:rPr>
            </w:pPr>
            <w:r>
              <w:rPr>
                <w:b/>
                <w:bCs/>
              </w:rPr>
              <w:t>Dataset</w:t>
            </w:r>
          </w:p>
        </w:tc>
        <w:tc>
          <w:tcPr>
            <w:tcW w:w="1870" w:type="dxa"/>
            <w:shd w:val="clear" w:color="auto" w:fill="D9D9D9" w:themeFill="background1" w:themeFillShade="D9"/>
          </w:tcPr>
          <w:p w14:paraId="21A0AC27" w14:textId="25C5F9C9" w:rsidR="008151EA" w:rsidRPr="00CF3C27" w:rsidRDefault="00CF3C27" w:rsidP="00773049">
            <w:pPr>
              <w:pStyle w:val="Compact"/>
            </w:pPr>
            <w:r w:rsidRPr="00CF3C27">
              <w:rPr>
                <w:b/>
                <w:bCs/>
              </w:rPr>
              <w:t>Source</w:t>
            </w:r>
          </w:p>
        </w:tc>
        <w:tc>
          <w:tcPr>
            <w:tcW w:w="1870" w:type="dxa"/>
            <w:shd w:val="clear" w:color="auto" w:fill="D9D9D9" w:themeFill="background1" w:themeFillShade="D9"/>
          </w:tcPr>
          <w:p w14:paraId="2BF916EE" w14:textId="7C2E35E7" w:rsidR="008151EA" w:rsidRPr="00CF3C27" w:rsidRDefault="00CF3C27" w:rsidP="00773049">
            <w:pPr>
              <w:pStyle w:val="Compact"/>
              <w:rPr>
                <w:b/>
                <w:bCs/>
              </w:rPr>
            </w:pPr>
            <w:r>
              <w:rPr>
                <w:b/>
                <w:bCs/>
              </w:rPr>
              <w:t>Requests</w:t>
            </w:r>
          </w:p>
        </w:tc>
        <w:tc>
          <w:tcPr>
            <w:tcW w:w="1870" w:type="dxa"/>
            <w:shd w:val="clear" w:color="auto" w:fill="D9D9D9" w:themeFill="background1" w:themeFillShade="D9"/>
          </w:tcPr>
          <w:p w14:paraId="0DF17C3C" w14:textId="766B9369" w:rsidR="008151EA" w:rsidRPr="00CF3C27" w:rsidRDefault="00CF3C27" w:rsidP="00773049">
            <w:pPr>
              <w:pStyle w:val="Compact"/>
              <w:rPr>
                <w:b/>
                <w:bCs/>
              </w:rPr>
            </w:pPr>
            <w:r>
              <w:rPr>
                <w:b/>
                <w:bCs/>
              </w:rPr>
              <w:t>Duration</w:t>
            </w:r>
          </w:p>
        </w:tc>
        <w:tc>
          <w:tcPr>
            <w:tcW w:w="1870" w:type="dxa"/>
            <w:shd w:val="clear" w:color="auto" w:fill="D9D9D9" w:themeFill="background1" w:themeFillShade="D9"/>
          </w:tcPr>
          <w:p w14:paraId="0437C020" w14:textId="0E198A5F" w:rsidR="008151EA" w:rsidRPr="00CF3C27" w:rsidRDefault="00CF3C27" w:rsidP="00773049">
            <w:pPr>
              <w:pStyle w:val="Compact"/>
              <w:rPr>
                <w:b/>
                <w:bCs/>
              </w:rPr>
            </w:pPr>
            <w:r>
              <w:rPr>
                <w:b/>
                <w:bCs/>
              </w:rPr>
              <w:t xml:space="preserve">P99 drain </w:t>
            </w:r>
            <w:proofErr w:type="gramStart"/>
            <w:r>
              <w:rPr>
                <w:b/>
                <w:bCs/>
              </w:rPr>
              <w:t>time @</w:t>
            </w:r>
            <w:proofErr w:type="gramEnd"/>
            <w:r>
              <w:rPr>
                <w:b/>
                <w:bCs/>
              </w:rPr>
              <w:t xml:space="preserve"> 60 </w:t>
            </w:r>
            <w:proofErr w:type="spellStart"/>
            <w:r>
              <w:rPr>
                <w:b/>
                <w:bCs/>
              </w:rPr>
              <w:t>tok</w:t>
            </w:r>
            <w:proofErr w:type="spellEnd"/>
            <w:r>
              <w:rPr>
                <w:b/>
                <w:bCs/>
              </w:rPr>
              <w:t>/s</w:t>
            </w:r>
          </w:p>
        </w:tc>
      </w:tr>
      <w:tr w:rsidR="008151EA" w:rsidRPr="008151EA" w14:paraId="633EF939" w14:textId="77777777">
        <w:tc>
          <w:tcPr>
            <w:tcW w:w="1870" w:type="dxa"/>
          </w:tcPr>
          <w:p w14:paraId="40028EAE" w14:textId="1DCE0F45" w:rsidR="008151EA" w:rsidRPr="008151EA" w:rsidRDefault="00CF3C27" w:rsidP="00773049">
            <w:pPr>
              <w:pStyle w:val="Compact"/>
            </w:pPr>
            <w:proofErr w:type="spellStart"/>
            <w:r>
              <w:t>DynamoLLM</w:t>
            </w:r>
            <w:proofErr w:type="spellEnd"/>
            <w:r>
              <w:t xml:space="preserve"> (Coding)</w:t>
            </w:r>
          </w:p>
        </w:tc>
        <w:tc>
          <w:tcPr>
            <w:tcW w:w="1870" w:type="dxa"/>
          </w:tcPr>
          <w:p w14:paraId="3D2885AC" w14:textId="0C7EEEE2" w:rsidR="008151EA" w:rsidRPr="008151EA" w:rsidRDefault="00CF3C27" w:rsidP="00773049">
            <w:pPr>
              <w:pStyle w:val="Compact"/>
            </w:pPr>
            <w:r>
              <w:t>Azure production</w:t>
            </w:r>
          </w:p>
        </w:tc>
        <w:tc>
          <w:tcPr>
            <w:tcW w:w="1870" w:type="dxa"/>
          </w:tcPr>
          <w:p w14:paraId="569CF6DE" w14:textId="0D12A217" w:rsidR="008151EA" w:rsidRPr="008151EA" w:rsidRDefault="00CF3C27" w:rsidP="00773049">
            <w:pPr>
              <w:pStyle w:val="Compact"/>
            </w:pPr>
            <w:r>
              <w:t>22.0M</w:t>
            </w:r>
          </w:p>
        </w:tc>
        <w:tc>
          <w:tcPr>
            <w:tcW w:w="1870" w:type="dxa"/>
          </w:tcPr>
          <w:p w14:paraId="5EB78541" w14:textId="32B54004" w:rsidR="008151EA" w:rsidRPr="008151EA" w:rsidRDefault="00CF3C27" w:rsidP="00773049">
            <w:pPr>
              <w:pStyle w:val="Compact"/>
            </w:pPr>
            <w:r>
              <w:t>7 days (May 2024)</w:t>
            </w:r>
          </w:p>
        </w:tc>
        <w:tc>
          <w:tcPr>
            <w:tcW w:w="1870" w:type="dxa"/>
          </w:tcPr>
          <w:p w14:paraId="417FE9F3" w14:textId="0248E4B3" w:rsidR="008151EA" w:rsidRPr="008151EA" w:rsidRDefault="00CF3C27" w:rsidP="00773049">
            <w:pPr>
              <w:pStyle w:val="Compact"/>
            </w:pPr>
            <w:r>
              <w:t>4.5 s</w:t>
            </w:r>
          </w:p>
        </w:tc>
      </w:tr>
      <w:tr w:rsidR="008151EA" w:rsidRPr="008151EA" w14:paraId="1BD489D2" w14:textId="77777777">
        <w:tc>
          <w:tcPr>
            <w:tcW w:w="1870" w:type="dxa"/>
          </w:tcPr>
          <w:p w14:paraId="01EBF9C5" w14:textId="2E8C1835" w:rsidR="008151EA" w:rsidRPr="008151EA" w:rsidRDefault="00CF3C27" w:rsidP="00773049">
            <w:pPr>
              <w:pStyle w:val="Compact"/>
            </w:pPr>
            <w:proofErr w:type="spellStart"/>
            <w:r>
              <w:lastRenderedPageBreak/>
              <w:t>DynamoLLM</w:t>
            </w:r>
            <w:proofErr w:type="spellEnd"/>
            <w:r>
              <w:t xml:space="preserve"> (Conversation</w:t>
            </w:r>
          </w:p>
        </w:tc>
        <w:tc>
          <w:tcPr>
            <w:tcW w:w="1870" w:type="dxa"/>
          </w:tcPr>
          <w:p w14:paraId="54D9A9EC" w14:textId="0148991C" w:rsidR="008151EA" w:rsidRPr="008151EA" w:rsidRDefault="00CF3C27" w:rsidP="00773049">
            <w:pPr>
              <w:pStyle w:val="Compact"/>
            </w:pPr>
            <w:r>
              <w:t>Azure production</w:t>
            </w:r>
          </w:p>
        </w:tc>
        <w:tc>
          <w:tcPr>
            <w:tcW w:w="1870" w:type="dxa"/>
          </w:tcPr>
          <w:p w14:paraId="3D5894C9" w14:textId="4285E6F1" w:rsidR="008151EA" w:rsidRPr="008151EA" w:rsidRDefault="00CF3C27" w:rsidP="00773049">
            <w:pPr>
              <w:pStyle w:val="Compact"/>
            </w:pPr>
            <w:r>
              <w:t>22.1M</w:t>
            </w:r>
          </w:p>
        </w:tc>
        <w:tc>
          <w:tcPr>
            <w:tcW w:w="1870" w:type="dxa"/>
          </w:tcPr>
          <w:p w14:paraId="0A50A988" w14:textId="7B2EE09B" w:rsidR="008151EA" w:rsidRPr="00CF3C27" w:rsidRDefault="00CF3C27" w:rsidP="00773049">
            <w:pPr>
              <w:pStyle w:val="Compact"/>
            </w:pPr>
            <w:r w:rsidRPr="00CF3C27">
              <w:t>7 days (May 2024)</w:t>
            </w:r>
          </w:p>
        </w:tc>
        <w:tc>
          <w:tcPr>
            <w:tcW w:w="1870" w:type="dxa"/>
          </w:tcPr>
          <w:p w14:paraId="538476F5" w14:textId="60751FC9" w:rsidR="008151EA" w:rsidRPr="008151EA" w:rsidRDefault="00CF3C27" w:rsidP="00773049">
            <w:pPr>
              <w:pStyle w:val="Compact"/>
            </w:pPr>
            <w:r>
              <w:t>11.6 s</w:t>
            </w:r>
          </w:p>
        </w:tc>
      </w:tr>
      <w:tr w:rsidR="008151EA" w:rsidRPr="00DC24CA" w14:paraId="490A72D0" w14:textId="77777777">
        <w:tc>
          <w:tcPr>
            <w:tcW w:w="1870" w:type="dxa"/>
          </w:tcPr>
          <w:p w14:paraId="43B7F795" w14:textId="18E573E9" w:rsidR="008151EA" w:rsidRPr="008151EA" w:rsidRDefault="00CF3C27" w:rsidP="00773049">
            <w:pPr>
              <w:pStyle w:val="Compact"/>
            </w:pPr>
            <w:proofErr w:type="spellStart"/>
            <w:r>
              <w:t>BurstGPT</w:t>
            </w:r>
            <w:proofErr w:type="spellEnd"/>
          </w:p>
        </w:tc>
        <w:tc>
          <w:tcPr>
            <w:tcW w:w="1870" w:type="dxa"/>
          </w:tcPr>
          <w:p w14:paraId="03A1F51C" w14:textId="3A504679" w:rsidR="008151EA" w:rsidRPr="00DC24CA" w:rsidRDefault="00CF3C27" w:rsidP="00773049">
            <w:pPr>
              <w:pStyle w:val="Compact"/>
            </w:pPr>
            <w:r>
              <w:t xml:space="preserve">Azure </w:t>
            </w:r>
            <w:r>
              <w:t>OpenAI regional endpoints</w:t>
            </w:r>
          </w:p>
        </w:tc>
        <w:tc>
          <w:tcPr>
            <w:tcW w:w="1870" w:type="dxa"/>
          </w:tcPr>
          <w:p w14:paraId="7744EED0" w14:textId="5B7D3D82" w:rsidR="008151EA" w:rsidRPr="00DC24CA" w:rsidRDefault="00CF3C27" w:rsidP="00773049">
            <w:pPr>
              <w:pStyle w:val="Compact"/>
            </w:pPr>
            <w:r>
              <w:t>5.28M</w:t>
            </w:r>
          </w:p>
        </w:tc>
        <w:tc>
          <w:tcPr>
            <w:tcW w:w="1870" w:type="dxa"/>
          </w:tcPr>
          <w:p w14:paraId="2A8A91E2" w14:textId="1FFB4076" w:rsidR="008151EA" w:rsidRPr="00DC24CA" w:rsidRDefault="00CF3C27" w:rsidP="00773049">
            <w:pPr>
              <w:pStyle w:val="Compact"/>
            </w:pPr>
            <w:r>
              <w:t>121 days (Jan-Apr 2024)</w:t>
            </w:r>
          </w:p>
        </w:tc>
        <w:tc>
          <w:tcPr>
            <w:tcW w:w="1870" w:type="dxa"/>
          </w:tcPr>
          <w:p w14:paraId="210B495F" w14:textId="140863F0" w:rsidR="008151EA" w:rsidRPr="00DC24CA" w:rsidRDefault="00CF3C27" w:rsidP="00773049">
            <w:pPr>
              <w:pStyle w:val="Compact"/>
            </w:pPr>
            <w:r>
              <w:t>12.1 s</w:t>
            </w:r>
          </w:p>
        </w:tc>
      </w:tr>
    </w:tbl>
    <w:p w14:paraId="1976BD20" w14:textId="4B06B0E5" w:rsidR="008151EA" w:rsidRDefault="008151EA" w:rsidP="008151EA">
      <w:pPr>
        <w:pStyle w:val="Compact"/>
      </w:pPr>
    </w:p>
    <w:p w14:paraId="008B3506" w14:textId="4029EDAD" w:rsidR="00FC7C49" w:rsidRPr="00FC7C49" w:rsidRDefault="00FC7C49" w:rsidP="00FC7C49">
      <w:pPr>
        <w:pStyle w:val="Compact"/>
      </w:pPr>
      <w:r w:rsidRPr="00FC7C49">
        <w:t>The consistency across two independent Azure service tiers provides cross-validation. Both</w:t>
      </w:r>
      <w:r>
        <w:t xml:space="preserve"> </w:t>
      </w:r>
      <w:r w:rsidRPr="00FC7C49">
        <w:t>yield drain times approximately two orders of magnitude below the PJM dispatch window. The</w:t>
      </w:r>
      <w:r>
        <w:t xml:space="preserve"> </w:t>
      </w:r>
      <w:r w:rsidRPr="00FC7C49">
        <w:t xml:space="preserve">underlying </w:t>
      </w:r>
      <w:proofErr w:type="spellStart"/>
      <w:r w:rsidRPr="00FC7C49">
        <w:t>DynamoLLM</w:t>
      </w:r>
      <w:proofErr w:type="spellEnd"/>
      <w:r w:rsidRPr="00FC7C49">
        <w:t xml:space="preserve"> trace was characterized for energy-management purposes by</w:t>
      </w:r>
      <w:r>
        <w:t xml:space="preserve"> </w:t>
      </w:r>
      <w:r w:rsidRPr="00FC7C49">
        <w:t>Stojkovic et al. (HPCA 2025); our analysis aggregates the released per-request timestamps,</w:t>
      </w:r>
      <w:r>
        <w:t xml:space="preserve"> </w:t>
      </w:r>
      <w:r w:rsidRPr="00FC7C49">
        <w:t>context tokens, generated tokens, and time-to-</w:t>
      </w:r>
      <w:proofErr w:type="gramStart"/>
      <w:r w:rsidRPr="00FC7C49">
        <w:t>first-token</w:t>
      </w:r>
      <w:proofErr w:type="gramEnd"/>
      <w:r w:rsidRPr="00FC7C49">
        <w:t xml:space="preserve"> </w:t>
      </w:r>
      <w:r w:rsidR="00101ABF">
        <w:t xml:space="preserve">(TTFT) </w:t>
      </w:r>
      <w:r w:rsidRPr="00FC7C49">
        <w:t>to hourly resolution.</w:t>
      </w:r>
    </w:p>
    <w:p w14:paraId="777DC812" w14:textId="5FF9EB6E" w:rsidR="00FC7C49" w:rsidRPr="00FC7C49" w:rsidRDefault="00FC7C49" w:rsidP="00FC7C49">
      <w:pPr>
        <w:pStyle w:val="Compact"/>
      </w:pPr>
      <w:r w:rsidRPr="00FC7C49">
        <w:rPr>
          <w:b/>
          <w:bCs/>
        </w:rPr>
        <w:t xml:space="preserve">The 5% reserve. </w:t>
      </w:r>
      <w:r w:rsidRPr="00FC7C49">
        <w:t xml:space="preserve">The 5% excluded by </w:t>
      </w:r>
      <w:proofErr w:type="spellStart"/>
      <w:r w:rsidRPr="00FC7C49">
        <w:t>DRAIN_ok</w:t>
      </w:r>
      <w:proofErr w:type="spellEnd"/>
      <w:r w:rsidRPr="00FC7C49">
        <w:t xml:space="preserve"> = 0.95 accommodates: long-running or</w:t>
      </w:r>
    </w:p>
    <w:p w14:paraId="2F7150C7" w14:textId="77777777" w:rsidR="00FC7C49" w:rsidRPr="00FC7C49" w:rsidRDefault="00FC7C49" w:rsidP="00FC7C49">
      <w:pPr>
        <w:pStyle w:val="Compact"/>
      </w:pPr>
      <w:r w:rsidRPr="00FC7C49">
        <w:t>batched inference requests (document-scale summarization, multi-step reasoning chains</w:t>
      </w:r>
      <w:proofErr w:type="gramStart"/>
      <w:r w:rsidRPr="00FC7C49">
        <w:t>);</w:t>
      </w:r>
      <w:proofErr w:type="gramEnd"/>
    </w:p>
    <w:p w14:paraId="2934B970" w14:textId="77777777" w:rsidR="00FC7C49" w:rsidRPr="00FC7C49" w:rsidRDefault="00FC7C49" w:rsidP="00FC7C49">
      <w:pPr>
        <w:pStyle w:val="Compact"/>
      </w:pPr>
      <w:r w:rsidRPr="00FC7C49">
        <w:t xml:space="preserve">multi-turn conversational sessions with persistent state that cannot be cleanly </w:t>
      </w:r>
      <w:proofErr w:type="gramStart"/>
      <w:r w:rsidRPr="00FC7C49">
        <w:t>interrupted;</w:t>
      </w:r>
      <w:proofErr w:type="gramEnd"/>
    </w:p>
    <w:p w14:paraId="1FBFD814" w14:textId="77777777" w:rsidR="00101ABF" w:rsidRDefault="00FC7C49" w:rsidP="00FC7C49">
      <w:pPr>
        <w:pStyle w:val="Compact"/>
      </w:pPr>
      <w:r w:rsidRPr="00FC7C49">
        <w:t>potential future workload types with longer completion times; and four operational factors:</w:t>
      </w:r>
    </w:p>
    <w:p w14:paraId="48E4562C" w14:textId="77777777" w:rsidR="00101ABF" w:rsidRDefault="00FC7C49" w:rsidP="00B8415C">
      <w:pPr>
        <w:pStyle w:val="Compact"/>
        <w:numPr>
          <w:ilvl w:val="0"/>
          <w:numId w:val="6"/>
        </w:numPr>
      </w:pPr>
      <w:r w:rsidRPr="00FC7C49">
        <w:rPr>
          <w:b/>
          <w:bCs/>
        </w:rPr>
        <w:t xml:space="preserve">Mid-stream requests at dispatch. </w:t>
      </w:r>
      <w:r w:rsidRPr="00FC7C49">
        <w:t>Requests in the decode phase when the signal arrives</w:t>
      </w:r>
      <w:r w:rsidR="00101ABF">
        <w:t xml:space="preserve"> </w:t>
      </w:r>
      <w:r w:rsidRPr="00FC7C49">
        <w:t xml:space="preserve">must </w:t>
      </w:r>
      <w:proofErr w:type="gramStart"/>
      <w:r w:rsidRPr="00FC7C49">
        <w:t>complete</w:t>
      </w:r>
      <w:proofErr w:type="gramEnd"/>
      <w:r w:rsidRPr="00FC7C49">
        <w:t xml:space="preserve"> before the endpoint can be drained. The Azure traces confirm this</w:t>
      </w:r>
      <w:r w:rsidR="00101ABF">
        <w:t xml:space="preserve"> </w:t>
      </w:r>
      <w:r w:rsidRPr="00FC7C49">
        <w:t>completes in seconds.</w:t>
      </w:r>
    </w:p>
    <w:p w14:paraId="45976DD2" w14:textId="77777777" w:rsidR="00101ABF" w:rsidRDefault="00FC7C49" w:rsidP="00B8415C">
      <w:pPr>
        <w:pStyle w:val="Compact"/>
        <w:numPr>
          <w:ilvl w:val="0"/>
          <w:numId w:val="6"/>
        </w:numPr>
      </w:pPr>
      <w:r w:rsidRPr="00FC7C49">
        <w:rPr>
          <w:b/>
          <w:bCs/>
        </w:rPr>
        <w:t xml:space="preserve">Health check and DNS propagation lag. </w:t>
      </w:r>
      <w:r w:rsidRPr="00FC7C49">
        <w:t>Standard cloud load balancer configurations</w:t>
      </w:r>
      <w:r w:rsidR="00101ABF">
        <w:t xml:space="preserve"> </w:t>
      </w:r>
      <w:r w:rsidRPr="00FC7C49">
        <w:t>propagate health status within one to two polling cycles (5-30 seconds per cycle).</w:t>
      </w:r>
    </w:p>
    <w:p w14:paraId="324DF741" w14:textId="77777777" w:rsidR="00101ABF" w:rsidRDefault="00FC7C49" w:rsidP="00B8415C">
      <w:pPr>
        <w:pStyle w:val="Compact"/>
        <w:numPr>
          <w:ilvl w:val="0"/>
          <w:numId w:val="6"/>
        </w:numPr>
      </w:pPr>
      <w:r w:rsidRPr="00FC7C49">
        <w:rPr>
          <w:b/>
          <w:bCs/>
        </w:rPr>
        <w:t xml:space="preserve">Burst timing. </w:t>
      </w:r>
      <w:r w:rsidRPr="00FC7C49">
        <w:t>If the dispatch signal arrives during a request burst (peak-to-trough ratios</w:t>
      </w:r>
      <w:r w:rsidR="00101ABF">
        <w:t xml:space="preserve"> </w:t>
      </w:r>
      <w:r w:rsidRPr="00FC7C49">
        <w:t>of 2.0:1 to 10.0:1 in the Azure traces), drain time extends. At P99 burst load, the drain</w:t>
      </w:r>
      <w:r w:rsidR="00101ABF">
        <w:t xml:space="preserve"> </w:t>
      </w:r>
      <w:r w:rsidRPr="00FC7C49">
        <w:t>window is still under 30 seconds.</w:t>
      </w:r>
    </w:p>
    <w:p w14:paraId="773BBDCE" w14:textId="37B678A9" w:rsidR="00FC7C49" w:rsidRDefault="00FC7C49" w:rsidP="00B8415C">
      <w:pPr>
        <w:pStyle w:val="Compact"/>
        <w:numPr>
          <w:ilvl w:val="0"/>
          <w:numId w:val="6"/>
        </w:numPr>
      </w:pPr>
      <w:r w:rsidRPr="00FC7C49">
        <w:rPr>
          <w:b/>
          <w:bCs/>
        </w:rPr>
        <w:t xml:space="preserve">Configuration and orchestration errors. </w:t>
      </w:r>
      <w:r w:rsidRPr="00FC7C49">
        <w:t>The orchestration layer must correctly translate</w:t>
      </w:r>
      <w:r w:rsidR="00101ABF">
        <w:t xml:space="preserve"> </w:t>
      </w:r>
      <w:r w:rsidRPr="00FC7C49">
        <w:t>a PJM dispatch signal into endpoint-level routing changes across potentially dozens of</w:t>
      </w:r>
      <w:r w:rsidR="00101ABF">
        <w:t xml:space="preserve"> </w:t>
      </w:r>
      <w:r w:rsidRPr="00FC7C49">
        <w:t>serving clusters. The 5% reserve accounts for residual implementation risk.</w:t>
      </w:r>
    </w:p>
    <w:p w14:paraId="1DC0D484" w14:textId="77777777" w:rsidR="00101ABF" w:rsidRPr="00FC7C49" w:rsidRDefault="00101ABF" w:rsidP="00101ABF">
      <w:pPr>
        <w:pStyle w:val="Compact"/>
        <w:ind w:left="720"/>
      </w:pPr>
    </w:p>
    <w:p w14:paraId="5FC37ADF" w14:textId="6741A08A" w:rsidR="00101ABF" w:rsidRPr="00480E2F" w:rsidRDefault="00FC7C49" w:rsidP="00FC7C49">
      <w:pPr>
        <w:pStyle w:val="Compact"/>
      </w:pPr>
      <w:r w:rsidRPr="00FC7C49">
        <w:rPr>
          <w:b/>
          <w:bCs/>
        </w:rPr>
        <w:t xml:space="preserve">Range justification. </w:t>
      </w:r>
      <w:r w:rsidRPr="00FC7C49">
        <w:t>The [0.90, 0.98] range is deliberately tight because the timescale gap is so</w:t>
      </w:r>
      <w:r w:rsidR="00101ABF">
        <w:t xml:space="preserve"> </w:t>
      </w:r>
      <w:r w:rsidRPr="00FC7C49">
        <w:t>large. Lower bound reflects unmodeled queue-state dependencies during anomalous high-load</w:t>
      </w:r>
      <w:r w:rsidR="00101ABF">
        <w:t xml:space="preserve"> </w:t>
      </w:r>
      <w:r w:rsidRPr="00FC7C49">
        <w:t>conditions; upper bound reflects deterministic drain physics for the median request</w:t>
      </w:r>
      <w:r w:rsidR="00101ABF">
        <w:t xml:space="preserve"> </w:t>
      </w:r>
      <w:r w:rsidRPr="00FC7C49">
        <w:t>distribution.</w:t>
      </w:r>
    </w:p>
    <w:p w14:paraId="3CCB65A0" w14:textId="444524BB" w:rsidR="00FC7C49" w:rsidRPr="00FC7C49" w:rsidRDefault="00FC7C49" w:rsidP="00FC7C49">
      <w:pPr>
        <w:pStyle w:val="Compact"/>
      </w:pPr>
      <w:r w:rsidRPr="00FC7C49">
        <w:rPr>
          <w:b/>
          <w:bCs/>
        </w:rPr>
        <w:t xml:space="preserve">Sensitivity to the 60 </w:t>
      </w:r>
      <w:proofErr w:type="spellStart"/>
      <w:r w:rsidRPr="00FC7C49">
        <w:rPr>
          <w:b/>
          <w:bCs/>
        </w:rPr>
        <w:t>tok</w:t>
      </w:r>
      <w:proofErr w:type="spellEnd"/>
      <w:r w:rsidRPr="00FC7C49">
        <w:rPr>
          <w:b/>
          <w:bCs/>
        </w:rPr>
        <w:t xml:space="preserve">/s assumption. </w:t>
      </w:r>
      <w:r w:rsidRPr="00FC7C49">
        <w:t>Drain times are computed at an assumed generation</w:t>
      </w:r>
      <w:r w:rsidR="00101ABF">
        <w:t xml:space="preserve"> </w:t>
      </w:r>
      <w:r w:rsidRPr="00FC7C49">
        <w:t>rate of 60 tokens per second. Sensitivity to this assumption is reported in Extended Data Fig. 2</w:t>
      </w:r>
      <w:r w:rsidR="00101ABF">
        <w:t xml:space="preserve"> </w:t>
      </w:r>
      <w:r w:rsidRPr="00FC7C49">
        <w:t>of the NE manuscript; the timescale argument is robust to significant variation. At optimistic</w:t>
      </w:r>
      <w:r w:rsidR="00101ABF">
        <w:t xml:space="preserve"> </w:t>
      </w:r>
      <w:r w:rsidRPr="00FC7C49">
        <w:t xml:space="preserve">throughput (100 </w:t>
      </w:r>
      <w:proofErr w:type="spellStart"/>
      <w:r w:rsidRPr="00FC7C49">
        <w:t>tok</w:t>
      </w:r>
      <w:proofErr w:type="spellEnd"/>
      <w:r w:rsidRPr="00FC7C49">
        <w:t>/s), drain times compress to 2.7-7.0 seconds; at conservative throughput (30</w:t>
      </w:r>
      <w:r w:rsidR="00101ABF">
        <w:t xml:space="preserve"> </w:t>
      </w:r>
      <w:proofErr w:type="spellStart"/>
      <w:r w:rsidRPr="00FC7C49">
        <w:t>tok</w:t>
      </w:r>
      <w:proofErr w:type="spellEnd"/>
      <w:r w:rsidRPr="00FC7C49">
        <w:t>/</w:t>
      </w:r>
      <w:proofErr w:type="gramStart"/>
      <w:r w:rsidRPr="00FC7C49">
        <w:t>s )</w:t>
      </w:r>
      <w:proofErr w:type="gramEnd"/>
      <w:r w:rsidRPr="00FC7C49">
        <w:t>, they extend to 9.0-24.2 seconds - still well within the dispatch window.</w:t>
      </w:r>
    </w:p>
    <w:p w14:paraId="48EB4DBA" w14:textId="127BBDBD" w:rsidR="00FC7C49" w:rsidRDefault="00FC7C49" w:rsidP="00FC7C49">
      <w:pPr>
        <w:pStyle w:val="Compact"/>
        <w:pBdr>
          <w:bottom w:val="single" w:sz="12" w:space="1" w:color="auto"/>
        </w:pBdr>
      </w:pPr>
      <w:r w:rsidRPr="00FC7C49">
        <w:rPr>
          <w:b/>
          <w:bCs/>
        </w:rPr>
        <w:t xml:space="preserve">CV workbook status. </w:t>
      </w:r>
      <w:r w:rsidRPr="00FC7C49">
        <w:t>Section 4 analysis of the NE manuscript; not a CV target. Stays intact as</w:t>
      </w:r>
      <w:r w:rsidR="00480E2F">
        <w:t xml:space="preserve"> </w:t>
      </w:r>
      <w:r w:rsidRPr="00FC7C49">
        <w:t>the empirical backbone of the parameter.</w:t>
      </w:r>
    </w:p>
    <w:p w14:paraId="3CFCDEF1" w14:textId="77777777" w:rsidR="00B8415C" w:rsidRDefault="00B8415C" w:rsidP="00FC7C49">
      <w:pPr>
        <w:pStyle w:val="Compact"/>
        <w:pBdr>
          <w:bottom w:val="single" w:sz="12" w:space="1" w:color="auto"/>
        </w:pBdr>
      </w:pPr>
    </w:p>
    <w:p w14:paraId="42CF65A8" w14:textId="77777777" w:rsidR="00A3194E" w:rsidRDefault="00A3194E" w:rsidP="00A3194E">
      <w:pPr>
        <w:pStyle w:val="Compact"/>
        <w:rPr>
          <w:b/>
          <w:bCs/>
        </w:rPr>
      </w:pPr>
    </w:p>
    <w:p w14:paraId="0CA83C66" w14:textId="77777777" w:rsidR="00A3194E" w:rsidRDefault="00A3194E" w:rsidP="00A3194E">
      <w:pPr>
        <w:pStyle w:val="Compact"/>
        <w:rPr>
          <w:b/>
          <w:bCs/>
        </w:rPr>
      </w:pPr>
    </w:p>
    <w:p w14:paraId="333DF304" w14:textId="297BC7AF" w:rsidR="00A3194E" w:rsidRPr="00A3194E" w:rsidRDefault="00A3194E" w:rsidP="00A3194E">
      <w:pPr>
        <w:pStyle w:val="Compact"/>
        <w:rPr>
          <w:b/>
          <w:bCs/>
        </w:rPr>
      </w:pPr>
      <w:r w:rsidRPr="00A3194E">
        <w:rPr>
          <w:b/>
          <w:bCs/>
        </w:rPr>
        <w:t xml:space="preserve">DEST avail </w:t>
      </w:r>
      <w:r w:rsidRPr="00A3194E">
        <w:t xml:space="preserve">- </w:t>
      </w:r>
      <w:r w:rsidRPr="00A3194E">
        <w:rPr>
          <w:b/>
          <w:bCs/>
        </w:rPr>
        <w:t>Destination region stress-decorrelated availability</w:t>
      </w:r>
    </w:p>
    <w:tbl>
      <w:tblPr>
        <w:tblStyle w:val="TableGrid"/>
        <w:tblW w:w="0" w:type="auto"/>
        <w:tblLook w:val="04A0" w:firstRow="1" w:lastRow="0" w:firstColumn="1" w:lastColumn="0" w:noHBand="0" w:noVBand="1"/>
      </w:tblPr>
      <w:tblGrid>
        <w:gridCol w:w="4675"/>
        <w:gridCol w:w="4675"/>
      </w:tblGrid>
      <w:tr w:rsidR="00A3194E" w:rsidRPr="00A3194E" w14:paraId="5F463FCD" w14:textId="77777777" w:rsidTr="006F33B0">
        <w:tc>
          <w:tcPr>
            <w:tcW w:w="4675" w:type="dxa"/>
            <w:shd w:val="clear" w:color="auto" w:fill="D9D9D9" w:themeFill="background1" w:themeFillShade="D9"/>
          </w:tcPr>
          <w:p w14:paraId="7889264F" w14:textId="1B09ED28" w:rsidR="00A3194E" w:rsidRPr="00A3194E" w:rsidRDefault="00A3194E" w:rsidP="00993D00">
            <w:pPr>
              <w:pStyle w:val="Compact"/>
              <w:rPr>
                <w:b/>
                <w:bCs/>
              </w:rPr>
            </w:pPr>
            <w:r>
              <w:rPr>
                <w:b/>
                <w:bCs/>
              </w:rPr>
              <w:t>Attribute</w:t>
            </w:r>
          </w:p>
        </w:tc>
        <w:tc>
          <w:tcPr>
            <w:tcW w:w="4675" w:type="dxa"/>
            <w:shd w:val="clear" w:color="auto" w:fill="D9D9D9" w:themeFill="background1" w:themeFillShade="D9"/>
          </w:tcPr>
          <w:p w14:paraId="408F94A4" w14:textId="684D30F4" w:rsidR="00A3194E" w:rsidRPr="00A3194E" w:rsidRDefault="00A3194E" w:rsidP="00993D00">
            <w:pPr>
              <w:pStyle w:val="Compact"/>
              <w:rPr>
                <w:b/>
                <w:bCs/>
              </w:rPr>
            </w:pPr>
            <w:r>
              <w:rPr>
                <w:b/>
                <w:bCs/>
              </w:rPr>
              <w:t>Value</w:t>
            </w:r>
          </w:p>
        </w:tc>
      </w:tr>
      <w:tr w:rsidR="00A3194E" w:rsidRPr="00A3194E" w14:paraId="4194F19F" w14:textId="77777777">
        <w:tc>
          <w:tcPr>
            <w:tcW w:w="4675" w:type="dxa"/>
          </w:tcPr>
          <w:p w14:paraId="250A8EB7" w14:textId="0A790BBC" w:rsidR="00A3194E" w:rsidRPr="00A3194E" w:rsidRDefault="00A3194E" w:rsidP="00993D00">
            <w:pPr>
              <w:pStyle w:val="Compact"/>
            </w:pPr>
            <w:r>
              <w:t>Central</w:t>
            </w:r>
          </w:p>
        </w:tc>
        <w:tc>
          <w:tcPr>
            <w:tcW w:w="4675" w:type="dxa"/>
          </w:tcPr>
          <w:p w14:paraId="2111C3E5" w14:textId="0D329996" w:rsidR="00A3194E" w:rsidRPr="00A3194E" w:rsidRDefault="00A3194E" w:rsidP="00993D00">
            <w:pPr>
              <w:pStyle w:val="Compact"/>
            </w:pPr>
            <w:r>
              <w:t>0.945 (capacity-weighted any-destination availability across 200 ComEd stress hours</w:t>
            </w:r>
          </w:p>
        </w:tc>
      </w:tr>
      <w:tr w:rsidR="00A3194E" w:rsidRPr="00DC24CA" w14:paraId="41FBE95A" w14:textId="77777777">
        <w:tc>
          <w:tcPr>
            <w:tcW w:w="4675" w:type="dxa"/>
          </w:tcPr>
          <w:p w14:paraId="0A063AE7" w14:textId="304EC47A" w:rsidR="00A3194E" w:rsidRPr="00DC24CA" w:rsidRDefault="00A3194E" w:rsidP="00993D00">
            <w:pPr>
              <w:pStyle w:val="Compact"/>
            </w:pPr>
            <w:r>
              <w:t>Range</w:t>
            </w:r>
          </w:p>
        </w:tc>
        <w:tc>
          <w:tcPr>
            <w:tcW w:w="4675" w:type="dxa"/>
          </w:tcPr>
          <w:p w14:paraId="2C0E771A" w14:textId="1781F770" w:rsidR="00A3194E" w:rsidRPr="00DC24CA" w:rsidRDefault="00A3194E" w:rsidP="00993D00">
            <w:pPr>
              <w:pStyle w:val="Compact"/>
            </w:pPr>
            <w:r>
              <w:t>Per-hour realized in conditional MC; triangular [0.87, 0.945, 0.995] for unconditional analysis</w:t>
            </w:r>
          </w:p>
        </w:tc>
      </w:tr>
      <w:tr w:rsidR="00A3194E" w:rsidRPr="00DC24CA" w14:paraId="0E00CF6E" w14:textId="77777777">
        <w:tc>
          <w:tcPr>
            <w:tcW w:w="4675" w:type="dxa"/>
          </w:tcPr>
          <w:p w14:paraId="32DE098C" w14:textId="5631555F" w:rsidR="00A3194E" w:rsidRDefault="00A3194E" w:rsidP="00993D00">
            <w:pPr>
              <w:pStyle w:val="Compact"/>
            </w:pPr>
            <w:r>
              <w:t>Grounding</w:t>
            </w:r>
          </w:p>
        </w:tc>
        <w:tc>
          <w:tcPr>
            <w:tcW w:w="4675" w:type="dxa"/>
          </w:tcPr>
          <w:p w14:paraId="0B210D1D" w14:textId="3A2FC665" w:rsidR="00A3194E" w:rsidRPr="00DC24CA" w:rsidRDefault="00A3194E" w:rsidP="00993D00">
            <w:pPr>
              <w:pStyle w:val="Compact"/>
            </w:pPr>
            <w:r>
              <w:t>DATA</w:t>
            </w:r>
          </w:p>
        </w:tc>
      </w:tr>
    </w:tbl>
    <w:p w14:paraId="0D14B62E" w14:textId="61A0FFFB" w:rsidR="00A3194E" w:rsidRDefault="00A3194E" w:rsidP="00A3194E">
      <w:pPr>
        <w:pStyle w:val="Compact"/>
      </w:pPr>
    </w:p>
    <w:p w14:paraId="204412D2" w14:textId="78F6998B" w:rsidR="00143B9D" w:rsidRPr="00143B9D" w:rsidRDefault="00143B9D" w:rsidP="00143B9D">
      <w:pPr>
        <w:pStyle w:val="Compact"/>
      </w:pPr>
      <w:r w:rsidRPr="00143B9D">
        <w:rPr>
          <w:b/>
          <w:bCs/>
        </w:rPr>
        <w:t xml:space="preserve">What DEST avail measures. </w:t>
      </w:r>
      <w:r w:rsidRPr="00143B9D">
        <w:t>Of destination zones, what fraction is itself unstressed (DA LMP</w:t>
      </w:r>
      <w:r>
        <w:t xml:space="preserve"> </w:t>
      </w:r>
      <w:r w:rsidRPr="00143B9D">
        <w:t>below stress threshold) at the dispatch hour?</w:t>
      </w:r>
    </w:p>
    <w:p w14:paraId="62B26D69" w14:textId="77777777" w:rsidR="00143B9D" w:rsidRDefault="00143B9D" w:rsidP="00143B9D">
      <w:pPr>
        <w:pStyle w:val="Compact"/>
        <w:rPr>
          <w:b/>
          <w:bCs/>
        </w:rPr>
      </w:pPr>
    </w:p>
    <w:p w14:paraId="0F50BAFD" w14:textId="5DB42313" w:rsidR="00143B9D" w:rsidRPr="00143B9D" w:rsidRDefault="00143B9D" w:rsidP="00143B9D">
      <w:pPr>
        <w:pStyle w:val="Compact"/>
      </w:pPr>
      <w:r w:rsidRPr="00143B9D">
        <w:rPr>
          <w:b/>
          <w:bCs/>
        </w:rPr>
        <w:t xml:space="preserve">What DEST avail does NOT measure. </w:t>
      </w:r>
      <w:r w:rsidRPr="00143B9D">
        <w:t xml:space="preserve">Whether unstressed destinations have spare GPU </w:t>
      </w:r>
      <w:proofErr w:type="gramStart"/>
      <w:r w:rsidRPr="00143B9D">
        <w:t xml:space="preserve">( </w:t>
      </w:r>
      <w:r w:rsidRPr="00143B9D">
        <w:rPr>
          <w:rFonts w:ascii="Segoe UI Symbol" w:hAnsi="Segoe UI Symbol" w:cs="Segoe UI Symbol"/>
        </w:rPr>
        <w:t>➔</w:t>
      </w:r>
      <w:proofErr w:type="gramEnd"/>
      <w:r w:rsidRPr="00143B9D">
        <w:t>DEST _absorb); network adequacy (</w:t>
      </w:r>
      <w:r w:rsidRPr="00143B9D">
        <w:rPr>
          <w:rFonts w:ascii="Segoe UI Symbol" w:hAnsi="Segoe UI Symbol" w:cs="Segoe UI Symbol"/>
        </w:rPr>
        <w:t>➔</w:t>
      </w:r>
      <w:r w:rsidRPr="00143B9D">
        <w:t xml:space="preserve"> NET ok); orchestration reliability </w:t>
      </w:r>
      <w:proofErr w:type="gramStart"/>
      <w:r w:rsidRPr="00143B9D">
        <w:t xml:space="preserve">( </w:t>
      </w:r>
      <w:r w:rsidRPr="00143B9D">
        <w:rPr>
          <w:rFonts w:ascii="Segoe UI Symbol" w:hAnsi="Segoe UI Symbol" w:cs="Segoe UI Symbol"/>
        </w:rPr>
        <w:t>➔</w:t>
      </w:r>
      <w:proofErr w:type="gramEnd"/>
      <w:r w:rsidRPr="00143B9D">
        <w:t xml:space="preserve"> </w:t>
      </w:r>
      <w:proofErr w:type="spellStart"/>
      <w:r w:rsidRPr="00143B9D">
        <w:t>ORCH_ok</w:t>
      </w:r>
      <w:proofErr w:type="spellEnd"/>
      <w:r w:rsidRPr="00143B9D">
        <w:t>).</w:t>
      </w:r>
    </w:p>
    <w:p w14:paraId="42371DB2" w14:textId="77777777" w:rsidR="00143B9D" w:rsidRDefault="00143B9D" w:rsidP="00143B9D">
      <w:pPr>
        <w:pStyle w:val="Compact"/>
        <w:rPr>
          <w:b/>
          <w:bCs/>
        </w:rPr>
      </w:pPr>
    </w:p>
    <w:p w14:paraId="48EA6A0E" w14:textId="77777777" w:rsidR="00143B9D" w:rsidRDefault="00143B9D" w:rsidP="00143B9D">
      <w:pPr>
        <w:pStyle w:val="Compact"/>
        <w:rPr>
          <w:b/>
          <w:bCs/>
        </w:rPr>
      </w:pPr>
      <w:r w:rsidRPr="00143B9D">
        <w:rPr>
          <w:b/>
          <w:bCs/>
        </w:rPr>
        <w:t>Treatment in the two Monte Carlo frameworks.</w:t>
      </w:r>
    </w:p>
    <w:p w14:paraId="428D0A3C" w14:textId="77777777" w:rsidR="00143B9D" w:rsidRDefault="00143B9D" w:rsidP="00B8415C">
      <w:pPr>
        <w:pStyle w:val="Compact"/>
        <w:numPr>
          <w:ilvl w:val="0"/>
          <w:numId w:val="7"/>
        </w:numPr>
        <w:rPr>
          <w:b/>
          <w:bCs/>
        </w:rPr>
      </w:pPr>
      <w:r w:rsidRPr="00143B9D">
        <w:rPr>
          <w:b/>
          <w:bCs/>
        </w:rPr>
        <w:t xml:space="preserve">Unconditional cascade MC </w:t>
      </w:r>
      <w:r w:rsidRPr="00143B9D">
        <w:t>(variance decomposition): DEST _avail is drawn from</w:t>
      </w:r>
      <w:r>
        <w:rPr>
          <w:b/>
          <w:bCs/>
        </w:rPr>
        <w:t xml:space="preserve"> </w:t>
      </w:r>
      <w:r w:rsidRPr="00143B9D">
        <w:t>triangular [0.87, 0.945, 0.995] as a parametric representation of availability uncertainty.</w:t>
      </w:r>
    </w:p>
    <w:p w14:paraId="02201710" w14:textId="29AD48D8" w:rsidR="00143B9D" w:rsidRPr="00143B9D" w:rsidRDefault="00143B9D" w:rsidP="00B8415C">
      <w:pPr>
        <w:pStyle w:val="Compact"/>
        <w:numPr>
          <w:ilvl w:val="0"/>
          <w:numId w:val="7"/>
        </w:numPr>
      </w:pPr>
      <w:r w:rsidRPr="00143B9D">
        <w:rPr>
          <w:b/>
          <w:bCs/>
        </w:rPr>
        <w:t xml:space="preserve">Conditional MC </w:t>
      </w:r>
      <w:r w:rsidRPr="00143B9D">
        <w:t>(NE §5 headline): DEST _avail is replaced by observed per-hour, per</w:t>
      </w:r>
      <w:r>
        <w:t xml:space="preserve"> </w:t>
      </w:r>
      <w:r w:rsidRPr="00143B9D">
        <w:t>destination</w:t>
      </w:r>
      <w:r w:rsidR="006F33B0">
        <w:t xml:space="preserve"> </w:t>
      </w:r>
      <w:r w:rsidRPr="00143B9D">
        <w:t>binary realizations from the DA LMP data. This is the "conditional" in</w:t>
      </w:r>
      <w:r w:rsidR="006F33B0">
        <w:t xml:space="preserve"> </w:t>
      </w:r>
      <w:r w:rsidRPr="00143B9D">
        <w:t>conditional Monte Carlo - the simulation conditions on actual grid states rather than</w:t>
      </w:r>
      <w:r w:rsidR="006F33B0">
        <w:t xml:space="preserve"> </w:t>
      </w:r>
      <w:r w:rsidRPr="00143B9D">
        <w:t>drawing parametrically.</w:t>
      </w:r>
    </w:p>
    <w:p w14:paraId="0CB8AEA8" w14:textId="77777777" w:rsidR="006F33B0" w:rsidRDefault="006F33B0" w:rsidP="00143B9D">
      <w:pPr>
        <w:pStyle w:val="Compact"/>
        <w:rPr>
          <w:b/>
          <w:bCs/>
        </w:rPr>
      </w:pPr>
    </w:p>
    <w:p w14:paraId="24218274" w14:textId="77D04A20" w:rsidR="00143B9D" w:rsidRPr="00143B9D" w:rsidRDefault="00143B9D" w:rsidP="00143B9D">
      <w:pPr>
        <w:pStyle w:val="Compact"/>
      </w:pPr>
      <w:r w:rsidRPr="00143B9D">
        <w:rPr>
          <w:b/>
          <w:bCs/>
        </w:rPr>
        <w:t xml:space="preserve">Empirical result. </w:t>
      </w:r>
      <w:r w:rsidRPr="00143B9D">
        <w:t>Using 35,060 hours of day-ahead LMP data from January 2022 through</w:t>
      </w:r>
    </w:p>
    <w:p w14:paraId="744721CF" w14:textId="10ED0977" w:rsidR="00143B9D" w:rsidRDefault="00143B9D" w:rsidP="00143B9D">
      <w:pPr>
        <w:pStyle w:val="Compact"/>
      </w:pPr>
      <w:r w:rsidRPr="00143B9D">
        <w:t>December 2025 across 17 destination pricing zones mapped to verified data center</w:t>
      </w:r>
      <w:r w:rsidR="006F33B0">
        <w:t xml:space="preserve"> </w:t>
      </w:r>
      <w:r w:rsidRPr="00143B9D">
        <w:t>locations</w:t>
      </w:r>
      <w:r w:rsidR="006F33B0">
        <w:t xml:space="preserve"> </w:t>
      </w:r>
      <w:r w:rsidRPr="00143B9D">
        <w:t>(DOE/NREL Speed to Power county-level inventory):</w:t>
      </w:r>
    </w:p>
    <w:tbl>
      <w:tblPr>
        <w:tblStyle w:val="TableGrid"/>
        <w:tblW w:w="0" w:type="auto"/>
        <w:tblLook w:val="04A0" w:firstRow="1" w:lastRow="0" w:firstColumn="1" w:lastColumn="0" w:noHBand="0" w:noVBand="1"/>
      </w:tblPr>
      <w:tblGrid>
        <w:gridCol w:w="1870"/>
        <w:gridCol w:w="1870"/>
        <w:gridCol w:w="1870"/>
        <w:gridCol w:w="1870"/>
        <w:gridCol w:w="1870"/>
      </w:tblGrid>
      <w:tr w:rsidR="006F33B0" w:rsidRPr="006F33B0" w14:paraId="1083810E" w14:textId="77777777" w:rsidTr="006F33B0">
        <w:tc>
          <w:tcPr>
            <w:tcW w:w="1870" w:type="dxa"/>
            <w:shd w:val="clear" w:color="auto" w:fill="D9D9D9" w:themeFill="background1" w:themeFillShade="D9"/>
          </w:tcPr>
          <w:p w14:paraId="248E4DD5" w14:textId="07FDFF95" w:rsidR="006F33B0" w:rsidRPr="006F33B0" w:rsidRDefault="006F33B0" w:rsidP="00143B9D">
            <w:pPr>
              <w:pStyle w:val="Compact"/>
              <w:rPr>
                <w:b/>
                <w:bCs/>
              </w:rPr>
            </w:pPr>
            <w:r>
              <w:rPr>
                <w:b/>
                <w:bCs/>
              </w:rPr>
              <w:t>Source zone</w:t>
            </w:r>
          </w:p>
        </w:tc>
        <w:tc>
          <w:tcPr>
            <w:tcW w:w="1870" w:type="dxa"/>
            <w:shd w:val="clear" w:color="auto" w:fill="D9D9D9" w:themeFill="background1" w:themeFillShade="D9"/>
          </w:tcPr>
          <w:p w14:paraId="024CA5B8" w14:textId="3C002BAD" w:rsidR="006F33B0" w:rsidRPr="006F33B0" w:rsidRDefault="006F33B0" w:rsidP="00143B9D">
            <w:pPr>
              <w:pStyle w:val="Compact"/>
              <w:rPr>
                <w:b/>
                <w:bCs/>
              </w:rPr>
            </w:pPr>
            <w:r>
              <w:rPr>
                <w:b/>
                <w:bCs/>
              </w:rPr>
              <w:t>DC capacity</w:t>
            </w:r>
          </w:p>
        </w:tc>
        <w:tc>
          <w:tcPr>
            <w:tcW w:w="1870" w:type="dxa"/>
            <w:shd w:val="clear" w:color="auto" w:fill="D9D9D9" w:themeFill="background1" w:themeFillShade="D9"/>
          </w:tcPr>
          <w:p w14:paraId="517E464E" w14:textId="69FFEA06" w:rsidR="006F33B0" w:rsidRPr="006F33B0" w:rsidRDefault="006F33B0" w:rsidP="00143B9D">
            <w:pPr>
              <w:pStyle w:val="Compact"/>
              <w:rPr>
                <w:b/>
                <w:bCs/>
              </w:rPr>
            </w:pPr>
            <w:r>
              <w:rPr>
                <w:b/>
                <w:bCs/>
              </w:rPr>
              <w:t>Stress hours</w:t>
            </w:r>
          </w:p>
        </w:tc>
        <w:tc>
          <w:tcPr>
            <w:tcW w:w="1870" w:type="dxa"/>
            <w:shd w:val="clear" w:color="auto" w:fill="D9D9D9" w:themeFill="background1" w:themeFillShade="D9"/>
          </w:tcPr>
          <w:p w14:paraId="745BFC98" w14:textId="7348622D" w:rsidR="006F33B0" w:rsidRPr="006F33B0" w:rsidRDefault="006F33B0" w:rsidP="00143B9D">
            <w:pPr>
              <w:pStyle w:val="Compact"/>
              <w:rPr>
                <w:b/>
                <w:bCs/>
              </w:rPr>
            </w:pPr>
            <w:r>
              <w:rPr>
                <w:b/>
                <w:bCs/>
              </w:rPr>
              <w:t>Available</w:t>
            </w:r>
          </w:p>
        </w:tc>
        <w:tc>
          <w:tcPr>
            <w:tcW w:w="1870" w:type="dxa"/>
            <w:shd w:val="clear" w:color="auto" w:fill="D9D9D9" w:themeFill="background1" w:themeFillShade="D9"/>
          </w:tcPr>
          <w:p w14:paraId="07F65765" w14:textId="48C693B7" w:rsidR="006F33B0" w:rsidRPr="006F33B0" w:rsidRDefault="006F33B0" w:rsidP="00143B9D">
            <w:pPr>
              <w:pStyle w:val="Compact"/>
              <w:rPr>
                <w:b/>
                <w:bCs/>
              </w:rPr>
            </w:pPr>
            <w:r>
              <w:rPr>
                <w:b/>
                <w:bCs/>
              </w:rPr>
              <w:t>Dynamic availability</w:t>
            </w:r>
          </w:p>
        </w:tc>
      </w:tr>
      <w:tr w:rsidR="006F33B0" w14:paraId="11222631" w14:textId="77777777" w:rsidTr="006F33B0">
        <w:tc>
          <w:tcPr>
            <w:tcW w:w="1870" w:type="dxa"/>
          </w:tcPr>
          <w:p w14:paraId="1FFAB4E1" w14:textId="3AC2E607" w:rsidR="006F33B0" w:rsidRDefault="00B33308" w:rsidP="00143B9D">
            <w:pPr>
              <w:pStyle w:val="Compact"/>
            </w:pPr>
            <w:r>
              <w:t>PJM ComEd (Northern Illinois)</w:t>
            </w:r>
          </w:p>
        </w:tc>
        <w:tc>
          <w:tcPr>
            <w:tcW w:w="1870" w:type="dxa"/>
          </w:tcPr>
          <w:p w14:paraId="6FF9D774" w14:textId="7C2F2530" w:rsidR="006F33B0" w:rsidRDefault="00B33308" w:rsidP="00143B9D">
            <w:pPr>
              <w:pStyle w:val="Compact"/>
            </w:pPr>
            <w:r>
              <w:t>1,647 MW</w:t>
            </w:r>
          </w:p>
        </w:tc>
        <w:tc>
          <w:tcPr>
            <w:tcW w:w="1870" w:type="dxa"/>
          </w:tcPr>
          <w:p w14:paraId="5ECB746D" w14:textId="6C3665CE" w:rsidR="006F33B0" w:rsidRDefault="00B33308" w:rsidP="00143B9D">
            <w:pPr>
              <w:pStyle w:val="Compact"/>
            </w:pPr>
            <w:r>
              <w:t>200</w:t>
            </w:r>
          </w:p>
        </w:tc>
        <w:tc>
          <w:tcPr>
            <w:tcW w:w="1870" w:type="dxa"/>
          </w:tcPr>
          <w:p w14:paraId="3E3E5A08" w14:textId="7D04B9B1" w:rsidR="006F33B0" w:rsidRDefault="00C01028" w:rsidP="00143B9D">
            <w:pPr>
              <w:pStyle w:val="Compact"/>
            </w:pPr>
            <w:r>
              <w:t>198</w:t>
            </w:r>
          </w:p>
        </w:tc>
        <w:tc>
          <w:tcPr>
            <w:tcW w:w="1870" w:type="dxa"/>
          </w:tcPr>
          <w:p w14:paraId="7910B5FA" w14:textId="0F918CF1" w:rsidR="006F33B0" w:rsidRDefault="00C01028" w:rsidP="00143B9D">
            <w:pPr>
              <w:pStyle w:val="Compact"/>
            </w:pPr>
            <w:r>
              <w:t>99.0%</w:t>
            </w:r>
          </w:p>
        </w:tc>
      </w:tr>
      <w:tr w:rsidR="006F33B0" w14:paraId="522F68DE" w14:textId="77777777" w:rsidTr="006F33B0">
        <w:tc>
          <w:tcPr>
            <w:tcW w:w="1870" w:type="dxa"/>
          </w:tcPr>
          <w:p w14:paraId="661FEEB4" w14:textId="44A9B01C" w:rsidR="006F33B0" w:rsidRDefault="00B33308" w:rsidP="00143B9D">
            <w:pPr>
              <w:pStyle w:val="Compact"/>
            </w:pPr>
            <w:r>
              <w:t>PJM Dominion (Northern Virginia)</w:t>
            </w:r>
          </w:p>
        </w:tc>
        <w:tc>
          <w:tcPr>
            <w:tcW w:w="1870" w:type="dxa"/>
          </w:tcPr>
          <w:p w14:paraId="7215657A" w14:textId="3FA63E6C" w:rsidR="006F33B0" w:rsidRDefault="00B33308" w:rsidP="00143B9D">
            <w:pPr>
              <w:pStyle w:val="Compact"/>
            </w:pPr>
            <w:r>
              <w:t>9,431 MW</w:t>
            </w:r>
          </w:p>
        </w:tc>
        <w:tc>
          <w:tcPr>
            <w:tcW w:w="1870" w:type="dxa"/>
          </w:tcPr>
          <w:p w14:paraId="39E2DD5A" w14:textId="195E1664" w:rsidR="006F33B0" w:rsidRDefault="00B33308" w:rsidP="00143B9D">
            <w:pPr>
              <w:pStyle w:val="Compact"/>
            </w:pPr>
            <w:r>
              <w:t>200</w:t>
            </w:r>
          </w:p>
        </w:tc>
        <w:tc>
          <w:tcPr>
            <w:tcW w:w="1870" w:type="dxa"/>
          </w:tcPr>
          <w:p w14:paraId="4F528C0D" w14:textId="578980FE" w:rsidR="006F33B0" w:rsidRDefault="00C01028" w:rsidP="00143B9D">
            <w:pPr>
              <w:pStyle w:val="Compact"/>
            </w:pPr>
            <w:r>
              <w:t>199</w:t>
            </w:r>
          </w:p>
        </w:tc>
        <w:tc>
          <w:tcPr>
            <w:tcW w:w="1870" w:type="dxa"/>
          </w:tcPr>
          <w:p w14:paraId="2CD3BE11" w14:textId="3DA9CC99" w:rsidR="006F33B0" w:rsidRDefault="00C01028" w:rsidP="00143B9D">
            <w:pPr>
              <w:pStyle w:val="Compact"/>
            </w:pPr>
            <w:r>
              <w:t>99.5%</w:t>
            </w:r>
          </w:p>
        </w:tc>
      </w:tr>
      <w:tr w:rsidR="006F33B0" w14:paraId="4877083E" w14:textId="77777777" w:rsidTr="006F33B0">
        <w:tc>
          <w:tcPr>
            <w:tcW w:w="1870" w:type="dxa"/>
          </w:tcPr>
          <w:p w14:paraId="7FD6EC8E" w14:textId="48BFEAD5" w:rsidR="006F33B0" w:rsidRDefault="00B33308" w:rsidP="00143B9D">
            <w:pPr>
              <w:pStyle w:val="Compact"/>
            </w:pPr>
            <w:r>
              <w:t>ERCOT LZ North (Dallas-Fort Worth)</w:t>
            </w:r>
          </w:p>
        </w:tc>
        <w:tc>
          <w:tcPr>
            <w:tcW w:w="1870" w:type="dxa"/>
          </w:tcPr>
          <w:p w14:paraId="733DF09B" w14:textId="797C9070" w:rsidR="006F33B0" w:rsidRDefault="00B33308" w:rsidP="00143B9D">
            <w:pPr>
              <w:pStyle w:val="Compact"/>
            </w:pPr>
            <w:r>
              <w:t>4,275 MW</w:t>
            </w:r>
          </w:p>
        </w:tc>
        <w:tc>
          <w:tcPr>
            <w:tcW w:w="1870" w:type="dxa"/>
          </w:tcPr>
          <w:p w14:paraId="2A444F3D" w14:textId="53CBF450" w:rsidR="006F33B0" w:rsidRDefault="00B33308" w:rsidP="00143B9D">
            <w:pPr>
              <w:pStyle w:val="Compact"/>
            </w:pPr>
            <w:r>
              <w:t>200</w:t>
            </w:r>
          </w:p>
        </w:tc>
        <w:tc>
          <w:tcPr>
            <w:tcW w:w="1870" w:type="dxa"/>
          </w:tcPr>
          <w:p w14:paraId="19A0A46A" w14:textId="281D64EC" w:rsidR="006F33B0" w:rsidRDefault="00C01028" w:rsidP="00143B9D">
            <w:pPr>
              <w:pStyle w:val="Compact"/>
            </w:pPr>
            <w:r>
              <w:t>200</w:t>
            </w:r>
          </w:p>
        </w:tc>
        <w:tc>
          <w:tcPr>
            <w:tcW w:w="1870" w:type="dxa"/>
          </w:tcPr>
          <w:p w14:paraId="42D03466" w14:textId="1732106B" w:rsidR="006F33B0" w:rsidRDefault="00C01028" w:rsidP="00143B9D">
            <w:pPr>
              <w:pStyle w:val="Compact"/>
            </w:pPr>
            <w:r>
              <w:t>100.0%</w:t>
            </w:r>
          </w:p>
        </w:tc>
      </w:tr>
      <w:tr w:rsidR="006F33B0" w14:paraId="0A081B53" w14:textId="77777777" w:rsidTr="006F33B0">
        <w:tc>
          <w:tcPr>
            <w:tcW w:w="1870" w:type="dxa"/>
          </w:tcPr>
          <w:p w14:paraId="19840E8A" w14:textId="3C6704E2" w:rsidR="006F33B0" w:rsidRDefault="00B33308" w:rsidP="00143B9D">
            <w:pPr>
              <w:pStyle w:val="Compact"/>
            </w:pPr>
            <w:r>
              <w:lastRenderedPageBreak/>
              <w:t>CAIS NP 15 (Silicon Valley)</w:t>
            </w:r>
          </w:p>
        </w:tc>
        <w:tc>
          <w:tcPr>
            <w:tcW w:w="1870" w:type="dxa"/>
          </w:tcPr>
          <w:p w14:paraId="7A2E79B4" w14:textId="415109D8" w:rsidR="006F33B0" w:rsidRDefault="00B33308" w:rsidP="00143B9D">
            <w:pPr>
              <w:pStyle w:val="Compact"/>
            </w:pPr>
            <w:r>
              <w:t>1,311 MW</w:t>
            </w:r>
          </w:p>
        </w:tc>
        <w:tc>
          <w:tcPr>
            <w:tcW w:w="1870" w:type="dxa"/>
          </w:tcPr>
          <w:p w14:paraId="63FFE9B9" w14:textId="3C3B2FA4" w:rsidR="006F33B0" w:rsidRDefault="00B33308" w:rsidP="00143B9D">
            <w:pPr>
              <w:pStyle w:val="Compact"/>
            </w:pPr>
            <w:r>
              <w:t>200</w:t>
            </w:r>
          </w:p>
        </w:tc>
        <w:tc>
          <w:tcPr>
            <w:tcW w:w="1870" w:type="dxa"/>
          </w:tcPr>
          <w:p w14:paraId="6BB63772" w14:textId="1B02ECA6" w:rsidR="006F33B0" w:rsidRDefault="00C01028" w:rsidP="00143B9D">
            <w:pPr>
              <w:pStyle w:val="Compact"/>
            </w:pPr>
            <w:r>
              <w:t>200</w:t>
            </w:r>
          </w:p>
        </w:tc>
        <w:tc>
          <w:tcPr>
            <w:tcW w:w="1870" w:type="dxa"/>
          </w:tcPr>
          <w:p w14:paraId="4879F711" w14:textId="5CB125DE" w:rsidR="006F33B0" w:rsidRDefault="00C01028" w:rsidP="00143B9D">
            <w:pPr>
              <w:pStyle w:val="Compact"/>
            </w:pPr>
            <w:r>
              <w:t>100.0%</w:t>
            </w:r>
          </w:p>
        </w:tc>
      </w:tr>
    </w:tbl>
    <w:p w14:paraId="7DAC305F" w14:textId="77777777" w:rsidR="006F33B0" w:rsidRDefault="006F33B0" w:rsidP="00143B9D">
      <w:pPr>
        <w:pStyle w:val="Compact"/>
      </w:pPr>
    </w:p>
    <w:p w14:paraId="4B7446D2" w14:textId="77777777" w:rsidR="00511D6E" w:rsidRDefault="00511D6E" w:rsidP="00143B9D">
      <w:pPr>
        <w:pStyle w:val="Compact"/>
      </w:pPr>
    </w:p>
    <w:p w14:paraId="56AF209D" w14:textId="66E43AE8" w:rsidR="00511D6E" w:rsidRPr="00511D6E" w:rsidRDefault="00511D6E" w:rsidP="00511D6E">
      <w:pPr>
        <w:pStyle w:val="Compact"/>
      </w:pPr>
      <w:r w:rsidRPr="00511D6E">
        <w:t>The two ComEd failure hours cluster in the January 2024 Arctic Blast, a continental-scale cold</w:t>
      </w:r>
      <w:r>
        <w:t xml:space="preserve"> </w:t>
      </w:r>
      <w:r w:rsidRPr="00511D6E">
        <w:t>event that simultaneously stressed every major grid.</w:t>
      </w:r>
    </w:p>
    <w:p w14:paraId="1C8A5347" w14:textId="77777777" w:rsidR="00511D6E" w:rsidRDefault="00511D6E" w:rsidP="00511D6E">
      <w:pPr>
        <w:pStyle w:val="Compact"/>
        <w:rPr>
          <w:b/>
          <w:bCs/>
        </w:rPr>
      </w:pPr>
    </w:p>
    <w:p w14:paraId="30944C33" w14:textId="54F7859C" w:rsidR="00511D6E" w:rsidRPr="00511D6E" w:rsidRDefault="00511D6E" w:rsidP="00511D6E">
      <w:pPr>
        <w:pStyle w:val="Compact"/>
      </w:pPr>
      <w:r w:rsidRPr="00511D6E">
        <w:rPr>
          <w:b/>
          <w:bCs/>
        </w:rPr>
        <w:t xml:space="preserve">Note on central value. </w:t>
      </w:r>
      <w:r w:rsidRPr="00511D6E">
        <w:t>The capacity-weighted reading (0.945) is reported as the central value</w:t>
      </w:r>
      <w:r>
        <w:t xml:space="preserve"> </w:t>
      </w:r>
      <w:r w:rsidRPr="00511D6E">
        <w:t>rather than the binary any-destination reading (0.99) because the capacity-weighted reading is</w:t>
      </w:r>
      <w:r>
        <w:t xml:space="preserve"> </w:t>
      </w:r>
      <w:r w:rsidRPr="00511D6E">
        <w:t>the one that flows naturally through the conditional MC, which weights destinations by</w:t>
      </w:r>
      <w:r>
        <w:t xml:space="preserve"> </w:t>
      </w:r>
      <w:r w:rsidRPr="00511D6E">
        <w:t>available headroom; the 0.99 binary number is a sub-claim with looser definition.</w:t>
      </w:r>
    </w:p>
    <w:p w14:paraId="072E899A" w14:textId="77777777" w:rsidR="00511D6E" w:rsidRDefault="00511D6E" w:rsidP="00511D6E">
      <w:pPr>
        <w:pStyle w:val="Compact"/>
        <w:rPr>
          <w:b/>
          <w:bCs/>
        </w:rPr>
      </w:pPr>
    </w:p>
    <w:p w14:paraId="443C023D" w14:textId="36CD9088" w:rsidR="00511D6E" w:rsidRPr="00511D6E" w:rsidRDefault="00511D6E" w:rsidP="00511D6E">
      <w:pPr>
        <w:pStyle w:val="Compact"/>
      </w:pPr>
      <w:r w:rsidRPr="00511D6E">
        <w:rPr>
          <w:b/>
          <w:bCs/>
        </w:rPr>
        <w:t xml:space="preserve">The interconnection boundary effect. </w:t>
      </w:r>
      <w:r w:rsidRPr="00511D6E">
        <w:t>The decorrelation structure reflects the electrical</w:t>
      </w:r>
    </w:p>
    <w:p w14:paraId="4D2EC376" w14:textId="77777777" w:rsidR="00511D6E" w:rsidRPr="00511D6E" w:rsidRDefault="00511D6E" w:rsidP="00511D6E">
      <w:pPr>
        <w:pStyle w:val="Compact"/>
      </w:pPr>
      <w:r w:rsidRPr="00511D6E">
        <w:t>topology of the North American transmission system. Cross-interconnection destinations</w:t>
      </w:r>
    </w:p>
    <w:p w14:paraId="160D75E3" w14:textId="77777777" w:rsidR="00511D6E" w:rsidRPr="00511D6E" w:rsidRDefault="00511D6E" w:rsidP="00511D6E">
      <w:pPr>
        <w:pStyle w:val="Compact"/>
      </w:pPr>
      <w:r w:rsidRPr="00511D6E">
        <w:t>(ERCOT, CAISO) operate as electrically isolated or temporally offset systems with weather</w:t>
      </w:r>
    </w:p>
    <w:p w14:paraId="1D704E26" w14:textId="77777777" w:rsidR="00511D6E" w:rsidRPr="00511D6E" w:rsidRDefault="00511D6E" w:rsidP="00511D6E">
      <w:pPr>
        <w:pStyle w:val="Compact"/>
      </w:pPr>
      <w:r w:rsidRPr="00511D6E">
        <w:t>patterns largely independent from the Midwest. Capacity-weighted overlap with ComEd</w:t>
      </w:r>
    </w:p>
    <w:p w14:paraId="75EB9ECA" w14:textId="3E0F4475" w:rsidR="00511D6E" w:rsidRPr="00511D6E" w:rsidRDefault="00511D6E" w:rsidP="00511D6E">
      <w:pPr>
        <w:pStyle w:val="Compact"/>
      </w:pPr>
      <w:r w:rsidRPr="00511D6E">
        <w:t>ranges from 3.7% (ERCOT, summer) to 14.0% (CAISO, annual). CAISO exhibits zero summer</w:t>
      </w:r>
      <w:r>
        <w:t xml:space="preserve"> </w:t>
      </w:r>
      <w:proofErr w:type="gramStart"/>
      <w:r w:rsidRPr="00511D6E">
        <w:t>overlap</w:t>
      </w:r>
      <w:proofErr w:type="gramEnd"/>
      <w:r w:rsidRPr="00511D6E">
        <w:t xml:space="preserve"> across the four-year study period. Same-interconnection destinations (MISO, NYISO)</w:t>
      </w:r>
      <w:r>
        <w:t xml:space="preserve"> </w:t>
      </w:r>
      <w:r w:rsidRPr="00511D6E">
        <w:t xml:space="preserve">show substantially higher overlap </w:t>
      </w:r>
      <w:proofErr w:type="gramStart"/>
      <w:r w:rsidRPr="00511D6E">
        <w:t>( 43</w:t>
      </w:r>
      <w:proofErr w:type="gramEnd"/>
      <w:r w:rsidRPr="00511D6E">
        <w:t>-66% for MISO; 29-41 % for NYISO) consistent with</w:t>
      </w:r>
      <w:r>
        <w:t xml:space="preserve"> </w:t>
      </w:r>
      <w:r w:rsidRPr="00511D6E">
        <w:t>shared exposure to regional weather and partial electrical coupling. The interconnection</w:t>
      </w:r>
      <w:r>
        <w:t xml:space="preserve"> </w:t>
      </w:r>
      <w:r w:rsidRPr="00511D6E">
        <w:t>boundary, not the balancing authority boundary, creates the strongest decorrelation.</w:t>
      </w:r>
    </w:p>
    <w:p w14:paraId="344FEF17" w14:textId="77777777" w:rsidR="00511D6E" w:rsidRDefault="00511D6E" w:rsidP="00511D6E">
      <w:pPr>
        <w:pStyle w:val="Compact"/>
        <w:rPr>
          <w:b/>
          <w:bCs/>
        </w:rPr>
      </w:pPr>
    </w:p>
    <w:p w14:paraId="12A18C00" w14:textId="77777777" w:rsidR="00511D6E" w:rsidRDefault="00511D6E" w:rsidP="00511D6E">
      <w:pPr>
        <w:pStyle w:val="Compact"/>
      </w:pPr>
      <w:r w:rsidRPr="00511D6E">
        <w:rPr>
          <w:b/>
          <w:bCs/>
        </w:rPr>
        <w:t xml:space="preserve">Independent </w:t>
      </w:r>
      <w:proofErr w:type="gramStart"/>
      <w:r w:rsidRPr="00511D6E">
        <w:rPr>
          <w:b/>
          <w:bCs/>
        </w:rPr>
        <w:t>corroborator</w:t>
      </w:r>
      <w:proofErr w:type="gramEnd"/>
      <w:r w:rsidRPr="00511D6E">
        <w:rPr>
          <w:b/>
          <w:bCs/>
        </w:rPr>
        <w:t xml:space="preserve">. </w:t>
      </w:r>
      <w:r w:rsidRPr="00511D6E">
        <w:t xml:space="preserve">The IEA 2025 Energy and AI report Ch. 2 reports a </w:t>
      </w:r>
      <w:proofErr w:type="gramStart"/>
      <w:r w:rsidRPr="00511D6E">
        <w:t>closely-related</w:t>
      </w:r>
      <w:proofErr w:type="gramEnd"/>
      <w:r>
        <w:t xml:space="preserve"> </w:t>
      </w:r>
      <w:r w:rsidRPr="00511D6E">
        <w:t>quantitative finding via different methodology: "In 80% of the hours of grid stress, more than</w:t>
      </w:r>
      <w:r>
        <w:t xml:space="preserve"> </w:t>
      </w:r>
      <w:r w:rsidRPr="00511D6E">
        <w:t xml:space="preserve">half of the usual grid electricity supply to the data </w:t>
      </w:r>
      <w:proofErr w:type="spellStart"/>
      <w:r w:rsidRPr="00511D6E">
        <w:t>centre</w:t>
      </w:r>
      <w:proofErr w:type="spellEnd"/>
      <w:r w:rsidRPr="00511D6E">
        <w:t xml:space="preserve"> would still be available. In 50% of</w:t>
      </w:r>
      <w:r>
        <w:t xml:space="preserve"> </w:t>
      </w:r>
      <w:r w:rsidRPr="00511D6E">
        <w:t>these hours, around four-fifths of the grid capacity would be available." This is a top-down grid</w:t>
      </w:r>
      <w:r>
        <w:t xml:space="preserve"> </w:t>
      </w:r>
      <w:r w:rsidRPr="00511D6E">
        <w:t>analysis</w:t>
      </w:r>
      <w:r>
        <w:t xml:space="preserve"> </w:t>
      </w:r>
      <w:r w:rsidRPr="00511D6E">
        <w:t>finding parallel to the bottom-up LMP-based finding from NE §3, and the convergence</w:t>
      </w:r>
      <w:r>
        <w:t xml:space="preserve"> </w:t>
      </w:r>
      <w:r w:rsidRPr="00511D6E">
        <w:t>of methodology-independent estimates strengthens the empirical backbone.</w:t>
      </w:r>
    </w:p>
    <w:p w14:paraId="2DC5875C" w14:textId="77777777" w:rsidR="00511D6E" w:rsidRDefault="00511D6E" w:rsidP="00511D6E">
      <w:pPr>
        <w:pStyle w:val="Compact"/>
      </w:pPr>
    </w:p>
    <w:p w14:paraId="62B014E0" w14:textId="5A84A547" w:rsidR="00511D6E" w:rsidRPr="00511D6E" w:rsidRDefault="00511D6E" w:rsidP="00511D6E">
      <w:pPr>
        <w:pStyle w:val="Compact"/>
      </w:pPr>
      <w:r w:rsidRPr="00511D6E">
        <w:rPr>
          <w:b/>
          <w:bCs/>
        </w:rPr>
        <w:t xml:space="preserve">Range justification. </w:t>
      </w:r>
      <w:r w:rsidRPr="00511D6E">
        <w:t>Triangular [0.87, 0.945, 0.995] (unconditional MC):</w:t>
      </w:r>
    </w:p>
    <w:p w14:paraId="7EE331B4" w14:textId="77777777" w:rsidR="00511D6E" w:rsidRDefault="00511D6E" w:rsidP="00B8415C">
      <w:pPr>
        <w:pStyle w:val="Compact"/>
        <w:numPr>
          <w:ilvl w:val="0"/>
          <w:numId w:val="8"/>
        </w:numPr>
      </w:pPr>
      <w:r w:rsidRPr="00511D6E">
        <w:rPr>
          <w:b/>
          <w:bCs/>
        </w:rPr>
        <w:t xml:space="preserve">Conservative </w:t>
      </w:r>
      <w:r w:rsidRPr="00511D6E">
        <w:t>(</w:t>
      </w:r>
      <w:r w:rsidRPr="00511D6E">
        <w:rPr>
          <w:b/>
          <w:bCs/>
        </w:rPr>
        <w:t xml:space="preserve">0.87). </w:t>
      </w:r>
      <w:r w:rsidRPr="00511D6E">
        <w:t>Accounts for climate-change-driven increased frequency of</w:t>
      </w:r>
      <w:r>
        <w:t xml:space="preserve"> </w:t>
      </w:r>
      <w:r w:rsidRPr="00511D6E">
        <w:t>continental-scale cold events, and for the reflexivity concern - widespread spatial</w:t>
      </w:r>
      <w:r>
        <w:t xml:space="preserve"> </w:t>
      </w:r>
      <w:r w:rsidRPr="00511D6E">
        <w:t>migration adoption could stress destinations during source events (a Goodhart's Law</w:t>
      </w:r>
      <w:r>
        <w:t xml:space="preserve"> </w:t>
      </w:r>
      <w:r w:rsidRPr="00511D6E">
        <w:t>dynamic).</w:t>
      </w:r>
    </w:p>
    <w:p w14:paraId="2AB730DC" w14:textId="77777777" w:rsidR="00511D6E" w:rsidRDefault="00511D6E" w:rsidP="00B8415C">
      <w:pPr>
        <w:pStyle w:val="Compact"/>
        <w:numPr>
          <w:ilvl w:val="0"/>
          <w:numId w:val="8"/>
        </w:numPr>
      </w:pPr>
      <w:r w:rsidRPr="00511D6E">
        <w:rPr>
          <w:b/>
          <w:bCs/>
        </w:rPr>
        <w:t xml:space="preserve">Central (0.945). </w:t>
      </w:r>
      <w:r w:rsidRPr="00511D6E">
        <w:t xml:space="preserve">Empirical, directly observed from 35,060 hours of pricing data, </w:t>
      </w:r>
      <w:proofErr w:type="gramStart"/>
      <w:r w:rsidRPr="00511D6E">
        <w:t>capacity</w:t>
      </w:r>
      <w:r>
        <w:t>-</w:t>
      </w:r>
      <w:r w:rsidRPr="00511D6E">
        <w:t>weighted</w:t>
      </w:r>
      <w:proofErr w:type="gramEnd"/>
      <w:r w:rsidRPr="00511D6E">
        <w:t>.</w:t>
      </w:r>
    </w:p>
    <w:p w14:paraId="31AABBB7" w14:textId="032E974C" w:rsidR="00511D6E" w:rsidRPr="00511D6E" w:rsidRDefault="00511D6E" w:rsidP="00B8415C">
      <w:pPr>
        <w:pStyle w:val="Compact"/>
        <w:numPr>
          <w:ilvl w:val="0"/>
          <w:numId w:val="8"/>
        </w:numPr>
      </w:pPr>
      <w:r w:rsidRPr="00511D6E">
        <w:rPr>
          <w:b/>
          <w:bCs/>
        </w:rPr>
        <w:t xml:space="preserve">Optimistic </w:t>
      </w:r>
      <w:proofErr w:type="gramStart"/>
      <w:r w:rsidRPr="00511D6E">
        <w:t xml:space="preserve">( </w:t>
      </w:r>
      <w:r w:rsidRPr="00511D6E">
        <w:rPr>
          <w:b/>
          <w:bCs/>
        </w:rPr>
        <w:t>0.995</w:t>
      </w:r>
      <w:proofErr w:type="gramEnd"/>
      <w:r w:rsidRPr="00511D6E">
        <w:rPr>
          <w:b/>
          <w:bCs/>
        </w:rPr>
        <w:t xml:space="preserve">). </w:t>
      </w:r>
      <w:r w:rsidRPr="00511D6E">
        <w:t>Reflects potential addition of SPP and ISO-NE destinations not yet in</w:t>
      </w:r>
      <w:r>
        <w:t xml:space="preserve"> </w:t>
      </w:r>
      <w:r w:rsidRPr="00511D6E">
        <w:t>the dataset.</w:t>
      </w:r>
    </w:p>
    <w:p w14:paraId="13F3CB8D" w14:textId="77777777" w:rsidR="00511D6E" w:rsidRDefault="00511D6E" w:rsidP="00511D6E">
      <w:pPr>
        <w:pStyle w:val="Compact"/>
        <w:rPr>
          <w:b/>
          <w:bCs/>
        </w:rPr>
      </w:pPr>
    </w:p>
    <w:p w14:paraId="5FA0D487" w14:textId="0056926F" w:rsidR="00511D6E" w:rsidRDefault="00511D6E" w:rsidP="00511D6E">
      <w:pPr>
        <w:pStyle w:val="Compact"/>
        <w:pBdr>
          <w:bottom w:val="single" w:sz="12" w:space="1" w:color="auto"/>
        </w:pBdr>
      </w:pPr>
      <w:r w:rsidRPr="00511D6E">
        <w:rPr>
          <w:b/>
          <w:bCs/>
        </w:rPr>
        <w:lastRenderedPageBreak/>
        <w:t xml:space="preserve">CV workbook status. </w:t>
      </w:r>
      <w:r w:rsidRPr="00511D6E">
        <w:t>Section 3 analysis of the NE manuscript; not a CV target. Stays intact as</w:t>
      </w:r>
      <w:r>
        <w:t xml:space="preserve"> </w:t>
      </w:r>
      <w:r w:rsidRPr="00511D6E">
        <w:t>the empirical backbone of the parameter.</w:t>
      </w:r>
    </w:p>
    <w:p w14:paraId="7AF18672" w14:textId="77777777" w:rsidR="00B8415C" w:rsidRDefault="00B8415C" w:rsidP="00511D6E">
      <w:pPr>
        <w:pStyle w:val="Compact"/>
        <w:pBdr>
          <w:bottom w:val="single" w:sz="12" w:space="1" w:color="auto"/>
        </w:pBdr>
      </w:pPr>
    </w:p>
    <w:p w14:paraId="6564DCC6" w14:textId="77777777" w:rsidR="00DF685C" w:rsidRDefault="00DF685C" w:rsidP="00511D6E">
      <w:pPr>
        <w:pStyle w:val="Compact"/>
      </w:pPr>
    </w:p>
    <w:p w14:paraId="6C8076C1" w14:textId="77777777" w:rsidR="00D004DF" w:rsidRPr="00D004DF" w:rsidRDefault="00D004DF" w:rsidP="00D004DF">
      <w:pPr>
        <w:pStyle w:val="Compact"/>
        <w:rPr>
          <w:b/>
          <w:bCs/>
        </w:rPr>
      </w:pPr>
      <w:r w:rsidRPr="00D004DF">
        <w:rPr>
          <w:b/>
          <w:bCs/>
        </w:rPr>
        <w:t xml:space="preserve">DEST absorb </w:t>
      </w:r>
      <w:r w:rsidRPr="00D004DF">
        <w:t xml:space="preserve">- </w:t>
      </w:r>
      <w:r w:rsidRPr="00D004DF">
        <w:rPr>
          <w:b/>
          <w:bCs/>
        </w:rPr>
        <w:t>Destination compute absorption</w:t>
      </w:r>
    </w:p>
    <w:tbl>
      <w:tblPr>
        <w:tblStyle w:val="TableGrid"/>
        <w:tblW w:w="0" w:type="auto"/>
        <w:tblLook w:val="04A0" w:firstRow="1" w:lastRow="0" w:firstColumn="1" w:lastColumn="0" w:noHBand="0" w:noVBand="1"/>
      </w:tblPr>
      <w:tblGrid>
        <w:gridCol w:w="4675"/>
        <w:gridCol w:w="4675"/>
      </w:tblGrid>
      <w:tr w:rsidR="00D004DF" w14:paraId="32F65351" w14:textId="77777777" w:rsidTr="00D004DF">
        <w:tc>
          <w:tcPr>
            <w:tcW w:w="4675" w:type="dxa"/>
            <w:shd w:val="clear" w:color="auto" w:fill="D9D9D9" w:themeFill="background1" w:themeFillShade="D9"/>
          </w:tcPr>
          <w:p w14:paraId="18EFA870" w14:textId="523DE5B9" w:rsidR="00D004DF" w:rsidRPr="00D004DF" w:rsidRDefault="00D004DF" w:rsidP="00D004DF">
            <w:pPr>
              <w:pStyle w:val="Compact"/>
              <w:rPr>
                <w:b/>
                <w:bCs/>
              </w:rPr>
            </w:pPr>
            <w:r w:rsidRPr="00D004DF">
              <w:rPr>
                <w:b/>
                <w:bCs/>
              </w:rPr>
              <w:t>Attribute</w:t>
            </w:r>
          </w:p>
        </w:tc>
        <w:tc>
          <w:tcPr>
            <w:tcW w:w="4675" w:type="dxa"/>
            <w:shd w:val="clear" w:color="auto" w:fill="D9D9D9" w:themeFill="background1" w:themeFillShade="D9"/>
          </w:tcPr>
          <w:p w14:paraId="3D1D9553" w14:textId="104DCB82" w:rsidR="00D004DF" w:rsidRPr="00D004DF" w:rsidRDefault="00D004DF" w:rsidP="00D004DF">
            <w:pPr>
              <w:pStyle w:val="Compact"/>
              <w:rPr>
                <w:b/>
                <w:bCs/>
              </w:rPr>
            </w:pPr>
            <w:r w:rsidRPr="00D004DF">
              <w:rPr>
                <w:b/>
                <w:bCs/>
              </w:rPr>
              <w:t>Value</w:t>
            </w:r>
          </w:p>
        </w:tc>
      </w:tr>
      <w:tr w:rsidR="00D004DF" w14:paraId="5DBAC27C" w14:textId="77777777" w:rsidTr="00D004DF">
        <w:tc>
          <w:tcPr>
            <w:tcW w:w="4675" w:type="dxa"/>
          </w:tcPr>
          <w:p w14:paraId="2EE70CD0" w14:textId="01BE8B11" w:rsidR="00D004DF" w:rsidRDefault="00D004DF" w:rsidP="00D004DF">
            <w:pPr>
              <w:pStyle w:val="Compact"/>
            </w:pPr>
            <w:r>
              <w:t>Central</w:t>
            </w:r>
          </w:p>
        </w:tc>
        <w:tc>
          <w:tcPr>
            <w:tcW w:w="4675" w:type="dxa"/>
          </w:tcPr>
          <w:p w14:paraId="70E35EDA" w14:textId="4BB1ECE4" w:rsidR="00D004DF" w:rsidRDefault="00D004DF" w:rsidP="00D004DF">
            <w:pPr>
              <w:pStyle w:val="Compact"/>
            </w:pPr>
            <w:r>
              <w:t>0.30</w:t>
            </w:r>
          </w:p>
        </w:tc>
      </w:tr>
      <w:tr w:rsidR="00D004DF" w14:paraId="6D2AAA3D" w14:textId="77777777" w:rsidTr="00D004DF">
        <w:tc>
          <w:tcPr>
            <w:tcW w:w="4675" w:type="dxa"/>
          </w:tcPr>
          <w:p w14:paraId="60C40176" w14:textId="32EA670F" w:rsidR="00D004DF" w:rsidRDefault="00D004DF" w:rsidP="00D004DF">
            <w:pPr>
              <w:pStyle w:val="Compact"/>
            </w:pPr>
            <w:r>
              <w:t>Range</w:t>
            </w:r>
          </w:p>
        </w:tc>
        <w:tc>
          <w:tcPr>
            <w:tcW w:w="4675" w:type="dxa"/>
          </w:tcPr>
          <w:p w14:paraId="5A78F3B7" w14:textId="56309DD7" w:rsidR="00D004DF" w:rsidRDefault="00D004DF" w:rsidP="00D004DF">
            <w:pPr>
              <w:pStyle w:val="Compact"/>
            </w:pPr>
            <w:r>
              <w:t>[0.15, 0.55]</w:t>
            </w:r>
          </w:p>
        </w:tc>
      </w:tr>
      <w:tr w:rsidR="00D004DF" w14:paraId="0210FC79" w14:textId="77777777" w:rsidTr="00D004DF">
        <w:tc>
          <w:tcPr>
            <w:tcW w:w="4675" w:type="dxa"/>
          </w:tcPr>
          <w:p w14:paraId="18D1E28B" w14:textId="135AA0AB" w:rsidR="00D004DF" w:rsidRDefault="00D004DF" w:rsidP="00D004DF">
            <w:pPr>
              <w:pStyle w:val="Compact"/>
            </w:pPr>
            <w:r>
              <w:t>Grounding</w:t>
            </w:r>
          </w:p>
        </w:tc>
        <w:tc>
          <w:tcPr>
            <w:tcW w:w="4675" w:type="dxa"/>
          </w:tcPr>
          <w:p w14:paraId="46ECB60D" w14:textId="25505050" w:rsidR="00D004DF" w:rsidRDefault="00D004DF" w:rsidP="00D004DF">
            <w:pPr>
              <w:pStyle w:val="Compact"/>
            </w:pPr>
            <w:r>
              <w:t>ESTIMATED-WEAK (dominant framework uncertainty)</w:t>
            </w:r>
          </w:p>
        </w:tc>
      </w:tr>
    </w:tbl>
    <w:p w14:paraId="3048F807" w14:textId="4EFB0DF2" w:rsidR="00DF685C" w:rsidRDefault="00DF685C" w:rsidP="00D004DF">
      <w:pPr>
        <w:pStyle w:val="Compact"/>
      </w:pPr>
    </w:p>
    <w:p w14:paraId="255EA9DF" w14:textId="1DF8C00E" w:rsidR="002B08C1" w:rsidRPr="002B08C1" w:rsidRDefault="002B08C1" w:rsidP="002B08C1">
      <w:pPr>
        <w:pStyle w:val="Compact"/>
      </w:pPr>
      <w:r w:rsidRPr="002B08C1">
        <w:rPr>
          <w:b/>
          <w:bCs/>
        </w:rPr>
        <w:t xml:space="preserve">What DEST absorb measures. </w:t>
      </w:r>
      <w:r w:rsidRPr="002B08C1">
        <w:t>Of non-co-stressed destination GPU compute, what fraction is</w:t>
      </w:r>
      <w:r>
        <w:t xml:space="preserve"> </w:t>
      </w:r>
      <w:r w:rsidRPr="002B08C1">
        <w:t>(a) spare at dispatch time, (b) hardware/model-compatible with the source workload, AND (c</w:t>
      </w:r>
      <w:r>
        <w:t xml:space="preserve">) </w:t>
      </w:r>
      <w:r w:rsidRPr="002B08C1">
        <w:t>pre-staged to accept routed requests without cold-start delay?</w:t>
      </w:r>
    </w:p>
    <w:p w14:paraId="10DBF659" w14:textId="77777777" w:rsidR="002B08C1" w:rsidRDefault="002B08C1" w:rsidP="002B08C1">
      <w:pPr>
        <w:pStyle w:val="Compact"/>
        <w:rPr>
          <w:b/>
          <w:bCs/>
        </w:rPr>
      </w:pPr>
    </w:p>
    <w:p w14:paraId="3BA7A967" w14:textId="6AEC934E" w:rsidR="002B08C1" w:rsidRPr="002B08C1" w:rsidRDefault="002B08C1" w:rsidP="002B08C1">
      <w:pPr>
        <w:pStyle w:val="Compact"/>
      </w:pPr>
      <w:r w:rsidRPr="002B08C1">
        <w:rPr>
          <w:b/>
          <w:bCs/>
        </w:rPr>
        <w:t xml:space="preserve">What DEST </w:t>
      </w:r>
      <w:proofErr w:type="gramStart"/>
      <w:r w:rsidRPr="002B08C1">
        <w:rPr>
          <w:b/>
          <w:bCs/>
        </w:rPr>
        <w:t>absorb</w:t>
      </w:r>
      <w:proofErr w:type="gramEnd"/>
      <w:r w:rsidRPr="002B08C1">
        <w:rPr>
          <w:b/>
          <w:bCs/>
        </w:rPr>
        <w:t xml:space="preserve"> does NOT measure. </w:t>
      </w:r>
      <w:r w:rsidRPr="002B08C1">
        <w:t>Region-level stress availability (</w:t>
      </w:r>
      <w:r w:rsidRPr="002B08C1">
        <w:rPr>
          <w:rFonts w:ascii="Segoe UI Symbol" w:hAnsi="Segoe UI Symbol" w:cs="Segoe UI Symbol"/>
        </w:rPr>
        <w:t>➔</w:t>
      </w:r>
      <w:r w:rsidRPr="002B08C1">
        <w:t xml:space="preserve"> DEST avail</w:t>
      </w:r>
      <w:proofErr w:type="gramStart"/>
      <w:r w:rsidRPr="002B08C1">
        <w:t>);</w:t>
      </w:r>
      <w:proofErr w:type="gramEnd"/>
    </w:p>
    <w:p w14:paraId="2A1AA2A5" w14:textId="77777777" w:rsidR="002B08C1" w:rsidRPr="002B08C1" w:rsidRDefault="002B08C1" w:rsidP="002B08C1">
      <w:pPr>
        <w:pStyle w:val="Compact"/>
      </w:pPr>
      <w:proofErr w:type="gramStart"/>
      <w:r w:rsidRPr="002B08C1">
        <w:t>network(</w:t>
      </w:r>
      <w:proofErr w:type="gramEnd"/>
      <w:r w:rsidRPr="002B08C1">
        <w:rPr>
          <w:rFonts w:ascii="Segoe UI Symbol" w:hAnsi="Segoe UI Symbol" w:cs="Segoe UI Symbol"/>
        </w:rPr>
        <w:t>➔</w:t>
      </w:r>
      <w:r w:rsidRPr="002B08C1">
        <w:t xml:space="preserve"> </w:t>
      </w:r>
      <w:proofErr w:type="spellStart"/>
      <w:r w:rsidRPr="002B08C1">
        <w:t>NET_ok</w:t>
      </w:r>
      <w:proofErr w:type="spellEnd"/>
      <w:r w:rsidRPr="002B08C1">
        <w:t xml:space="preserve">); </w:t>
      </w:r>
      <w:proofErr w:type="gramStart"/>
      <w:r w:rsidRPr="002B08C1">
        <w:t>orchestration(</w:t>
      </w:r>
      <w:proofErr w:type="gramEnd"/>
      <w:r w:rsidRPr="002B08C1">
        <w:rPr>
          <w:rFonts w:ascii="Segoe UI Symbol" w:hAnsi="Segoe UI Symbol" w:cs="Segoe UI Symbol"/>
        </w:rPr>
        <w:t>➔</w:t>
      </w:r>
      <w:r w:rsidRPr="002B08C1">
        <w:t xml:space="preserve"> </w:t>
      </w:r>
      <w:proofErr w:type="spellStart"/>
      <w:r w:rsidRPr="002B08C1">
        <w:t>ORCH_ok</w:t>
      </w:r>
      <w:proofErr w:type="spellEnd"/>
      <w:r w:rsidRPr="002B08C1">
        <w:t>).</w:t>
      </w:r>
    </w:p>
    <w:p w14:paraId="7E20ACA8" w14:textId="77777777" w:rsidR="002B08C1" w:rsidRDefault="002B08C1" w:rsidP="002B08C1">
      <w:pPr>
        <w:pStyle w:val="Compact"/>
        <w:rPr>
          <w:b/>
          <w:bCs/>
        </w:rPr>
      </w:pPr>
    </w:p>
    <w:p w14:paraId="2009FBA5" w14:textId="48815A30" w:rsidR="002B08C1" w:rsidRPr="002B08C1" w:rsidRDefault="002B08C1" w:rsidP="002B08C1">
      <w:pPr>
        <w:pStyle w:val="Compact"/>
      </w:pPr>
      <w:r w:rsidRPr="002B08C1">
        <w:rPr>
          <w:b/>
          <w:bCs/>
        </w:rPr>
        <w:t xml:space="preserve">Why DEST absorb is a single parameter rather than three. </w:t>
      </w:r>
      <w:r w:rsidRPr="002B08C1">
        <w:t>The prior framework had three</w:t>
      </w:r>
      <w:r>
        <w:t xml:space="preserve"> </w:t>
      </w:r>
      <w:r w:rsidRPr="002B08C1">
        <w:t>separate destination-side parameters (D2 utilization headroom 0.35, D3 hardware</w:t>
      </w:r>
    </w:p>
    <w:p w14:paraId="211DCCB7" w14:textId="659E6592" w:rsidR="002B08C1" w:rsidRPr="002B08C1" w:rsidRDefault="002B08C1" w:rsidP="002B08C1">
      <w:pPr>
        <w:pStyle w:val="Compact"/>
      </w:pPr>
      <w:r w:rsidRPr="002B08C1">
        <w:t>compatibility 0.88, D5 pre-staging readiness 0.65) that multiplied to an effective destination</w:t>
      </w:r>
      <w:r>
        <w:t xml:space="preserve"> </w:t>
      </w:r>
      <w:r w:rsidRPr="002B08C1">
        <w:t>absorption of -0.20. Verification confirmed that all three parameters share an evidence body:</w:t>
      </w:r>
      <w:r>
        <w:t xml:space="preserve"> </w:t>
      </w:r>
      <w:r w:rsidRPr="002B08C1">
        <w:t>cloud platform observations, vendor documentation, and modeling assumptions</w:t>
      </w:r>
      <w:r w:rsidR="001D2675">
        <w:t xml:space="preserve"> – none </w:t>
      </w:r>
      <w:r w:rsidRPr="002B08C1">
        <w:t>of</w:t>
      </w:r>
      <w:r w:rsidR="001D2675">
        <w:t xml:space="preserve"> </w:t>
      </w:r>
      <w:r w:rsidRPr="002B08C1">
        <w:t>which directly measures "spare compatible pre-staged GPU at a specific destination during a</w:t>
      </w:r>
      <w:r w:rsidR="001D2675">
        <w:t xml:space="preserve"> </w:t>
      </w:r>
      <w:r w:rsidRPr="002B08C1">
        <w:t xml:space="preserve">stress hour in 2030." Keeping the three </w:t>
      </w:r>
      <w:proofErr w:type="gramStart"/>
      <w:r w:rsidRPr="002B08C1">
        <w:t>separate</w:t>
      </w:r>
      <w:proofErr w:type="gramEnd"/>
      <w:r w:rsidRPr="002B08C1">
        <w:t xml:space="preserve"> created the illusion of three independent</w:t>
      </w:r>
      <w:r w:rsidR="001D2675">
        <w:t xml:space="preserve"> </w:t>
      </w:r>
      <w:r w:rsidRPr="002B08C1">
        <w:t>bodies of evidence where one honest ESTIMATED-WEAK body of evidence existed. The</w:t>
      </w:r>
      <w:r w:rsidR="001D2675">
        <w:t xml:space="preserve"> </w:t>
      </w:r>
      <w:r w:rsidRPr="002B08C1">
        <w:t xml:space="preserve">collapse to a single parameter with a wider range (and a slightly higher </w:t>
      </w:r>
      <w:proofErr w:type="gramStart"/>
      <w:r w:rsidRPr="002B08C1">
        <w:t>central</w:t>
      </w:r>
      <w:proofErr w:type="gramEnd"/>
      <w:r w:rsidRPr="002B08C1">
        <w:t>, reflecting the</w:t>
      </w:r>
      <w:r w:rsidR="001D2675">
        <w:t xml:space="preserve"> </w:t>
      </w:r>
      <w:r w:rsidRPr="002B08C1">
        <w:t>literature midpoint rather than the conservative anchor) is more faithful to what the evidence</w:t>
      </w:r>
      <w:r w:rsidR="001D2675">
        <w:t xml:space="preserve"> </w:t>
      </w:r>
      <w:proofErr w:type="gramStart"/>
      <w:r w:rsidRPr="002B08C1">
        <w:t>actually supports</w:t>
      </w:r>
      <w:proofErr w:type="gramEnd"/>
      <w:r w:rsidRPr="002B08C1">
        <w:t>.</w:t>
      </w:r>
    </w:p>
    <w:p w14:paraId="345EDC83" w14:textId="77777777" w:rsidR="001D2675" w:rsidRDefault="001D2675" w:rsidP="002B08C1">
      <w:pPr>
        <w:pStyle w:val="Compact"/>
        <w:rPr>
          <w:b/>
          <w:bCs/>
        </w:rPr>
      </w:pPr>
    </w:p>
    <w:p w14:paraId="0F43519D" w14:textId="08AB72C6" w:rsidR="002B08C1" w:rsidRPr="002B08C1" w:rsidRDefault="002B08C1" w:rsidP="002B08C1">
      <w:pPr>
        <w:pStyle w:val="Compact"/>
      </w:pPr>
      <w:proofErr w:type="gramStart"/>
      <w:r w:rsidRPr="002B08C1">
        <w:rPr>
          <w:b/>
          <w:bCs/>
        </w:rPr>
        <w:t>The literature</w:t>
      </w:r>
      <w:proofErr w:type="gramEnd"/>
      <w:r w:rsidRPr="002B08C1">
        <w:rPr>
          <w:b/>
          <w:bCs/>
        </w:rPr>
        <w:t xml:space="preserve"> dispute on utilization. </w:t>
      </w:r>
      <w:r w:rsidRPr="002B08C1">
        <w:t>Direct measurement of GPU-level utilization at</w:t>
      </w:r>
    </w:p>
    <w:p w14:paraId="4E3D8216" w14:textId="696C9AC9" w:rsidR="002B08C1" w:rsidRDefault="002B08C1" w:rsidP="002B08C1">
      <w:pPr>
        <w:pStyle w:val="Compact"/>
      </w:pPr>
      <w:r w:rsidRPr="002B08C1">
        <w:t>production AI inference facilities during grid stress hours does not exist. Credible</w:t>
      </w:r>
      <w:r w:rsidR="001D2675">
        <w:t xml:space="preserve"> </w:t>
      </w:r>
      <w:r w:rsidRPr="002B08C1">
        <w:t>utilization</w:t>
      </w:r>
      <w:r w:rsidR="001D2675">
        <w:t xml:space="preserve"> </w:t>
      </w:r>
      <w:r w:rsidRPr="002B08C1">
        <w:t>estimates in the public literature span a factor of 2:</w:t>
      </w:r>
    </w:p>
    <w:p w14:paraId="39481547" w14:textId="77777777" w:rsidR="001D2675" w:rsidRDefault="001D2675" w:rsidP="002B08C1">
      <w:pPr>
        <w:pStyle w:val="Compact"/>
      </w:pPr>
    </w:p>
    <w:tbl>
      <w:tblPr>
        <w:tblStyle w:val="TableGrid"/>
        <w:tblW w:w="0" w:type="auto"/>
        <w:tblLook w:val="04A0" w:firstRow="1" w:lastRow="0" w:firstColumn="1" w:lastColumn="0" w:noHBand="0" w:noVBand="1"/>
      </w:tblPr>
      <w:tblGrid>
        <w:gridCol w:w="3116"/>
        <w:gridCol w:w="3117"/>
        <w:gridCol w:w="3117"/>
      </w:tblGrid>
      <w:tr w:rsidR="001D2675" w:rsidRPr="001D2675" w14:paraId="2CDAB36E" w14:textId="77777777" w:rsidTr="001D2675">
        <w:tc>
          <w:tcPr>
            <w:tcW w:w="3116" w:type="dxa"/>
            <w:shd w:val="clear" w:color="auto" w:fill="D9D9D9" w:themeFill="background1" w:themeFillShade="D9"/>
          </w:tcPr>
          <w:p w14:paraId="45405502" w14:textId="00B2E8CD" w:rsidR="001D2675" w:rsidRPr="001D2675" w:rsidRDefault="001D2675" w:rsidP="002B08C1">
            <w:pPr>
              <w:pStyle w:val="Compact"/>
              <w:rPr>
                <w:b/>
                <w:bCs/>
              </w:rPr>
            </w:pPr>
            <w:r>
              <w:rPr>
                <w:b/>
                <w:bCs/>
              </w:rPr>
              <w:t>Source</w:t>
            </w:r>
          </w:p>
        </w:tc>
        <w:tc>
          <w:tcPr>
            <w:tcW w:w="3117" w:type="dxa"/>
            <w:shd w:val="clear" w:color="auto" w:fill="D9D9D9" w:themeFill="background1" w:themeFillShade="D9"/>
          </w:tcPr>
          <w:p w14:paraId="500A0DEF" w14:textId="3EE8FF1C" w:rsidR="001D2675" w:rsidRPr="001D2675" w:rsidRDefault="001D2675" w:rsidP="002B08C1">
            <w:pPr>
              <w:pStyle w:val="Compact"/>
              <w:rPr>
                <w:b/>
                <w:bCs/>
              </w:rPr>
            </w:pPr>
            <w:r>
              <w:rPr>
                <w:b/>
                <w:bCs/>
              </w:rPr>
              <w:t>Reported Utilization</w:t>
            </w:r>
          </w:p>
        </w:tc>
        <w:tc>
          <w:tcPr>
            <w:tcW w:w="3117" w:type="dxa"/>
            <w:shd w:val="clear" w:color="auto" w:fill="D9D9D9" w:themeFill="background1" w:themeFillShade="D9"/>
          </w:tcPr>
          <w:p w14:paraId="2CC56C5B" w14:textId="06A2D3BB" w:rsidR="001D2675" w:rsidRPr="001D2675" w:rsidRDefault="001D2675" w:rsidP="002B08C1">
            <w:pPr>
              <w:pStyle w:val="Compact"/>
              <w:rPr>
                <w:b/>
                <w:bCs/>
              </w:rPr>
            </w:pPr>
            <w:r>
              <w:rPr>
                <w:b/>
                <w:bCs/>
              </w:rPr>
              <w:t>Type</w:t>
            </w:r>
          </w:p>
        </w:tc>
      </w:tr>
      <w:tr w:rsidR="001D2675" w14:paraId="7B2C6288" w14:textId="77777777" w:rsidTr="001D2675">
        <w:tc>
          <w:tcPr>
            <w:tcW w:w="3116" w:type="dxa"/>
          </w:tcPr>
          <w:p w14:paraId="5D224AAA" w14:textId="07D09BBD" w:rsidR="001D2675" w:rsidRDefault="001D2675" w:rsidP="002B08C1">
            <w:pPr>
              <w:pStyle w:val="Compact"/>
            </w:pPr>
            <w:r>
              <w:t>LBNL 2024 (Shehabi et al.)</w:t>
            </w:r>
          </w:p>
        </w:tc>
        <w:tc>
          <w:tcPr>
            <w:tcW w:w="3117" w:type="dxa"/>
          </w:tcPr>
          <w:p w14:paraId="07975572" w14:textId="11A2CCC6" w:rsidR="001D2675" w:rsidRDefault="001D2675" w:rsidP="002B08C1">
            <w:pPr>
              <w:pStyle w:val="Compact"/>
            </w:pPr>
            <w:r>
              <w:t>40% inference / 80% training</w:t>
            </w:r>
          </w:p>
        </w:tc>
        <w:tc>
          <w:tcPr>
            <w:tcW w:w="3117" w:type="dxa"/>
          </w:tcPr>
          <w:p w14:paraId="53B5A94A" w14:textId="21010BF0" w:rsidR="001D2675" w:rsidRDefault="00C9385A" w:rsidP="002B08C1">
            <w:pPr>
              <w:pStyle w:val="Compact"/>
            </w:pPr>
            <w:r>
              <w:t>Modeling assumption (37.5-85% sensitivity)</w:t>
            </w:r>
          </w:p>
        </w:tc>
      </w:tr>
      <w:tr w:rsidR="001D2675" w14:paraId="4D5CDF98" w14:textId="77777777" w:rsidTr="001D2675">
        <w:tc>
          <w:tcPr>
            <w:tcW w:w="3116" w:type="dxa"/>
          </w:tcPr>
          <w:p w14:paraId="70CCF5C3" w14:textId="150FEEC0" w:rsidR="001D2675" w:rsidRDefault="001D2675" w:rsidP="002B08C1">
            <w:pPr>
              <w:pStyle w:val="Compact"/>
            </w:pPr>
            <w:r>
              <w:t>IEA 2025 Energy and AI</w:t>
            </w:r>
          </w:p>
        </w:tc>
        <w:tc>
          <w:tcPr>
            <w:tcW w:w="3117" w:type="dxa"/>
          </w:tcPr>
          <w:p w14:paraId="01FD2B83" w14:textId="318BA8EC" w:rsidR="001D2675" w:rsidRDefault="001D2675" w:rsidP="002B08C1">
            <w:pPr>
              <w:pStyle w:val="Compact"/>
            </w:pPr>
            <w:r>
              <w:t>“Reaching around 90% for accelerated servers”</w:t>
            </w:r>
          </w:p>
        </w:tc>
        <w:tc>
          <w:tcPr>
            <w:tcW w:w="3117" w:type="dxa"/>
          </w:tcPr>
          <w:p w14:paraId="687AE2D4" w14:textId="220F452E" w:rsidR="001D2675" w:rsidRDefault="00C9385A" w:rsidP="002B08C1">
            <w:pPr>
              <w:pStyle w:val="Compact"/>
            </w:pPr>
            <w:r>
              <w:t>Reported figure</w:t>
            </w:r>
          </w:p>
        </w:tc>
      </w:tr>
      <w:tr w:rsidR="001D2675" w14:paraId="7FA15674" w14:textId="77777777" w:rsidTr="001D2675">
        <w:tc>
          <w:tcPr>
            <w:tcW w:w="3116" w:type="dxa"/>
          </w:tcPr>
          <w:p w14:paraId="7EFAAF5E" w14:textId="055B8DA3" w:rsidR="001D2675" w:rsidRDefault="001D2675" w:rsidP="002B08C1">
            <w:pPr>
              <w:pStyle w:val="Compact"/>
            </w:pPr>
            <w:r>
              <w:t>Knittel et al. NBER 2025</w:t>
            </w:r>
          </w:p>
        </w:tc>
        <w:tc>
          <w:tcPr>
            <w:tcW w:w="3117" w:type="dxa"/>
          </w:tcPr>
          <w:p w14:paraId="7226B197" w14:textId="2285AA9D" w:rsidR="001D2675" w:rsidRDefault="001D2675" w:rsidP="002B08C1">
            <w:pPr>
              <w:pStyle w:val="Compact"/>
            </w:pPr>
            <w:r>
              <w:t>80% (with citation [8])</w:t>
            </w:r>
          </w:p>
        </w:tc>
        <w:tc>
          <w:tcPr>
            <w:tcW w:w="3117" w:type="dxa"/>
          </w:tcPr>
          <w:p w14:paraId="5177E537" w14:textId="34D081E4" w:rsidR="001D2675" w:rsidRDefault="00C9385A" w:rsidP="002B08C1">
            <w:pPr>
              <w:pStyle w:val="Compact"/>
            </w:pPr>
            <w:r>
              <w:t>Modeling assumption</w:t>
            </w:r>
          </w:p>
        </w:tc>
      </w:tr>
      <w:tr w:rsidR="001D2675" w14:paraId="20E93D40" w14:textId="77777777" w:rsidTr="001D2675">
        <w:tc>
          <w:tcPr>
            <w:tcW w:w="3116" w:type="dxa"/>
          </w:tcPr>
          <w:p w14:paraId="6B7E9A6C" w14:textId="471E79B8" w:rsidR="001D2675" w:rsidRDefault="001D2675" w:rsidP="002B08C1">
            <w:pPr>
              <w:pStyle w:val="Compact"/>
            </w:pPr>
            <w:r>
              <w:t>Norris 2025 (citing Guidi)</w:t>
            </w:r>
          </w:p>
        </w:tc>
        <w:tc>
          <w:tcPr>
            <w:tcW w:w="3117" w:type="dxa"/>
          </w:tcPr>
          <w:p w14:paraId="72F70BDB" w14:textId="796706A5" w:rsidR="001D2675" w:rsidRDefault="001D2675" w:rsidP="002B08C1">
            <w:pPr>
              <w:pStyle w:val="Compact"/>
            </w:pPr>
            <w:r>
              <w:t>75%</w:t>
            </w:r>
          </w:p>
        </w:tc>
        <w:tc>
          <w:tcPr>
            <w:tcW w:w="3117" w:type="dxa"/>
          </w:tcPr>
          <w:p w14:paraId="0A8EBCAF" w14:textId="1E9C6875" w:rsidR="001D2675" w:rsidRDefault="00C9385A" w:rsidP="002B08C1">
            <w:pPr>
              <w:pStyle w:val="Compact"/>
            </w:pPr>
            <w:r>
              <w:t>Reported figure</w:t>
            </w:r>
          </w:p>
        </w:tc>
      </w:tr>
      <w:tr w:rsidR="001D2675" w14:paraId="27FF39FA" w14:textId="77777777" w:rsidTr="001D2675">
        <w:tc>
          <w:tcPr>
            <w:tcW w:w="3116" w:type="dxa"/>
          </w:tcPr>
          <w:p w14:paraId="2EDF7227" w14:textId="2A143800" w:rsidR="001D2675" w:rsidRDefault="001D2675" w:rsidP="002B08C1">
            <w:pPr>
              <w:pStyle w:val="Compact"/>
            </w:pPr>
            <w:r>
              <w:lastRenderedPageBreak/>
              <w:t xml:space="preserve">Norris 2025 (citing </w:t>
            </w:r>
            <w:proofErr w:type="spellStart"/>
            <w:r>
              <w:t>SemiAnalysis</w:t>
            </w:r>
            <w:proofErr w:type="spellEnd"/>
            <w:r>
              <w:t>)</w:t>
            </w:r>
          </w:p>
        </w:tc>
        <w:tc>
          <w:tcPr>
            <w:tcW w:w="3117" w:type="dxa"/>
          </w:tcPr>
          <w:p w14:paraId="4D2B1AF5" w14:textId="2E31772C" w:rsidR="001D2675" w:rsidRDefault="001D2675" w:rsidP="002B08C1">
            <w:pPr>
              <w:pStyle w:val="Compact"/>
            </w:pPr>
            <w:r>
              <w:t>80%</w:t>
            </w:r>
          </w:p>
        </w:tc>
        <w:tc>
          <w:tcPr>
            <w:tcW w:w="3117" w:type="dxa"/>
          </w:tcPr>
          <w:p w14:paraId="09B60C36" w14:textId="1BE6E682" w:rsidR="001D2675" w:rsidRDefault="00C9385A" w:rsidP="002B08C1">
            <w:pPr>
              <w:pStyle w:val="Compact"/>
            </w:pPr>
            <w:r>
              <w:t>Reported figure</w:t>
            </w:r>
          </w:p>
        </w:tc>
      </w:tr>
      <w:tr w:rsidR="001D2675" w14:paraId="5994C2EF" w14:textId="77777777" w:rsidTr="001D2675">
        <w:tc>
          <w:tcPr>
            <w:tcW w:w="3116" w:type="dxa"/>
          </w:tcPr>
          <w:p w14:paraId="68990374" w14:textId="30575828" w:rsidR="001D2675" w:rsidRDefault="001D2675" w:rsidP="002B08C1">
            <w:pPr>
              <w:pStyle w:val="Compact"/>
            </w:pPr>
            <w:r>
              <w:t>Zhou et al. 2024</w:t>
            </w:r>
          </w:p>
        </w:tc>
        <w:tc>
          <w:tcPr>
            <w:tcW w:w="3117" w:type="dxa"/>
          </w:tcPr>
          <w:p w14:paraId="5126571A" w14:textId="70D8E1E2" w:rsidR="001D2675" w:rsidRDefault="001D2675" w:rsidP="002B08C1">
            <w:pPr>
              <w:pStyle w:val="Compact"/>
            </w:pPr>
            <w:r>
              <w:t>70-80% mean, σ</w:t>
            </w:r>
            <w:r w:rsidR="00C9385A">
              <w:t xml:space="preserve"> = 0.10-0.15</w:t>
            </w:r>
          </w:p>
        </w:tc>
        <w:tc>
          <w:tcPr>
            <w:tcW w:w="3117" w:type="dxa"/>
          </w:tcPr>
          <w:p w14:paraId="46E851BE" w14:textId="3A82C1A1" w:rsidR="001D2675" w:rsidRDefault="00C9385A" w:rsidP="002B08C1">
            <w:pPr>
              <w:pStyle w:val="Compact"/>
            </w:pPr>
            <w:r>
              <w:t>Empirical traces from 7 AI-HPC centers</w:t>
            </w:r>
          </w:p>
        </w:tc>
      </w:tr>
      <w:tr w:rsidR="001D2675" w14:paraId="735BCF61" w14:textId="77777777" w:rsidTr="001D2675">
        <w:tc>
          <w:tcPr>
            <w:tcW w:w="3116" w:type="dxa"/>
          </w:tcPr>
          <w:p w14:paraId="4DD95B40" w14:textId="5D59C4AC" w:rsidR="001D2675" w:rsidRDefault="001D2675" w:rsidP="002B08C1">
            <w:pPr>
              <w:pStyle w:val="Compact"/>
            </w:pPr>
            <w:r>
              <w:t>Uptime Institute 2024 Survey</w:t>
            </w:r>
          </w:p>
        </w:tc>
        <w:tc>
          <w:tcPr>
            <w:tcW w:w="3117" w:type="dxa"/>
          </w:tcPr>
          <w:p w14:paraId="268E97C5" w14:textId="71F3DE49" w:rsidR="001D2675" w:rsidRDefault="00C9385A" w:rsidP="002B08C1">
            <w:pPr>
              <w:pStyle w:val="Compact"/>
            </w:pPr>
            <w:r>
              <w:t>25% of facilities &lt; 40% UPS utilization</w:t>
            </w:r>
          </w:p>
        </w:tc>
        <w:tc>
          <w:tcPr>
            <w:tcW w:w="3117" w:type="dxa"/>
          </w:tcPr>
          <w:p w14:paraId="47611B29" w14:textId="3AA7215C" w:rsidR="001D2675" w:rsidRDefault="00C9385A" w:rsidP="002B08C1">
            <w:pPr>
              <w:pStyle w:val="Compact"/>
            </w:pPr>
            <w:r>
              <w:t>Facility-level survey, not GPU level</w:t>
            </w:r>
          </w:p>
        </w:tc>
      </w:tr>
    </w:tbl>
    <w:p w14:paraId="4A97470F" w14:textId="77777777" w:rsidR="001D2675" w:rsidRDefault="001D2675" w:rsidP="002B08C1">
      <w:pPr>
        <w:pStyle w:val="Compact"/>
      </w:pPr>
    </w:p>
    <w:p w14:paraId="5177C9EB" w14:textId="5E59467A" w:rsidR="00EC3247" w:rsidRPr="00EC3247" w:rsidRDefault="00EC3247" w:rsidP="00EC3247">
      <w:pPr>
        <w:pStyle w:val="Compact"/>
      </w:pPr>
      <w:r w:rsidRPr="00EC3247">
        <w:t xml:space="preserve">Several observations on this dispute. First, LBNL's 40% is a model </w:t>
      </w:r>
      <w:r w:rsidRPr="00EC3247">
        <w:rPr>
          <w:b/>
          <w:bCs/>
        </w:rPr>
        <w:t xml:space="preserve">input, </w:t>
      </w:r>
      <w:r w:rsidRPr="00EC3247">
        <w:t>not a measurement,</w:t>
      </w:r>
      <w:r>
        <w:t xml:space="preserve"> </w:t>
      </w:r>
      <w:r w:rsidRPr="00EC3247">
        <w:t>with a stated uncertainty range of 37.5-85%; CV-014 documents this carefully. Second, Zhou et</w:t>
      </w:r>
      <w:r>
        <w:t xml:space="preserve"> </w:t>
      </w:r>
      <w:r w:rsidRPr="00EC3247">
        <w:t>al. 's 70-80% is the most directly relevant data point because it measures actual AI-cluster</w:t>
      </w:r>
      <w:r>
        <w:t xml:space="preserve"> </w:t>
      </w:r>
      <w:r w:rsidRPr="00EC3247">
        <w:t>utilization from empirical traces rather than assumed inputs, but it samples 7 AI-HPC centers</w:t>
      </w:r>
      <w:r>
        <w:t xml:space="preserve"> </w:t>
      </w:r>
      <w:r w:rsidRPr="00EC3247">
        <w:t>rather than the production-LLM-inference population. Third, Uptime's 25%-of-facilities</w:t>
      </w:r>
      <w:r w:rsidR="00B41C57">
        <w:t>-</w:t>
      </w:r>
      <w:r w:rsidRPr="00EC3247">
        <w:t>under-40% is a facility-level UPS measurement, not a GPU-level utilization figure, and reflects</w:t>
      </w:r>
      <w:r w:rsidR="00B41C57">
        <w:t xml:space="preserve"> </w:t>
      </w:r>
      <w:r w:rsidRPr="00EC3247">
        <w:t>the broader data center population rather than the inference-dominant subpopulation. The</w:t>
      </w:r>
      <w:r w:rsidR="00B41C57">
        <w:t xml:space="preserve"> </w:t>
      </w:r>
      <w:r w:rsidRPr="00EC3247">
        <w:t>honest framework position is that the literature disputes this number; DEST _</w:t>
      </w:r>
      <w:proofErr w:type="spellStart"/>
      <w:r w:rsidRPr="00EC3247">
        <w:t>absorb's</w:t>
      </w:r>
      <w:proofErr w:type="spellEnd"/>
      <w:r w:rsidRPr="00EC3247">
        <w:t xml:space="preserve"> range</w:t>
      </w:r>
      <w:r w:rsidR="00B41C57">
        <w:t xml:space="preserve"> </w:t>
      </w:r>
      <w:r w:rsidRPr="00EC3247">
        <w:t>[0.15, 0.55] reflects that dispute rather than collapsing it to a point estimate.</w:t>
      </w:r>
    </w:p>
    <w:p w14:paraId="4FB212D6" w14:textId="77777777" w:rsidR="00B41C57" w:rsidRDefault="00B41C57" w:rsidP="00EC3247">
      <w:pPr>
        <w:pStyle w:val="Compact"/>
        <w:rPr>
          <w:b/>
          <w:bCs/>
        </w:rPr>
      </w:pPr>
    </w:p>
    <w:p w14:paraId="63A7A65B" w14:textId="279C8EDD" w:rsidR="00EC3247" w:rsidRPr="00EC3247" w:rsidRDefault="00EC3247" w:rsidP="00EC3247">
      <w:pPr>
        <w:pStyle w:val="Compact"/>
      </w:pPr>
      <w:r w:rsidRPr="00EC3247">
        <w:rPr>
          <w:b/>
          <w:bCs/>
        </w:rPr>
        <w:t xml:space="preserve">Headroom component logic. </w:t>
      </w:r>
      <w:r w:rsidRPr="00EC3247">
        <w:t>Headroom is (1 - utilization). Across the literature dispute, this</w:t>
      </w:r>
      <w:r w:rsidR="00B41C57">
        <w:t xml:space="preserve"> </w:t>
      </w:r>
      <w:r w:rsidRPr="00EC3247">
        <w:t>gives headroom estimates from ~10% (IEA 90% utilization) to ~60% (Uptime 40% UPS).</w:t>
      </w:r>
      <w:r w:rsidR="00B41C57">
        <w:t xml:space="preserve"> </w:t>
      </w:r>
      <w:r w:rsidRPr="00EC3247">
        <w:t>Combined with hardware-compatibility ~0.85 and pre-staging ~0.65, the effective</w:t>
      </w:r>
    </w:p>
    <w:p w14:paraId="68320288" w14:textId="155B23B7" w:rsidR="00EC3247" w:rsidRPr="00EC3247" w:rsidRDefault="00EC3247" w:rsidP="00EC3247">
      <w:pPr>
        <w:pStyle w:val="Compact"/>
      </w:pPr>
      <w:r w:rsidRPr="00EC3247">
        <w:t>DEST _absorb range works out to roughly [0.06, 0.33] under uniform composition. The reported</w:t>
      </w:r>
      <w:r w:rsidR="00B41C57">
        <w:t xml:space="preserve"> </w:t>
      </w:r>
      <w:r w:rsidRPr="00EC3247">
        <w:t>range [0.15, 0.55] additionally accommodates that destination facilities self-select into</w:t>
      </w:r>
      <w:r w:rsidR="00B41C57">
        <w:t xml:space="preserve"> </w:t>
      </w:r>
      <w:r w:rsidRPr="00EC3247">
        <w:t>participation (lower-utilization facilities have stronger incentives to commit headroom), which</w:t>
      </w:r>
      <w:r w:rsidR="00B41C57">
        <w:t xml:space="preserve"> </w:t>
      </w:r>
      <w:r w:rsidRPr="00EC3247">
        <w:t>biases observed participation upward from the population mean.</w:t>
      </w:r>
    </w:p>
    <w:p w14:paraId="1922F6E7" w14:textId="77777777" w:rsidR="00B41C57" w:rsidRDefault="00B41C57" w:rsidP="00EC3247">
      <w:pPr>
        <w:pStyle w:val="Compact"/>
        <w:rPr>
          <w:b/>
          <w:bCs/>
        </w:rPr>
      </w:pPr>
    </w:p>
    <w:p w14:paraId="47112FC7" w14:textId="27E9ED03" w:rsidR="00EC3247" w:rsidRPr="00EC3247" w:rsidRDefault="00EC3247" w:rsidP="00EC3247">
      <w:pPr>
        <w:pStyle w:val="Compact"/>
      </w:pPr>
      <w:r w:rsidRPr="00EC3247">
        <w:rPr>
          <w:b/>
          <w:bCs/>
        </w:rPr>
        <w:t xml:space="preserve">Hardware-compatibility component. </w:t>
      </w:r>
      <w:r w:rsidRPr="00EC3247">
        <w:t xml:space="preserve">NVIDIA </w:t>
      </w:r>
      <w:proofErr w:type="gramStart"/>
      <w:r w:rsidRPr="00EC3247">
        <w:t>CUDA driver</w:t>
      </w:r>
      <w:proofErr w:type="gramEnd"/>
      <w:r w:rsidRPr="00EC3247">
        <w:t xml:space="preserve"> provides backward compatibility</w:t>
      </w:r>
      <w:r w:rsidR="00B41C57">
        <w:t xml:space="preserve"> </w:t>
      </w:r>
      <w:r w:rsidRPr="00EC3247">
        <w:t>within architecture generations: a newer driver runs applications compiled for older toolkit</w:t>
      </w:r>
      <w:r w:rsidR="00B41C57">
        <w:t xml:space="preserve"> </w:t>
      </w:r>
      <w:r w:rsidRPr="00EC3247">
        <w:t>versions, so an inference model compiled for Al00 (compute capability 8.0) runs on Hl00</w:t>
      </w:r>
      <w:r w:rsidR="00B41C57">
        <w:t xml:space="preserve"> </w:t>
      </w:r>
      <w:r w:rsidRPr="00EC3247">
        <w:t>(compute capability9.0) without recompilation. Forward compatibility across major release</w:t>
      </w:r>
      <w:r w:rsidR="00B41C57">
        <w:t xml:space="preserve"> </w:t>
      </w:r>
      <w:r w:rsidRPr="00EC3247">
        <w:t>families requires explicit installation of the CUDA Forward Compatibility package and is</w:t>
      </w:r>
      <w:r w:rsidR="00B41C57">
        <w:t xml:space="preserve"> </w:t>
      </w:r>
      <w:r w:rsidRPr="00EC3247">
        <w:t xml:space="preserve">supported only on NVIDIA Data Center GPUs and select RTX/Jetson SKUs. </w:t>
      </w:r>
      <w:proofErr w:type="spellStart"/>
      <w:r w:rsidRPr="00EC3247">
        <w:t>TensorRT</w:t>
      </w:r>
      <w:proofErr w:type="spellEnd"/>
      <w:r w:rsidRPr="00EC3247">
        <w:t>-LLM</w:t>
      </w:r>
      <w:r w:rsidR="00B41C57">
        <w:t xml:space="preserve"> </w:t>
      </w:r>
      <w:r w:rsidRPr="00EC3247">
        <w:t>compiles models to architecture-specific engines: an Al00 engine cannot execute on Hl00</w:t>
      </w:r>
      <w:r w:rsidR="00B41C57">
        <w:t xml:space="preserve"> </w:t>
      </w:r>
      <w:r w:rsidRPr="00EC3247">
        <w:t xml:space="preserve">without recompilation, adding 5-30 minutes per model. A multi-site operator using </w:t>
      </w:r>
      <w:proofErr w:type="spellStart"/>
      <w:r w:rsidRPr="00EC3247">
        <w:t>TensorRTLLM</w:t>
      </w:r>
      <w:proofErr w:type="spellEnd"/>
      <w:r w:rsidR="00B41C57">
        <w:t xml:space="preserve"> </w:t>
      </w:r>
      <w:r w:rsidRPr="00EC3247">
        <w:t>must pre-stage compiled engines for all destination architectures, or use framework</w:t>
      </w:r>
      <w:r w:rsidR="00B41C57">
        <w:t>-</w:t>
      </w:r>
      <w:r w:rsidRPr="00EC3247">
        <w:t>agnostic</w:t>
      </w:r>
      <w:r w:rsidR="00B41C57">
        <w:t xml:space="preserve"> </w:t>
      </w:r>
      <w:r w:rsidRPr="00EC3247">
        <w:t>serving (</w:t>
      </w:r>
      <w:proofErr w:type="spellStart"/>
      <w:r w:rsidRPr="00EC3247">
        <w:t>vLLM</w:t>
      </w:r>
      <w:proofErr w:type="spellEnd"/>
      <w:r w:rsidRPr="00EC3247">
        <w:t xml:space="preserve">, TGI). </w:t>
      </w:r>
      <w:proofErr w:type="spellStart"/>
      <w:r w:rsidRPr="00EC3247">
        <w:t>vLLM</w:t>
      </w:r>
      <w:proofErr w:type="spellEnd"/>
      <w:r w:rsidRPr="00EC3247">
        <w:t xml:space="preserve"> supports NVIDIA, AMD, Intel, and TPU backends.</w:t>
      </w:r>
      <w:r w:rsidR="003E7C23">
        <w:t xml:space="preserve"> </w:t>
      </w:r>
      <w:r w:rsidRPr="00EC3247">
        <w:t>Standard production deployments use containerized serving (Docker/Kubernetes), abstracting</w:t>
      </w:r>
      <w:r w:rsidR="003E7C23">
        <w:t xml:space="preserve"> </w:t>
      </w:r>
      <w:r w:rsidRPr="00EC3247">
        <w:t>hardware specifics behind a consistent APL The hardware-compatibility multiplier ~0.85</w:t>
      </w:r>
      <w:r w:rsidR="003E7C23">
        <w:t xml:space="preserve"> </w:t>
      </w:r>
      <w:r w:rsidRPr="00EC3247">
        <w:t>reflects (a) the heterogeneous mix of GPU generations across the destination fleet (Vl00, Al00,</w:t>
      </w:r>
      <w:r w:rsidR="003E7C23">
        <w:t xml:space="preserve"> </w:t>
      </w:r>
      <w:r w:rsidRPr="00EC3247">
        <w:t>Hl00, Bl00 ), (b) residual risk from quantization-format mismatches (FPS on Hl00 vs FP16 on</w:t>
      </w:r>
      <w:r w:rsidR="003E7C23">
        <w:t xml:space="preserve"> </w:t>
      </w:r>
      <w:r w:rsidRPr="00EC3247">
        <w:t>Al00), and (c) generation-specific GPU features. CV-017, CV-018, CV-019 ground each</w:t>
      </w:r>
      <w:r w:rsidR="003E7C23">
        <w:t xml:space="preserve"> </w:t>
      </w:r>
      <w:r w:rsidRPr="00EC3247">
        <w:t>subcomponent.</w:t>
      </w:r>
    </w:p>
    <w:p w14:paraId="42595684" w14:textId="77777777" w:rsidR="003E7C23" w:rsidRDefault="003E7C23" w:rsidP="00EC3247">
      <w:pPr>
        <w:pStyle w:val="Compact"/>
        <w:rPr>
          <w:b/>
          <w:bCs/>
        </w:rPr>
      </w:pPr>
    </w:p>
    <w:p w14:paraId="7962BF5B" w14:textId="54364DF3" w:rsidR="00EC3247" w:rsidRPr="00EC3247" w:rsidRDefault="00EC3247" w:rsidP="00EC3247">
      <w:pPr>
        <w:pStyle w:val="Compact"/>
      </w:pPr>
      <w:r w:rsidRPr="00EC3247">
        <w:rPr>
          <w:b/>
          <w:bCs/>
        </w:rPr>
        <w:lastRenderedPageBreak/>
        <w:t xml:space="preserve">Pre-staging component. </w:t>
      </w:r>
      <w:r w:rsidRPr="00EC3247">
        <w:t>For inference spatial migration, model weights must already be</w:t>
      </w:r>
    </w:p>
    <w:p w14:paraId="5C53ECA2" w14:textId="77777777" w:rsidR="00EC3247" w:rsidRPr="00EC3247" w:rsidRDefault="00EC3247" w:rsidP="00EC3247">
      <w:pPr>
        <w:pStyle w:val="Compact"/>
      </w:pPr>
      <w:r w:rsidRPr="00EC3247">
        <w:t>loaded at destination. Without pre-staging, three frictions apply: frontier model weights are</w:t>
      </w:r>
    </w:p>
    <w:p w14:paraId="1AA9F652" w14:textId="77777777" w:rsidR="00EC3247" w:rsidRPr="00EC3247" w:rsidRDefault="00EC3247" w:rsidP="00EC3247">
      <w:pPr>
        <w:pStyle w:val="Compact"/>
      </w:pPr>
      <w:r w:rsidRPr="00EC3247">
        <w:t>large (a 70B-parameter model in FP16 is ~140 GB; a 405B-parameter model is ~810 GB</w:t>
      </w:r>
      <w:proofErr w:type="gramStart"/>
      <w:r w:rsidRPr="00EC3247">
        <w:t>);</w:t>
      </w:r>
      <w:proofErr w:type="gramEnd"/>
    </w:p>
    <w:p w14:paraId="58E37FE6" w14:textId="59D827AF" w:rsidR="00EC3247" w:rsidRPr="00EC3247" w:rsidRDefault="00EC3247" w:rsidP="00EC3247">
      <w:pPr>
        <w:pStyle w:val="Compact"/>
      </w:pPr>
      <w:r w:rsidRPr="00EC3247">
        <w:t>transferring 810 GB over a 100 Gbps link takes ~65 seconds plus consumes WAN capacity that</w:t>
      </w:r>
      <w:r w:rsidR="003E7C23">
        <w:t xml:space="preserve"> </w:t>
      </w:r>
      <w:r w:rsidRPr="00EC3247">
        <w:t xml:space="preserve">would otherwise serve user traffic; and cold-start latency adds tens of seconds for </w:t>
      </w:r>
      <w:proofErr w:type="gramStart"/>
      <w:r w:rsidRPr="00EC3247">
        <w:t>moderately</w:t>
      </w:r>
      <w:r w:rsidR="003E7C23">
        <w:t>-</w:t>
      </w:r>
      <w:r w:rsidRPr="00EC3247">
        <w:t>sized</w:t>
      </w:r>
      <w:proofErr w:type="gramEnd"/>
      <w:r w:rsidR="003E7C23">
        <w:t xml:space="preserve"> </w:t>
      </w:r>
      <w:r w:rsidRPr="00EC3247">
        <w:t>models on high-throughput storage to several minutes for frontier-scale deployments.</w:t>
      </w:r>
      <w:r w:rsidR="000863F9">
        <w:t xml:space="preserve"> </w:t>
      </w:r>
      <w:r w:rsidRPr="00EC3247">
        <w:t xml:space="preserve">NVIDIA </w:t>
      </w:r>
      <w:proofErr w:type="spellStart"/>
      <w:r w:rsidRPr="00EC3247">
        <w:t>Run:ai</w:t>
      </w:r>
      <w:proofErr w:type="spellEnd"/>
      <w:r w:rsidRPr="00EC3247">
        <w:t xml:space="preserve"> Model Streamer (CV-020) reports Llama 3 SB (15 GB) cold-start at 23-35</w:t>
      </w:r>
      <w:r w:rsidR="000863F9">
        <w:t xml:space="preserve"> </w:t>
      </w:r>
      <w:r w:rsidRPr="00EC3247">
        <w:t>seconds on local SSD, longer on object store; the single-model benchmark caveat is documented</w:t>
      </w:r>
      <w:r w:rsidR="000863F9">
        <w:t xml:space="preserve"> </w:t>
      </w:r>
      <w:r w:rsidRPr="00EC3247">
        <w:t>in CV-020. No public frontier-scale (70B+) cold-start benchmark exists. With pre-staging,</w:t>
      </w:r>
      <w:r w:rsidR="000863F9">
        <w:t xml:space="preserve"> </w:t>
      </w:r>
      <w:r w:rsidRPr="00EC3247">
        <w:t>model weights are already resident at destination GPUs, migration reduces to a request-routing</w:t>
      </w:r>
      <w:r w:rsidR="000863F9">
        <w:t xml:space="preserve"> </w:t>
      </w:r>
      <w:r w:rsidRPr="00EC3247">
        <w:t>operation at the load balancer (millisecond-scale), and no WAN bandwidth is consumed for</w:t>
      </w:r>
      <w:r w:rsidR="000863F9">
        <w:t xml:space="preserve"> </w:t>
      </w:r>
      <w:r w:rsidRPr="00EC3247">
        <w:t>weight transfer during the stress event. The pre-staging multiplier ~0.65 reflects heterogeneity</w:t>
      </w:r>
      <w:r w:rsidR="000863F9">
        <w:t xml:space="preserve"> </w:t>
      </w:r>
      <w:r w:rsidRPr="00EC3247">
        <w:t>across destination facility types and the fraction of frontier workload models pre-staged at any</w:t>
      </w:r>
      <w:r w:rsidR="000863F9">
        <w:t xml:space="preserve"> </w:t>
      </w:r>
      <w:r w:rsidRPr="00EC3247">
        <w:t>given time.</w:t>
      </w:r>
    </w:p>
    <w:p w14:paraId="7F6865BE" w14:textId="77777777" w:rsidR="000863F9" w:rsidRDefault="000863F9" w:rsidP="00EC3247">
      <w:pPr>
        <w:pStyle w:val="Compact"/>
        <w:rPr>
          <w:b/>
          <w:bCs/>
        </w:rPr>
      </w:pPr>
    </w:p>
    <w:p w14:paraId="2AAE8CBF" w14:textId="54774A40" w:rsidR="00EC3247" w:rsidRPr="00EC3247" w:rsidRDefault="00EC3247" w:rsidP="00EC3247">
      <w:pPr>
        <w:pStyle w:val="Compact"/>
      </w:pPr>
      <w:r w:rsidRPr="00EC3247">
        <w:rPr>
          <w:b/>
          <w:bCs/>
        </w:rPr>
        <w:t xml:space="preserve">Independence with DEST avail. </w:t>
      </w:r>
      <w:r w:rsidRPr="00EC3247">
        <w:t>DEST _avail and DEST _absorb are plausibly favorably</w:t>
      </w:r>
    </w:p>
    <w:p w14:paraId="747BEFA3" w14:textId="15064A40" w:rsidR="00EC3247" w:rsidRPr="00EC3247" w:rsidRDefault="00EC3247" w:rsidP="00EC3247">
      <w:pPr>
        <w:pStyle w:val="Compact"/>
      </w:pPr>
      <w:r w:rsidRPr="00EC3247">
        <w:t>correlated- hours of widespread destination availability are also plausibly hours of moderate</w:t>
      </w:r>
      <w:r w:rsidR="000863F9">
        <w:t xml:space="preserve"> </w:t>
      </w:r>
      <w:r w:rsidRPr="00EC3247">
        <w:t>overall load, where GPU utilization is also moderate. The conditional MC drawing</w:t>
      </w:r>
    </w:p>
    <w:p w14:paraId="51A53B79" w14:textId="77777777" w:rsidR="00EC3247" w:rsidRPr="00EC3247" w:rsidRDefault="00EC3247" w:rsidP="00EC3247">
      <w:pPr>
        <w:pStyle w:val="Compact"/>
      </w:pPr>
      <w:r w:rsidRPr="00EC3247">
        <w:t xml:space="preserve">DEST _absorb independently per iteration is therefore </w:t>
      </w:r>
      <w:r w:rsidRPr="00EC3247">
        <w:rPr>
          <w:b/>
          <w:bCs/>
        </w:rPr>
        <w:t xml:space="preserve">conservative </w:t>
      </w:r>
      <w:r w:rsidRPr="00EC3247">
        <w:t>with respect to this</w:t>
      </w:r>
    </w:p>
    <w:p w14:paraId="4AE76327" w14:textId="77777777" w:rsidR="00EC3247" w:rsidRDefault="00EC3247" w:rsidP="00EC3247">
      <w:pPr>
        <w:pStyle w:val="Compact"/>
      </w:pPr>
      <w:r w:rsidRPr="00EC3247">
        <w:t>correlation. State explicitly in Methods rather than pretending independence holds perfectly.</w:t>
      </w:r>
    </w:p>
    <w:p w14:paraId="1D489353" w14:textId="77777777" w:rsidR="000863F9" w:rsidRPr="00EC3247" w:rsidRDefault="000863F9" w:rsidP="00EC3247">
      <w:pPr>
        <w:pStyle w:val="Compact"/>
      </w:pPr>
    </w:p>
    <w:p w14:paraId="04E9A66B" w14:textId="7C58AFF2" w:rsidR="00EC3247" w:rsidRPr="00EC3247" w:rsidRDefault="00EC3247" w:rsidP="00EC3247">
      <w:pPr>
        <w:pStyle w:val="Compact"/>
      </w:pPr>
      <w:r w:rsidRPr="00EC3247">
        <w:rPr>
          <w:b/>
          <w:bCs/>
        </w:rPr>
        <w:t xml:space="preserve">Why DEST absorb is the dominant framework uncertainty. </w:t>
      </w:r>
      <w:r w:rsidRPr="00EC3247">
        <w:t>The literature genuinely disputes</w:t>
      </w:r>
      <w:r w:rsidR="000863F9">
        <w:t xml:space="preserve"> </w:t>
      </w:r>
      <w:r w:rsidRPr="00EC3247">
        <w:t>utilization rates by a factor of 2; no direct measurement exists; the parameter is multiplicative</w:t>
      </w:r>
      <w:r w:rsidR="000863F9">
        <w:t xml:space="preserve"> </w:t>
      </w:r>
      <w:r w:rsidRPr="00EC3247">
        <w:t xml:space="preserve">in the spatial </w:t>
      </w:r>
      <w:proofErr w:type="gramStart"/>
      <w:r w:rsidRPr="00EC3247">
        <w:t>cascade</w:t>
      </w:r>
      <w:proofErr w:type="gramEnd"/>
      <w:r w:rsidRPr="00EC3247">
        <w:t xml:space="preserve"> so its uncertainty propagates undamped to commitment depth. The</w:t>
      </w:r>
      <w:r w:rsidR="000863F9">
        <w:t xml:space="preserve"> </w:t>
      </w:r>
      <w:r w:rsidRPr="00EC3247">
        <w:t>honest defense in review is the dispute itself, not the central value - a reviewer could land</w:t>
      </w:r>
      <w:r w:rsidR="000863F9">
        <w:t xml:space="preserve"> </w:t>
      </w:r>
      <w:r w:rsidRPr="00EC3247">
        <w:t>anywhere in [0.15, 0.55] depending on which source they trust, and the framework's range</w:t>
      </w:r>
      <w:r w:rsidR="000863F9">
        <w:t xml:space="preserve"> </w:t>
      </w:r>
      <w:r w:rsidRPr="00EC3247">
        <w:t>explicitly accommodates that.</w:t>
      </w:r>
    </w:p>
    <w:p w14:paraId="7600815E" w14:textId="77777777" w:rsidR="000863F9" w:rsidRDefault="000863F9" w:rsidP="00EC3247">
      <w:pPr>
        <w:pStyle w:val="Compact"/>
        <w:rPr>
          <w:b/>
          <w:bCs/>
        </w:rPr>
      </w:pPr>
    </w:p>
    <w:p w14:paraId="12A1FDFD" w14:textId="7162CA87" w:rsidR="00EC3247" w:rsidRPr="00EC3247" w:rsidRDefault="00EC3247" w:rsidP="00EC3247">
      <w:pPr>
        <w:pStyle w:val="Compact"/>
      </w:pPr>
      <w:r w:rsidRPr="00EC3247">
        <w:rPr>
          <w:b/>
          <w:bCs/>
        </w:rPr>
        <w:t xml:space="preserve">Order-of-magnitude policy corroborator. </w:t>
      </w:r>
      <w:r w:rsidRPr="00EC3247">
        <w:t>IEA 2025 estimates 50 GW technical flexibility</w:t>
      </w:r>
    </w:p>
    <w:p w14:paraId="5E9845E1" w14:textId="522B89A4" w:rsidR="00EC3247" w:rsidRPr="00EC3247" w:rsidRDefault="00EC3247" w:rsidP="00EC3247">
      <w:pPr>
        <w:pStyle w:val="Compact"/>
      </w:pPr>
      <w:r w:rsidRPr="00EC3247">
        <w:t>potential by 2035 assuming 25% of accelerated workloads spatially or temporally shifted; that</w:t>
      </w:r>
      <w:r w:rsidR="000863F9">
        <w:t xml:space="preserve"> </w:t>
      </w:r>
      <w:r w:rsidRPr="00EC3247">
        <w:t>25% is consistent at the order-of-magnitude level with DEST _absorb x downstream parameters</w:t>
      </w:r>
      <w:r w:rsidR="000863F9">
        <w:t xml:space="preserve"> </w:t>
      </w:r>
      <w:r w:rsidRPr="00EC3247">
        <w:t>at fleet scale.</w:t>
      </w:r>
    </w:p>
    <w:p w14:paraId="665F1738" w14:textId="77777777" w:rsidR="000863F9" w:rsidRDefault="000863F9" w:rsidP="00EC3247">
      <w:pPr>
        <w:pStyle w:val="Compact"/>
        <w:rPr>
          <w:b/>
          <w:bCs/>
        </w:rPr>
      </w:pPr>
    </w:p>
    <w:p w14:paraId="12BDC08D" w14:textId="6B4C3A22" w:rsidR="00EC3247" w:rsidRPr="00EC3247" w:rsidRDefault="00EC3247" w:rsidP="00EC3247">
      <w:pPr>
        <w:pStyle w:val="Compact"/>
      </w:pPr>
      <w:r w:rsidRPr="00EC3247">
        <w:rPr>
          <w:b/>
          <w:bCs/>
        </w:rPr>
        <w:t xml:space="preserve">What would resolve the uncertainty. </w:t>
      </w:r>
      <w:r w:rsidRPr="00EC3247">
        <w:t>GPU-level power draw or utilization telemetry from</w:t>
      </w:r>
    </w:p>
    <w:p w14:paraId="721E5998" w14:textId="569A6CE3" w:rsidR="00EC3247" w:rsidRPr="00EC3247" w:rsidRDefault="00EC3247" w:rsidP="00EC3247">
      <w:pPr>
        <w:pStyle w:val="Compact"/>
      </w:pPr>
      <w:r w:rsidRPr="00EC3247">
        <w:t>production inference facilities, specifically time-series data aligned to grid stress hours in the</w:t>
      </w:r>
      <w:r w:rsidR="000863F9">
        <w:t xml:space="preserve"> </w:t>
      </w:r>
      <w:r w:rsidRPr="00EC3247">
        <w:t>source interconnection. This is the single most valuable empirical contribution that hyperscale</w:t>
      </w:r>
      <w:r w:rsidR="000863F9">
        <w:t xml:space="preserve"> </w:t>
      </w:r>
      <w:r w:rsidRPr="00EC3247">
        <w:t>operators could make to tighten DEST _absorb.</w:t>
      </w:r>
    </w:p>
    <w:p w14:paraId="05C5EBBC" w14:textId="77777777" w:rsidR="000863F9" w:rsidRDefault="000863F9" w:rsidP="00EC3247">
      <w:pPr>
        <w:pStyle w:val="Compact"/>
        <w:rPr>
          <w:b/>
          <w:bCs/>
        </w:rPr>
      </w:pPr>
    </w:p>
    <w:p w14:paraId="11601921" w14:textId="7D501F19" w:rsidR="00EC3247" w:rsidRPr="00EC3247" w:rsidRDefault="00EC3247" w:rsidP="00EC3247">
      <w:pPr>
        <w:pStyle w:val="Compact"/>
      </w:pPr>
      <w:r w:rsidRPr="00EC3247">
        <w:rPr>
          <w:b/>
          <w:bCs/>
        </w:rPr>
        <w:t xml:space="preserve">CV workbook ties. </w:t>
      </w:r>
      <w:r w:rsidRPr="00EC3247">
        <w:t>CV-014, CV-015, CV-016, CV-017, CV-018, CV-019, CV-020 collectively</w:t>
      </w:r>
    </w:p>
    <w:p w14:paraId="340FBC95" w14:textId="38386D55" w:rsidR="00EC3247" w:rsidRDefault="00EC3247" w:rsidP="00EC3247">
      <w:pPr>
        <w:pStyle w:val="Compact"/>
        <w:pBdr>
          <w:bottom w:val="single" w:sz="12" w:space="1" w:color="auto"/>
        </w:pBdr>
      </w:pPr>
      <w:r w:rsidRPr="00EC3247">
        <w:t>underpin DEST _absorb. The CV-016 skip decision for Cortez is preserved (workload-adjacent,</w:t>
      </w:r>
      <w:r w:rsidR="000863F9">
        <w:t xml:space="preserve"> </w:t>
      </w:r>
      <w:r w:rsidRPr="00EC3247">
        <w:t>pre-AI CPU enterprise). Individual CV resolutions remain valid as grounding for the collapsed</w:t>
      </w:r>
      <w:r w:rsidR="000863F9">
        <w:t xml:space="preserve"> </w:t>
      </w:r>
      <w:r w:rsidRPr="00EC3247">
        <w:t>parameter.</w:t>
      </w:r>
    </w:p>
    <w:p w14:paraId="28888DAA" w14:textId="77777777" w:rsidR="00B8415C" w:rsidRDefault="00B8415C" w:rsidP="00EC3247">
      <w:pPr>
        <w:pStyle w:val="Compact"/>
        <w:pBdr>
          <w:bottom w:val="single" w:sz="12" w:space="1" w:color="auto"/>
        </w:pBdr>
      </w:pPr>
    </w:p>
    <w:p w14:paraId="50840B98" w14:textId="77777777" w:rsidR="00FC391B" w:rsidRPr="00FC391B" w:rsidRDefault="00FC391B" w:rsidP="00FC391B">
      <w:pPr>
        <w:pStyle w:val="Compact"/>
        <w:rPr>
          <w:b/>
          <w:bCs/>
        </w:rPr>
      </w:pPr>
      <w:r w:rsidRPr="00FC391B">
        <w:rPr>
          <w:b/>
          <w:bCs/>
        </w:rPr>
        <w:lastRenderedPageBreak/>
        <w:t>NET ok- Network adequacy</w:t>
      </w:r>
    </w:p>
    <w:tbl>
      <w:tblPr>
        <w:tblStyle w:val="TableGrid"/>
        <w:tblW w:w="0" w:type="auto"/>
        <w:tblLook w:val="04A0" w:firstRow="1" w:lastRow="0" w:firstColumn="1" w:lastColumn="0" w:noHBand="0" w:noVBand="1"/>
      </w:tblPr>
      <w:tblGrid>
        <w:gridCol w:w="4675"/>
        <w:gridCol w:w="4675"/>
      </w:tblGrid>
      <w:tr w:rsidR="00FC391B" w:rsidRPr="00FC391B" w14:paraId="26BA0194" w14:textId="77777777" w:rsidTr="00FC391B">
        <w:tc>
          <w:tcPr>
            <w:tcW w:w="4675" w:type="dxa"/>
            <w:shd w:val="clear" w:color="auto" w:fill="D9D9D9" w:themeFill="background1" w:themeFillShade="D9"/>
          </w:tcPr>
          <w:p w14:paraId="2FD1C01E" w14:textId="2C44EC0C" w:rsidR="00FC391B" w:rsidRPr="00FC391B" w:rsidRDefault="00FC391B" w:rsidP="00993FC4">
            <w:pPr>
              <w:pStyle w:val="Compact"/>
              <w:rPr>
                <w:b/>
              </w:rPr>
            </w:pPr>
            <w:r w:rsidRPr="00FC391B">
              <w:rPr>
                <w:b/>
              </w:rPr>
              <w:t>Attribute</w:t>
            </w:r>
          </w:p>
        </w:tc>
        <w:tc>
          <w:tcPr>
            <w:tcW w:w="4675" w:type="dxa"/>
            <w:shd w:val="clear" w:color="auto" w:fill="D9D9D9" w:themeFill="background1" w:themeFillShade="D9"/>
          </w:tcPr>
          <w:p w14:paraId="1CC40329" w14:textId="2C4FFE41" w:rsidR="00FC391B" w:rsidRPr="00FC391B" w:rsidRDefault="00FC391B" w:rsidP="00993FC4">
            <w:pPr>
              <w:pStyle w:val="Compact"/>
              <w:rPr>
                <w:b/>
              </w:rPr>
            </w:pPr>
            <w:r w:rsidRPr="00FC391B">
              <w:rPr>
                <w:b/>
              </w:rPr>
              <w:t>Value</w:t>
            </w:r>
          </w:p>
        </w:tc>
      </w:tr>
      <w:tr w:rsidR="00FC391B" w:rsidRPr="00DC24CA" w14:paraId="3B8E41BA" w14:textId="77777777">
        <w:tc>
          <w:tcPr>
            <w:tcW w:w="4675" w:type="dxa"/>
          </w:tcPr>
          <w:p w14:paraId="48DB61C2" w14:textId="12ADD167" w:rsidR="00FC391B" w:rsidRPr="00FC391B" w:rsidRDefault="00FC391B" w:rsidP="00993FC4">
            <w:pPr>
              <w:pStyle w:val="Compact"/>
            </w:pPr>
            <w:r>
              <w:t>Central</w:t>
            </w:r>
          </w:p>
        </w:tc>
        <w:tc>
          <w:tcPr>
            <w:tcW w:w="4675" w:type="dxa"/>
          </w:tcPr>
          <w:p w14:paraId="234224E6" w14:textId="63CD85C8" w:rsidR="00FC391B" w:rsidRPr="00DC24CA" w:rsidRDefault="00FC391B" w:rsidP="00993FC4">
            <w:pPr>
              <w:pStyle w:val="Compact"/>
            </w:pPr>
            <w:r>
              <w:t>0.98</w:t>
            </w:r>
          </w:p>
        </w:tc>
      </w:tr>
      <w:tr w:rsidR="00FC391B" w:rsidRPr="00DC24CA" w14:paraId="76052F27" w14:textId="77777777">
        <w:tc>
          <w:tcPr>
            <w:tcW w:w="4675" w:type="dxa"/>
          </w:tcPr>
          <w:p w14:paraId="4F4A93CE" w14:textId="4EC68AF8" w:rsidR="00FC391B" w:rsidRPr="00FC391B" w:rsidRDefault="00FC391B" w:rsidP="00993FC4">
            <w:pPr>
              <w:pStyle w:val="Compact"/>
            </w:pPr>
            <w:r>
              <w:t>Range</w:t>
            </w:r>
          </w:p>
        </w:tc>
        <w:tc>
          <w:tcPr>
            <w:tcW w:w="4675" w:type="dxa"/>
          </w:tcPr>
          <w:p w14:paraId="7B152A50" w14:textId="163C1B54" w:rsidR="00FC391B" w:rsidRPr="00FC391B" w:rsidRDefault="00FC391B" w:rsidP="00993FC4">
            <w:pPr>
              <w:pStyle w:val="Compact"/>
            </w:pPr>
            <w:r w:rsidRPr="00FC391B">
              <w:t>Range [0.95, 0.995]</w:t>
            </w:r>
          </w:p>
        </w:tc>
      </w:tr>
      <w:tr w:rsidR="00FC391B" w:rsidRPr="00DC24CA" w14:paraId="5E31D57C" w14:textId="77777777">
        <w:tc>
          <w:tcPr>
            <w:tcW w:w="4675" w:type="dxa"/>
          </w:tcPr>
          <w:p w14:paraId="030A60AD" w14:textId="29A2527A" w:rsidR="00FC391B" w:rsidRPr="00FC391B" w:rsidRDefault="00FC391B" w:rsidP="00993FC4">
            <w:pPr>
              <w:pStyle w:val="Compact"/>
            </w:pPr>
            <w:r w:rsidRPr="00FC391B">
              <w:t>Grounding</w:t>
            </w:r>
          </w:p>
        </w:tc>
        <w:tc>
          <w:tcPr>
            <w:tcW w:w="4675" w:type="dxa"/>
          </w:tcPr>
          <w:p w14:paraId="402B74EF" w14:textId="36EBD79B" w:rsidR="00FC391B" w:rsidRPr="00FC391B" w:rsidRDefault="00FC391B" w:rsidP="00993FC4">
            <w:pPr>
              <w:pStyle w:val="Compact"/>
            </w:pPr>
            <w:r w:rsidRPr="00FC391B">
              <w:t>DATA</w:t>
            </w:r>
          </w:p>
        </w:tc>
      </w:tr>
    </w:tbl>
    <w:p w14:paraId="03F66A62" w14:textId="2E4F35DA" w:rsidR="00FC391B" w:rsidRDefault="00FC391B" w:rsidP="00FC391B">
      <w:pPr>
        <w:pStyle w:val="Compact"/>
      </w:pPr>
    </w:p>
    <w:p w14:paraId="04855390" w14:textId="77777777" w:rsidR="00255FAA" w:rsidRPr="00255FAA" w:rsidRDefault="00255FAA" w:rsidP="00255FAA">
      <w:pPr>
        <w:pStyle w:val="Compact"/>
      </w:pPr>
      <w:r w:rsidRPr="00255FAA">
        <w:rPr>
          <w:b/>
          <w:bCs/>
        </w:rPr>
        <w:t xml:space="preserve">What NET ok measures. </w:t>
      </w:r>
      <w:r w:rsidRPr="00255FAA">
        <w:t>Of routed requests, what fraction is deliverable over WAN within</w:t>
      </w:r>
    </w:p>
    <w:p w14:paraId="09E36640" w14:textId="77777777" w:rsidR="00255FAA" w:rsidRDefault="00255FAA" w:rsidP="00255FAA">
      <w:pPr>
        <w:pStyle w:val="Compact"/>
      </w:pPr>
      <w:r w:rsidRPr="00255FAA">
        <w:t>latency budget?</w:t>
      </w:r>
    </w:p>
    <w:p w14:paraId="365C85B5" w14:textId="77777777" w:rsidR="00255FAA" w:rsidRPr="00255FAA" w:rsidRDefault="00255FAA" w:rsidP="00255FAA">
      <w:pPr>
        <w:pStyle w:val="Compact"/>
      </w:pPr>
    </w:p>
    <w:p w14:paraId="73D65BCC" w14:textId="77777777" w:rsidR="00255FAA" w:rsidRPr="00255FAA" w:rsidRDefault="00255FAA" w:rsidP="00255FAA">
      <w:pPr>
        <w:pStyle w:val="Compact"/>
      </w:pPr>
      <w:r w:rsidRPr="00255FAA">
        <w:rPr>
          <w:b/>
          <w:bCs/>
        </w:rPr>
        <w:t xml:space="preserve">What </w:t>
      </w:r>
      <w:proofErr w:type="gramStart"/>
      <w:r w:rsidRPr="00255FAA">
        <w:rPr>
          <w:b/>
          <w:bCs/>
        </w:rPr>
        <w:t>NET ok</w:t>
      </w:r>
      <w:proofErr w:type="gramEnd"/>
      <w:r w:rsidRPr="00255FAA">
        <w:rPr>
          <w:b/>
          <w:bCs/>
        </w:rPr>
        <w:t xml:space="preserve"> does NOT measure. </w:t>
      </w:r>
      <w:r w:rsidRPr="00255FAA">
        <w:t>Destination compute (</w:t>
      </w:r>
      <w:r w:rsidRPr="00255FAA">
        <w:rPr>
          <w:rFonts w:ascii="Segoe UI Symbol" w:hAnsi="Segoe UI Symbol" w:cs="Segoe UI Symbol"/>
        </w:rPr>
        <w:t>➔</w:t>
      </w:r>
      <w:r w:rsidRPr="00255FAA">
        <w:t xml:space="preserve"> DEST absorb</w:t>
      </w:r>
      <w:proofErr w:type="gramStart"/>
      <w:r w:rsidRPr="00255FAA">
        <w:t>);</w:t>
      </w:r>
      <w:proofErr w:type="gramEnd"/>
      <w:r w:rsidRPr="00255FAA">
        <w:t xml:space="preserve"> orchestration</w:t>
      </w:r>
    </w:p>
    <w:p w14:paraId="018C83F2" w14:textId="77777777" w:rsidR="00255FAA" w:rsidRPr="00255FAA" w:rsidRDefault="00255FAA" w:rsidP="00255FAA">
      <w:pPr>
        <w:pStyle w:val="Compact"/>
      </w:pPr>
      <w:proofErr w:type="gramStart"/>
      <w:r w:rsidRPr="00255FAA">
        <w:t>completion(</w:t>
      </w:r>
      <w:proofErr w:type="gramEnd"/>
      <w:r w:rsidRPr="00255FAA">
        <w:rPr>
          <w:rFonts w:ascii="Segoe UI Symbol" w:hAnsi="Segoe UI Symbol" w:cs="Segoe UI Symbol"/>
        </w:rPr>
        <w:t>➔</w:t>
      </w:r>
      <w:r w:rsidRPr="00255FAA">
        <w:t xml:space="preserve"> </w:t>
      </w:r>
      <w:proofErr w:type="spellStart"/>
      <w:r w:rsidRPr="00255FAA">
        <w:t>ORCH_ok</w:t>
      </w:r>
      <w:proofErr w:type="spellEnd"/>
      <w:r w:rsidRPr="00255FAA">
        <w:t>).</w:t>
      </w:r>
    </w:p>
    <w:p w14:paraId="1C21A12C" w14:textId="77777777" w:rsidR="00255FAA" w:rsidRDefault="00255FAA" w:rsidP="00255FAA">
      <w:pPr>
        <w:pStyle w:val="Compact"/>
        <w:rPr>
          <w:b/>
          <w:bCs/>
        </w:rPr>
      </w:pPr>
    </w:p>
    <w:p w14:paraId="547B8561" w14:textId="14ADBBB0" w:rsidR="00255FAA" w:rsidRPr="00255FAA" w:rsidRDefault="00255FAA" w:rsidP="00255FAA">
      <w:pPr>
        <w:pStyle w:val="Compact"/>
      </w:pPr>
      <w:r w:rsidRPr="00255FAA">
        <w:rPr>
          <w:b/>
          <w:bCs/>
        </w:rPr>
        <w:t xml:space="preserve">The bandwidth math. </w:t>
      </w:r>
      <w:r w:rsidRPr="00255FAA">
        <w:t xml:space="preserve">For </w:t>
      </w:r>
      <w:proofErr w:type="gramStart"/>
      <w:r w:rsidRPr="00255FAA">
        <w:t>inference</w:t>
      </w:r>
      <w:proofErr w:type="gramEnd"/>
      <w:r w:rsidRPr="00255FAA">
        <w:t>, the data transferred per request is trivially small. Typical</w:t>
      </w:r>
      <w:r>
        <w:t xml:space="preserve"> </w:t>
      </w:r>
      <w:r w:rsidRPr="00255FAA">
        <w:t>inference request: 500-2,000 input tokens and 500-2,000 output tokens at approximately 4</w:t>
      </w:r>
      <w:r>
        <w:t xml:space="preserve"> </w:t>
      </w:r>
      <w:r w:rsidRPr="00255FAA">
        <w:t>bytes per token, giving a single request-response pair of~ 16 KB. Large request (128K context</w:t>
      </w:r>
      <w:r>
        <w:t xml:space="preserve"> </w:t>
      </w:r>
      <w:r w:rsidRPr="00255FAA">
        <w:t>window) is approximately 512 KB. A single 100 Gbps link can carry approximately 780,000</w:t>
      </w:r>
      <w:r>
        <w:t xml:space="preserve"> </w:t>
      </w:r>
      <w:r w:rsidRPr="00255FAA">
        <w:t>inference requests per second. Modern hyperscale WAN links operate at 100-800 Gbps per</w:t>
      </w:r>
      <w:r>
        <w:t xml:space="preserve"> </w:t>
      </w:r>
      <w:r w:rsidRPr="00255FAA">
        <w:t>link.</w:t>
      </w:r>
    </w:p>
    <w:p w14:paraId="49389272" w14:textId="77777777" w:rsidR="00255FAA" w:rsidRDefault="00255FAA" w:rsidP="00255FAA">
      <w:pPr>
        <w:pStyle w:val="Compact"/>
        <w:rPr>
          <w:b/>
          <w:bCs/>
        </w:rPr>
      </w:pPr>
    </w:p>
    <w:p w14:paraId="5942B037" w14:textId="1231C327" w:rsidR="00255FAA" w:rsidRDefault="00255FAA" w:rsidP="00255FAA">
      <w:pPr>
        <w:pStyle w:val="Compact"/>
      </w:pPr>
      <w:r w:rsidRPr="00255FAA">
        <w:rPr>
          <w:b/>
          <w:bCs/>
        </w:rPr>
        <w:t xml:space="preserve">Bandwidth-buildout evidence. </w:t>
      </w:r>
      <w:proofErr w:type="spellStart"/>
      <w:r w:rsidRPr="00255FAA">
        <w:t>Hyperscaler</w:t>
      </w:r>
      <w:proofErr w:type="spellEnd"/>
      <w:r w:rsidRPr="00255FAA">
        <w:t xml:space="preserve"> bandwidth purchases on Zayo's network grew</w:t>
      </w:r>
      <w:r>
        <w:t xml:space="preserve"> </w:t>
      </w:r>
      <w:r w:rsidRPr="00255FAA">
        <w:t xml:space="preserve">from 18.2 Tb (2020) to 42.4 Tb (2024) - a 133% increase in </w:t>
      </w:r>
      <w:r w:rsidRPr="00255FAA">
        <w:rPr>
          <w:b/>
          <w:bCs/>
        </w:rPr>
        <w:t xml:space="preserve">annual </w:t>
      </w:r>
      <w:r w:rsidRPr="00255FAA">
        <w:t>purchases over the period</w:t>
      </w:r>
      <w:r>
        <w:t xml:space="preserve"> </w:t>
      </w:r>
      <w:r w:rsidRPr="00255FAA">
        <w:t>(Zayo 2025 Bandwidth Report; the cumulative-vs-annual correction is documented in CV-022).</w:t>
      </w:r>
      <w:r w:rsidR="00F46C88">
        <w:t xml:space="preserve"> </w:t>
      </w:r>
      <w:r w:rsidRPr="00255FAA">
        <w:t>Metro dark fiber purchases rose 268% year-over-year in 2024. The buildout is supporting</w:t>
      </w:r>
      <w:r w:rsidR="00F46C88">
        <w:t xml:space="preserve"> </w:t>
      </w:r>
      <w:r w:rsidRPr="00255FAA">
        <w:t>interconnect between AI training clusters; the same infrastructure is available for inference</w:t>
      </w:r>
      <w:r w:rsidR="00F46C88">
        <w:t xml:space="preserve"> </w:t>
      </w:r>
      <w:r w:rsidRPr="00255FAA">
        <w:t>request routing at trivial marginal cost relative to deployed capacity.</w:t>
      </w:r>
    </w:p>
    <w:p w14:paraId="348D259D" w14:textId="77777777" w:rsidR="00F46C88" w:rsidRPr="00255FAA" w:rsidRDefault="00F46C88" w:rsidP="00255FAA">
      <w:pPr>
        <w:pStyle w:val="Compact"/>
      </w:pPr>
    </w:p>
    <w:p w14:paraId="0DC62AE4" w14:textId="1C07021D" w:rsidR="00255FAA" w:rsidRDefault="00255FAA" w:rsidP="00255FAA">
      <w:pPr>
        <w:pStyle w:val="Compact"/>
      </w:pPr>
      <w:r w:rsidRPr="00255FAA">
        <w:rPr>
          <w:b/>
          <w:bCs/>
        </w:rPr>
        <w:t xml:space="preserve">Inter-facility precedent. </w:t>
      </w:r>
      <w:r w:rsidRPr="00255FAA">
        <w:t>Google's B4 (Jain et al., ACM SIGCOMM 2013, CV-021) demonstrated</w:t>
      </w:r>
      <w:r w:rsidR="00F46C88">
        <w:t xml:space="preserve"> </w:t>
      </w:r>
      <w:r w:rsidRPr="00255FAA">
        <w:t xml:space="preserve">a </w:t>
      </w:r>
      <w:proofErr w:type="gramStart"/>
      <w:r w:rsidRPr="00255FAA">
        <w:t>globally-deployed</w:t>
      </w:r>
      <w:proofErr w:type="gramEnd"/>
      <w:r w:rsidRPr="00255FAA">
        <w:t xml:space="preserve"> software-defined WAN operating at near-100% utilization on busiest</w:t>
      </w:r>
      <w:r w:rsidR="00F46C88">
        <w:t xml:space="preserve"> </w:t>
      </w:r>
      <w:r w:rsidRPr="00255FAA">
        <w:t>edges, 70% network-wide average, with three years of production deployment at paper time</w:t>
      </w:r>
      <w:r w:rsidR="00F46C88">
        <w:t xml:space="preserve"> </w:t>
      </w:r>
      <w:r w:rsidRPr="00255FAA">
        <w:t>and centralized traffic engineering. Establishes inter-facility routing at hyperscale.</w:t>
      </w:r>
    </w:p>
    <w:p w14:paraId="24998BE9" w14:textId="77777777" w:rsidR="00F46C88" w:rsidRPr="00255FAA" w:rsidRDefault="00F46C88" w:rsidP="00255FAA">
      <w:pPr>
        <w:pStyle w:val="Compact"/>
      </w:pPr>
    </w:p>
    <w:p w14:paraId="0668172B" w14:textId="77777777" w:rsidR="00255FAA" w:rsidRPr="00255FAA" w:rsidRDefault="00255FAA" w:rsidP="00255FAA">
      <w:pPr>
        <w:pStyle w:val="Compact"/>
      </w:pPr>
      <w:r w:rsidRPr="00255FAA">
        <w:rPr>
          <w:b/>
          <w:bCs/>
        </w:rPr>
        <w:t xml:space="preserve">Latency budget grounding. </w:t>
      </w:r>
      <w:r w:rsidRPr="00255FAA">
        <w:t xml:space="preserve">Cross-CO NUS round-trip latency on </w:t>
      </w:r>
      <w:proofErr w:type="spellStart"/>
      <w:r w:rsidRPr="00255FAA">
        <w:t>hyperscaler</w:t>
      </w:r>
      <w:proofErr w:type="spellEnd"/>
      <w:r w:rsidRPr="00255FAA">
        <w:t xml:space="preserve"> backbones is</w:t>
      </w:r>
    </w:p>
    <w:p w14:paraId="186F6D5D" w14:textId="592BA65E" w:rsidR="00255FAA" w:rsidRDefault="00255FAA" w:rsidP="00255FAA">
      <w:pPr>
        <w:pStyle w:val="Compact"/>
      </w:pPr>
      <w:proofErr w:type="gramStart"/>
      <w:r w:rsidRPr="00255FAA">
        <w:t>bounded</w:t>
      </w:r>
      <w:proofErr w:type="gramEnd"/>
      <w:r w:rsidRPr="00255FAA">
        <w:t xml:space="preserve"> above by approximately 80 </w:t>
      </w:r>
      <w:proofErr w:type="spellStart"/>
      <w:r w:rsidRPr="00255FAA">
        <w:t>ms</w:t>
      </w:r>
      <w:proofErr w:type="spellEnd"/>
      <w:r w:rsidRPr="00255FAA">
        <w:t xml:space="preserve"> (Azure inter-region P50 statistics, West US</w:t>
      </w:r>
      <w:r w:rsidR="009D2827">
        <w:t xml:space="preserve"> ↔</w:t>
      </w:r>
      <w:r w:rsidRPr="00255FAA">
        <w:t xml:space="preserve"> East US:</w:t>
      </w:r>
      <w:r w:rsidR="009D2827">
        <w:t xml:space="preserve"> </w:t>
      </w:r>
      <w:r w:rsidRPr="00255FAA">
        <w:t xml:space="preserve">73 </w:t>
      </w:r>
      <w:proofErr w:type="spellStart"/>
      <w:r w:rsidRPr="00255FAA">
        <w:t>ms</w:t>
      </w:r>
      <w:proofErr w:type="spellEnd"/>
      <w:r w:rsidRPr="00255FAA">
        <w:t xml:space="preserve">). Production LLM time-to-first-token SLOs are typically 200-500 </w:t>
      </w:r>
      <w:proofErr w:type="spellStart"/>
      <w:r w:rsidRPr="00255FAA">
        <w:t>ms</w:t>
      </w:r>
      <w:proofErr w:type="spellEnd"/>
      <w:r w:rsidRPr="00255FAA">
        <w:t xml:space="preserve">, so 80 </w:t>
      </w:r>
      <w:proofErr w:type="spellStart"/>
      <w:r w:rsidRPr="00255FAA">
        <w:t>ms</w:t>
      </w:r>
      <w:proofErr w:type="spellEnd"/>
      <w:r w:rsidRPr="00255FAA">
        <w:t xml:space="preserve"> cross</w:t>
      </w:r>
      <w:r w:rsidR="009D2827">
        <w:t>-</w:t>
      </w:r>
      <w:r w:rsidRPr="00255FAA">
        <w:t>region</w:t>
      </w:r>
      <w:r w:rsidR="009D2827">
        <w:t xml:space="preserve"> </w:t>
      </w:r>
      <w:r w:rsidRPr="00255FAA">
        <w:t>routing fits within the budget for non-IW-F workloads. Azure's interactive latency tables</w:t>
      </w:r>
      <w:r w:rsidR="009D2827">
        <w:t xml:space="preserve"> </w:t>
      </w:r>
      <w:r w:rsidRPr="00255FAA">
        <w:t>document the inter-region measurements; cite the publication, not specific point values.</w:t>
      </w:r>
    </w:p>
    <w:p w14:paraId="0CC9E7BF" w14:textId="77777777" w:rsidR="009D2827" w:rsidRPr="00255FAA" w:rsidRDefault="009D2827" w:rsidP="00255FAA">
      <w:pPr>
        <w:pStyle w:val="Compact"/>
      </w:pPr>
    </w:p>
    <w:p w14:paraId="073EF8C4" w14:textId="4AD9CA7C" w:rsidR="00255FAA" w:rsidRDefault="00255FAA" w:rsidP="00255FAA">
      <w:pPr>
        <w:pStyle w:val="Compact"/>
      </w:pPr>
      <w:r w:rsidRPr="00255FAA">
        <w:rPr>
          <w:b/>
          <w:bCs/>
        </w:rPr>
        <w:t xml:space="preserve">Pre-staged weights eliminate the bandwidth bottleneck. </w:t>
      </w:r>
      <w:r w:rsidRPr="00255FAA">
        <w:t>The bandwidth-intensive operation</w:t>
      </w:r>
      <w:r w:rsidR="009D2827">
        <w:t xml:space="preserve"> </w:t>
      </w:r>
      <w:r w:rsidRPr="00255FAA">
        <w:t xml:space="preserve">in a naive migration would be transferring model weights. For frontier models </w:t>
      </w:r>
      <w:proofErr w:type="gramStart"/>
      <w:r w:rsidRPr="00255FAA">
        <w:t xml:space="preserve">( </w:t>
      </w:r>
      <w:r w:rsidRPr="00255FAA">
        <w:lastRenderedPageBreak/>
        <w:t>~</w:t>
      </w:r>
      <w:proofErr w:type="gramEnd"/>
      <w:r w:rsidRPr="00255FAA">
        <w:t>810 GB), on</w:t>
      </w:r>
      <w:r w:rsidR="009D2827">
        <w:t>-</w:t>
      </w:r>
      <w:r w:rsidRPr="00255FAA">
        <w:t>demand</w:t>
      </w:r>
      <w:r w:rsidR="009D2827">
        <w:t xml:space="preserve"> </w:t>
      </w:r>
      <w:r w:rsidRPr="00255FAA">
        <w:t>transfer over a 100 Gbps link takes ~65 seconds. But weights are pre-staged at</w:t>
      </w:r>
      <w:r w:rsidR="009D2827">
        <w:t xml:space="preserve"> </w:t>
      </w:r>
      <w:r w:rsidRPr="00255FAA">
        <w:t>destinations (DEST _absorb pre-staging component). Inference spatial migration transfers only</w:t>
      </w:r>
      <w:r w:rsidR="009D2827">
        <w:t xml:space="preserve"> </w:t>
      </w:r>
      <w:r w:rsidRPr="00255FAA">
        <w:t>request/response payloads, which are negligible relative to available WAN capacity.</w:t>
      </w:r>
    </w:p>
    <w:p w14:paraId="6825E292" w14:textId="77777777" w:rsidR="009D2827" w:rsidRPr="00255FAA" w:rsidRDefault="009D2827" w:rsidP="00255FAA">
      <w:pPr>
        <w:pStyle w:val="Compact"/>
      </w:pPr>
    </w:p>
    <w:p w14:paraId="06594DAD" w14:textId="533F3342" w:rsidR="00255FAA" w:rsidRPr="00255FAA" w:rsidRDefault="00255FAA" w:rsidP="00255FAA">
      <w:pPr>
        <w:pStyle w:val="Compact"/>
      </w:pPr>
      <w:r w:rsidRPr="00255FAA">
        <w:rPr>
          <w:b/>
          <w:bCs/>
        </w:rPr>
        <w:t xml:space="preserve">The 2% reduction from 1.0. </w:t>
      </w:r>
      <w:r w:rsidRPr="00255FAA">
        <w:t>The 2% reduction at central value accounts for: transient WAN</w:t>
      </w:r>
      <w:r w:rsidR="009D2827">
        <w:t xml:space="preserve"> </w:t>
      </w:r>
      <w:r w:rsidRPr="00255FAA">
        <w:t>congestion during extreme events when multiple operators may simultaneously attempt</w:t>
      </w:r>
      <w:r w:rsidR="009D2827">
        <w:t xml:space="preserve"> </w:t>
      </w:r>
      <w:r w:rsidRPr="00255FAA">
        <w:t>migration; smaller facilities with less redundant WAN connectivity than hyperscale campuses;</w:t>
      </w:r>
      <w:r w:rsidR="009D2827">
        <w:t xml:space="preserve"> </w:t>
      </w:r>
      <w:r w:rsidRPr="00255FAA">
        <w:t>and the possibility of correlated network stress during grid emergencies (ice storms that</w:t>
      </w:r>
      <w:r w:rsidR="009D2827">
        <w:t xml:space="preserve"> </w:t>
      </w:r>
      <w:r w:rsidRPr="00255FAA">
        <w:t>damage both power lines and fiber).</w:t>
      </w:r>
    </w:p>
    <w:p w14:paraId="65A02DA3" w14:textId="77777777" w:rsidR="009D2827" w:rsidRDefault="009D2827" w:rsidP="00255FAA">
      <w:pPr>
        <w:pStyle w:val="Compact"/>
        <w:rPr>
          <w:b/>
          <w:bCs/>
        </w:rPr>
      </w:pPr>
    </w:p>
    <w:p w14:paraId="291E85E2" w14:textId="3A9E4A96" w:rsidR="00255FAA" w:rsidRDefault="00255FAA" w:rsidP="00255FAA">
      <w:pPr>
        <w:pStyle w:val="Compact"/>
        <w:pBdr>
          <w:bottom w:val="single" w:sz="12" w:space="1" w:color="auto"/>
        </w:pBdr>
      </w:pPr>
      <w:r w:rsidRPr="00255FAA">
        <w:rPr>
          <w:b/>
          <w:bCs/>
        </w:rPr>
        <w:t xml:space="preserve">CV workbook ties. </w:t>
      </w:r>
      <w:r w:rsidRPr="00255FAA">
        <w:t>CV-021 (B4), CV-022 (Zayo correction).</w:t>
      </w:r>
    </w:p>
    <w:p w14:paraId="14B6ADCE" w14:textId="77777777" w:rsidR="00B8415C" w:rsidRDefault="00B8415C" w:rsidP="00255FAA">
      <w:pPr>
        <w:pStyle w:val="Compact"/>
        <w:pBdr>
          <w:bottom w:val="single" w:sz="12" w:space="1" w:color="auto"/>
        </w:pBdr>
      </w:pPr>
    </w:p>
    <w:p w14:paraId="6F4295A0" w14:textId="77777777" w:rsidR="009D2827" w:rsidRDefault="009D2827" w:rsidP="00255FAA">
      <w:pPr>
        <w:pStyle w:val="Compact"/>
      </w:pPr>
    </w:p>
    <w:p w14:paraId="62957D53" w14:textId="77777777" w:rsidR="008D79E5" w:rsidRPr="008D79E5" w:rsidRDefault="008D79E5" w:rsidP="008D79E5">
      <w:pPr>
        <w:pStyle w:val="Compact"/>
        <w:rPr>
          <w:b/>
          <w:bCs/>
        </w:rPr>
      </w:pPr>
      <w:proofErr w:type="spellStart"/>
      <w:r w:rsidRPr="008D79E5">
        <w:rPr>
          <w:b/>
          <w:bCs/>
        </w:rPr>
        <w:t>ORCH_ok</w:t>
      </w:r>
      <w:proofErr w:type="spellEnd"/>
      <w:r w:rsidRPr="008D79E5">
        <w:rPr>
          <w:b/>
          <w:bCs/>
        </w:rPr>
        <w:t xml:space="preserve"> </w:t>
      </w:r>
      <w:r w:rsidRPr="008D79E5">
        <w:t xml:space="preserve">- </w:t>
      </w:r>
      <w:r w:rsidRPr="008D79E5">
        <w:rPr>
          <w:b/>
          <w:bCs/>
        </w:rPr>
        <w:t>Orchestration reliability</w:t>
      </w:r>
    </w:p>
    <w:tbl>
      <w:tblPr>
        <w:tblStyle w:val="TableGrid"/>
        <w:tblW w:w="0" w:type="auto"/>
        <w:tblLook w:val="04A0" w:firstRow="1" w:lastRow="0" w:firstColumn="1" w:lastColumn="0" w:noHBand="0" w:noVBand="1"/>
      </w:tblPr>
      <w:tblGrid>
        <w:gridCol w:w="4675"/>
        <w:gridCol w:w="4675"/>
      </w:tblGrid>
      <w:tr w:rsidR="008D79E5" w:rsidRPr="008D79E5" w14:paraId="1815C40A" w14:textId="77777777" w:rsidTr="008D79E5">
        <w:tc>
          <w:tcPr>
            <w:tcW w:w="4675" w:type="dxa"/>
            <w:shd w:val="clear" w:color="auto" w:fill="D9D9D9" w:themeFill="background1" w:themeFillShade="D9"/>
          </w:tcPr>
          <w:p w14:paraId="10AAFB35" w14:textId="6BC2B8E6" w:rsidR="008D79E5" w:rsidRPr="008D79E5" w:rsidRDefault="008D79E5" w:rsidP="00835649">
            <w:pPr>
              <w:pStyle w:val="Compact"/>
              <w:rPr>
                <w:b/>
                <w:bCs/>
              </w:rPr>
            </w:pPr>
            <w:r w:rsidRPr="008D79E5">
              <w:rPr>
                <w:b/>
                <w:bCs/>
              </w:rPr>
              <w:t xml:space="preserve">Attribute </w:t>
            </w:r>
          </w:p>
        </w:tc>
        <w:tc>
          <w:tcPr>
            <w:tcW w:w="4675" w:type="dxa"/>
            <w:shd w:val="clear" w:color="auto" w:fill="D9D9D9" w:themeFill="background1" w:themeFillShade="D9"/>
          </w:tcPr>
          <w:p w14:paraId="0A73D096" w14:textId="283C304A" w:rsidR="008D79E5" w:rsidRPr="008D79E5" w:rsidRDefault="008D79E5" w:rsidP="00835649">
            <w:pPr>
              <w:pStyle w:val="Compact"/>
            </w:pPr>
            <w:r w:rsidRPr="008D79E5">
              <w:rPr>
                <w:b/>
                <w:bCs/>
              </w:rPr>
              <w:t>Value</w:t>
            </w:r>
          </w:p>
        </w:tc>
      </w:tr>
      <w:tr w:rsidR="008D79E5" w:rsidRPr="00DC24CA" w14:paraId="099111DF" w14:textId="77777777">
        <w:tc>
          <w:tcPr>
            <w:tcW w:w="4675" w:type="dxa"/>
          </w:tcPr>
          <w:p w14:paraId="160E7A4B" w14:textId="19637D7D" w:rsidR="008D79E5" w:rsidRPr="008D79E5" w:rsidRDefault="008D79E5" w:rsidP="00835649">
            <w:pPr>
              <w:pStyle w:val="Compact"/>
            </w:pPr>
            <w:r w:rsidRPr="008D79E5">
              <w:t>Central</w:t>
            </w:r>
          </w:p>
        </w:tc>
        <w:tc>
          <w:tcPr>
            <w:tcW w:w="4675" w:type="dxa"/>
          </w:tcPr>
          <w:p w14:paraId="44764DBD" w14:textId="41536867" w:rsidR="008D79E5" w:rsidRPr="00DC24CA" w:rsidRDefault="008D79E5" w:rsidP="00835649">
            <w:pPr>
              <w:pStyle w:val="Compact"/>
            </w:pPr>
            <w:r w:rsidRPr="008D79E5">
              <w:t>0.95</w:t>
            </w:r>
          </w:p>
        </w:tc>
      </w:tr>
      <w:tr w:rsidR="008D79E5" w:rsidRPr="00DC24CA" w14:paraId="610D6D54" w14:textId="77777777">
        <w:tc>
          <w:tcPr>
            <w:tcW w:w="4675" w:type="dxa"/>
          </w:tcPr>
          <w:p w14:paraId="4E4D69E2" w14:textId="24D4FFD4" w:rsidR="008D79E5" w:rsidRPr="008D79E5" w:rsidRDefault="008D79E5" w:rsidP="00835649">
            <w:pPr>
              <w:pStyle w:val="Compact"/>
            </w:pPr>
            <w:r>
              <w:t>Range</w:t>
            </w:r>
          </w:p>
        </w:tc>
        <w:tc>
          <w:tcPr>
            <w:tcW w:w="4675" w:type="dxa"/>
          </w:tcPr>
          <w:p w14:paraId="0AE3D274" w14:textId="11DC76E3" w:rsidR="008D79E5" w:rsidRPr="008D79E5" w:rsidRDefault="008D79E5" w:rsidP="00835649">
            <w:pPr>
              <w:pStyle w:val="Compact"/>
            </w:pPr>
            <w:r w:rsidRPr="008D79E5">
              <w:t>[0.88, 0.99]</w:t>
            </w:r>
          </w:p>
        </w:tc>
      </w:tr>
      <w:tr w:rsidR="008D79E5" w:rsidRPr="00DC24CA" w14:paraId="731C2767" w14:textId="77777777">
        <w:tc>
          <w:tcPr>
            <w:tcW w:w="4675" w:type="dxa"/>
          </w:tcPr>
          <w:p w14:paraId="1C9E230D" w14:textId="0D71E538" w:rsidR="008D79E5" w:rsidRPr="008D79E5" w:rsidRDefault="008D79E5" w:rsidP="008D79E5">
            <w:pPr>
              <w:pStyle w:val="Compact"/>
            </w:pPr>
            <w:r w:rsidRPr="008D79E5">
              <w:t>Grounding</w:t>
            </w:r>
          </w:p>
        </w:tc>
        <w:tc>
          <w:tcPr>
            <w:tcW w:w="4675" w:type="dxa"/>
          </w:tcPr>
          <w:p w14:paraId="79B36AFB" w14:textId="592CB9BC" w:rsidR="008D79E5" w:rsidRPr="008D79E5" w:rsidRDefault="008D79E5" w:rsidP="008D79E5">
            <w:pPr>
              <w:pStyle w:val="Compact"/>
            </w:pPr>
            <w:r w:rsidRPr="008D79E5">
              <w:t>ESTIMATED-MODERATE</w:t>
            </w:r>
          </w:p>
        </w:tc>
      </w:tr>
    </w:tbl>
    <w:p w14:paraId="5CAA2AC4" w14:textId="40DA458D" w:rsidR="008D79E5" w:rsidRDefault="008D79E5" w:rsidP="008D79E5">
      <w:pPr>
        <w:pStyle w:val="Compact"/>
      </w:pPr>
    </w:p>
    <w:p w14:paraId="028A2FBF" w14:textId="77777777" w:rsidR="009B735E" w:rsidRPr="009B735E" w:rsidRDefault="009B735E" w:rsidP="009B735E">
      <w:pPr>
        <w:pStyle w:val="Compact"/>
      </w:pPr>
      <w:r w:rsidRPr="009B735E">
        <w:rPr>
          <w:b/>
          <w:bCs/>
        </w:rPr>
        <w:t xml:space="preserve">What </w:t>
      </w:r>
      <w:proofErr w:type="spellStart"/>
      <w:r w:rsidRPr="009B735E">
        <w:rPr>
          <w:b/>
          <w:bCs/>
        </w:rPr>
        <w:t>ORCH_ok</w:t>
      </w:r>
      <w:proofErr w:type="spellEnd"/>
      <w:r w:rsidRPr="009B735E">
        <w:rPr>
          <w:b/>
          <w:bCs/>
        </w:rPr>
        <w:t xml:space="preserve"> measures. </w:t>
      </w:r>
      <w:r w:rsidRPr="009B735E">
        <w:t>Of requests successfully delivered over the network to a</w:t>
      </w:r>
    </w:p>
    <w:p w14:paraId="31A548E8" w14:textId="6A2A5E19" w:rsidR="009B735E" w:rsidRPr="009B735E" w:rsidRDefault="009B735E" w:rsidP="009B735E">
      <w:pPr>
        <w:pStyle w:val="Compact"/>
      </w:pPr>
      <w:r w:rsidRPr="009B735E">
        <w:t xml:space="preserve">destination with available </w:t>
      </w:r>
      <w:proofErr w:type="gramStart"/>
      <w:r w:rsidRPr="009B735E">
        <w:t>compute</w:t>
      </w:r>
      <w:proofErr w:type="gramEnd"/>
      <w:r w:rsidRPr="009B735E">
        <w:t>, what fraction completes successfully (scheduler reliability,</w:t>
      </w:r>
      <w:r>
        <w:t xml:space="preserve"> </w:t>
      </w:r>
      <w:r w:rsidRPr="009B735E">
        <w:t>instance availability, partial-batch handling, cross-facility coordination)?</w:t>
      </w:r>
    </w:p>
    <w:p w14:paraId="2C098E8E" w14:textId="77777777" w:rsidR="009B735E" w:rsidRDefault="009B735E" w:rsidP="009B735E">
      <w:pPr>
        <w:pStyle w:val="Compact"/>
        <w:rPr>
          <w:b/>
          <w:bCs/>
        </w:rPr>
      </w:pPr>
    </w:p>
    <w:p w14:paraId="437D42F4" w14:textId="19B60CDA" w:rsidR="009B735E" w:rsidRPr="009B735E" w:rsidRDefault="009B735E" w:rsidP="009B735E">
      <w:pPr>
        <w:pStyle w:val="Compact"/>
      </w:pPr>
      <w:r w:rsidRPr="009B735E">
        <w:rPr>
          <w:b/>
          <w:bCs/>
        </w:rPr>
        <w:t xml:space="preserve">What </w:t>
      </w:r>
      <w:proofErr w:type="spellStart"/>
      <w:r w:rsidRPr="009B735E">
        <w:rPr>
          <w:b/>
          <w:bCs/>
        </w:rPr>
        <w:t>ORCH_ok</w:t>
      </w:r>
      <w:proofErr w:type="spellEnd"/>
      <w:r w:rsidRPr="009B735E">
        <w:rPr>
          <w:b/>
          <w:bCs/>
        </w:rPr>
        <w:t xml:space="preserve"> does NOT measure. </w:t>
      </w:r>
      <w:r w:rsidRPr="009B735E">
        <w:t>Network delivery (</w:t>
      </w:r>
      <w:r w:rsidRPr="009B735E">
        <w:rPr>
          <w:rFonts w:ascii="Segoe UI Symbol" w:hAnsi="Segoe UI Symbol" w:cs="Segoe UI Symbol"/>
        </w:rPr>
        <w:t>➔</w:t>
      </w:r>
      <w:r w:rsidRPr="009B735E">
        <w:t xml:space="preserve"> NET ok); destination compute </w:t>
      </w:r>
      <w:proofErr w:type="gramStart"/>
      <w:r w:rsidRPr="009B735E">
        <w:t xml:space="preserve">( </w:t>
      </w:r>
      <w:r w:rsidRPr="009B735E">
        <w:rPr>
          <w:rFonts w:ascii="Segoe UI Symbol" w:hAnsi="Segoe UI Symbol" w:cs="Segoe UI Symbol"/>
        </w:rPr>
        <w:t>➔</w:t>
      </w:r>
      <w:proofErr w:type="gramEnd"/>
      <w:r w:rsidRPr="009B735E">
        <w:t>DEST _absorb).</w:t>
      </w:r>
    </w:p>
    <w:p w14:paraId="415E4A49" w14:textId="77777777" w:rsidR="009B735E" w:rsidRDefault="009B735E" w:rsidP="009B735E">
      <w:pPr>
        <w:pStyle w:val="Compact"/>
        <w:rPr>
          <w:b/>
          <w:bCs/>
        </w:rPr>
      </w:pPr>
    </w:p>
    <w:p w14:paraId="206A5B54" w14:textId="77777777" w:rsidR="009B735E" w:rsidRDefault="009B735E" w:rsidP="009B735E">
      <w:pPr>
        <w:pStyle w:val="Compact"/>
      </w:pPr>
      <w:r w:rsidRPr="009B735E">
        <w:rPr>
          <w:b/>
          <w:bCs/>
        </w:rPr>
        <w:t xml:space="preserve">Within-facility production precedent (strong). </w:t>
      </w:r>
      <w:r w:rsidRPr="009B735E">
        <w:t xml:space="preserve">Three </w:t>
      </w:r>
      <w:proofErr w:type="spellStart"/>
      <w:r w:rsidRPr="009B735E">
        <w:t>hyperscalers</w:t>
      </w:r>
      <w:proofErr w:type="spellEnd"/>
      <w:r w:rsidRPr="009B735E">
        <w:t xml:space="preserve"> run distributed power</w:t>
      </w:r>
      <w:r>
        <w:t xml:space="preserve"> </w:t>
      </w:r>
      <w:r w:rsidRPr="009B735E">
        <w:t>management</w:t>
      </w:r>
      <w:r>
        <w:t xml:space="preserve"> </w:t>
      </w:r>
      <w:r w:rsidRPr="009B735E">
        <w:t>orchestration at production scale with documented reliability:</w:t>
      </w:r>
    </w:p>
    <w:p w14:paraId="7BD0D1B8" w14:textId="77777777" w:rsidR="009B735E" w:rsidRDefault="009B735E" w:rsidP="00B8415C">
      <w:pPr>
        <w:pStyle w:val="Compact"/>
        <w:numPr>
          <w:ilvl w:val="0"/>
          <w:numId w:val="9"/>
        </w:numPr>
      </w:pPr>
      <w:r w:rsidRPr="009B735E">
        <w:rPr>
          <w:b/>
          <w:bCs/>
        </w:rPr>
        <w:t xml:space="preserve">Flex (Zhang et al., ISCA 2021, Microsoft) </w:t>
      </w:r>
      <w:r w:rsidRPr="009B735E">
        <w:t xml:space="preserve">- </w:t>
      </w:r>
      <w:r w:rsidRPr="009B735E">
        <w:rPr>
          <w:b/>
          <w:bCs/>
        </w:rPr>
        <w:t xml:space="preserve">CV-023. </w:t>
      </w:r>
      <w:r w:rsidRPr="009B735E">
        <w:t>Microsoft Research/ Azure system</w:t>
      </w:r>
      <w:r>
        <w:t xml:space="preserve"> </w:t>
      </w:r>
      <w:r w:rsidRPr="009B735E">
        <w:t>targeting reallocation of 4N/3-redundant datacenter reserve power for additional server</w:t>
      </w:r>
      <w:r>
        <w:t xml:space="preserve"> </w:t>
      </w:r>
      <w:r w:rsidRPr="009B735E">
        <w:t>deployments. Production deployments currently operate at 42% of reserve allocation</w:t>
      </w:r>
      <w:r>
        <w:t xml:space="preserve"> </w:t>
      </w:r>
      <w:r w:rsidRPr="009B735E">
        <w:t>using throttling-only enforcement, with a documented path to 100% allocation pending</w:t>
      </w:r>
      <w:r>
        <w:t xml:space="preserve"> </w:t>
      </w:r>
      <w:r w:rsidRPr="009B735E">
        <w:t>upstream infrastructure upgrades. Less than 5% stranded power. Up to 33% additional</w:t>
      </w:r>
      <w:r>
        <w:t xml:space="preserve"> </w:t>
      </w:r>
      <w:r w:rsidRPr="009B735E">
        <w:t>servers deployable at full allocation. Documented 99.9th-percentile end-to-end latency of</w:t>
      </w:r>
      <w:r>
        <w:t xml:space="preserve"> </w:t>
      </w:r>
      <w:r w:rsidRPr="009B735E">
        <w:t>approximately 3.5 seconds in~ 10 MW rooms - derived from data latency under 1.5</w:t>
      </w:r>
      <w:r>
        <w:t xml:space="preserve"> </w:t>
      </w:r>
      <w:r w:rsidRPr="009B735E">
        <w:t>seconds plus action latency around 2 seconds, with a 10-second operational ceiling on</w:t>
      </w:r>
      <w:r>
        <w:t xml:space="preserve"> </w:t>
      </w:r>
      <w:r w:rsidRPr="009B735E">
        <w:t>Flex-Online response.</w:t>
      </w:r>
    </w:p>
    <w:p w14:paraId="2CCC552A" w14:textId="77777777" w:rsidR="009B735E" w:rsidRDefault="009B735E" w:rsidP="00B8415C">
      <w:pPr>
        <w:pStyle w:val="Compact"/>
        <w:numPr>
          <w:ilvl w:val="0"/>
          <w:numId w:val="9"/>
        </w:numPr>
      </w:pPr>
      <w:r w:rsidRPr="009B735E">
        <w:rPr>
          <w:b/>
          <w:bCs/>
        </w:rPr>
        <w:t xml:space="preserve">Dynamo (Wu et al., ISCA 2016, Face book) </w:t>
      </w:r>
      <w:r w:rsidRPr="009B735E">
        <w:t xml:space="preserve">- </w:t>
      </w:r>
      <w:r w:rsidRPr="009B735E">
        <w:rPr>
          <w:b/>
          <w:bCs/>
        </w:rPr>
        <w:t xml:space="preserve">CV-024. </w:t>
      </w:r>
      <w:r w:rsidRPr="009B735E">
        <w:t>Datacenter-wide power</w:t>
      </w:r>
      <w:r>
        <w:t xml:space="preserve"> </w:t>
      </w:r>
      <w:r w:rsidRPr="009B735E">
        <w:t>management deployed across Face book's production fleet for three years at paper time.</w:t>
      </w:r>
      <w:r>
        <w:t xml:space="preserve"> </w:t>
      </w:r>
      <w:r w:rsidRPr="009B735E">
        <w:t>RAPL-based power capping with sub-10-second capping response latency. Documented</w:t>
      </w:r>
      <w:r>
        <w:t xml:space="preserve"> </w:t>
      </w:r>
      <w:r w:rsidRPr="009B735E">
        <w:t xml:space="preserve">18 prevented potential power outages during a 6-month observation </w:t>
      </w:r>
      <w:r w:rsidRPr="009B735E">
        <w:lastRenderedPageBreak/>
        <w:t>period. Figure 13</w:t>
      </w:r>
      <w:r>
        <w:t xml:space="preserve"> </w:t>
      </w:r>
      <w:r w:rsidRPr="009B735E">
        <w:t>shows web-server latency degrades slowly within a 20% power reduction range, more</w:t>
      </w:r>
      <w:r>
        <w:t xml:space="preserve"> </w:t>
      </w:r>
      <w:r w:rsidRPr="009B735E">
        <w:t>steeply beyond.</w:t>
      </w:r>
    </w:p>
    <w:p w14:paraId="76C84E3E" w14:textId="08737B10" w:rsidR="009B735E" w:rsidRDefault="009B735E" w:rsidP="00B8415C">
      <w:pPr>
        <w:pStyle w:val="Compact"/>
        <w:numPr>
          <w:ilvl w:val="0"/>
          <w:numId w:val="9"/>
        </w:numPr>
      </w:pPr>
      <w:r w:rsidRPr="009B735E">
        <w:rPr>
          <w:b/>
          <w:bCs/>
        </w:rPr>
        <w:t xml:space="preserve">Thunderbolt (Li et al., OSDI 2020, Google) </w:t>
      </w:r>
      <w:r w:rsidRPr="009B735E">
        <w:t xml:space="preserve">- </w:t>
      </w:r>
      <w:r w:rsidRPr="009B735E">
        <w:rPr>
          <w:b/>
          <w:bCs/>
        </w:rPr>
        <w:t xml:space="preserve">CV-025. </w:t>
      </w:r>
      <w:r w:rsidRPr="009B735E">
        <w:t>Two-year deployment across</w:t>
      </w:r>
      <w:r>
        <w:t xml:space="preserve"> </w:t>
      </w:r>
      <w:r w:rsidRPr="009B735E">
        <w:t xml:space="preserve">multiple Google production clusters. Linux </w:t>
      </w:r>
      <w:proofErr w:type="spellStart"/>
      <w:r w:rsidRPr="009B735E">
        <w:t>cgroup</w:t>
      </w:r>
      <w:proofErr w:type="spellEnd"/>
      <w:r w:rsidRPr="009B735E">
        <w:t>-based CPU bandwidth control with</w:t>
      </w:r>
      <w:r>
        <w:t xml:space="preserve"> </w:t>
      </w:r>
      <w:r w:rsidRPr="009B735E">
        <w:t>DVFS and RAPL alternatives. 1-2 second end-to-end response time. Fault-tolerant 2-leader-2-follower architecture per protected power domain. Documented activation</w:t>
      </w:r>
      <w:r>
        <w:t xml:space="preserve"> </w:t>
      </w:r>
      <w:r w:rsidRPr="009B735E">
        <w:t>events including three reactive capping and two proactive capping in the first 130 days of</w:t>
      </w:r>
      <w:r w:rsidR="001C3C58">
        <w:t xml:space="preserve"> </w:t>
      </w:r>
      <w:r w:rsidRPr="009B735E">
        <w:t>2020. Task-level QoS differentiation: throttles throughput-oriented tasks (web indexing,</w:t>
      </w:r>
      <w:r w:rsidR="001C3C58">
        <w:t xml:space="preserve"> </w:t>
      </w:r>
      <w:r w:rsidRPr="009B735E">
        <w:t>log processing, ML training) while exempting latency-sensitive tasks co-located on the</w:t>
      </w:r>
      <w:r w:rsidR="001C3C58">
        <w:t xml:space="preserve"> </w:t>
      </w:r>
      <w:r w:rsidRPr="009B735E">
        <w:t>same hardware, with 99th-percentile read latency for exempt services unaffected. 9-25%</w:t>
      </w:r>
      <w:r w:rsidR="001C3C58">
        <w:t xml:space="preserve"> </w:t>
      </w:r>
      <w:r w:rsidRPr="009B735E">
        <w:t>oversubscription gains.</w:t>
      </w:r>
    </w:p>
    <w:p w14:paraId="17F8D3D2" w14:textId="77777777" w:rsidR="001C3C58" w:rsidRPr="009B735E" w:rsidRDefault="001C3C58" w:rsidP="00B8415C">
      <w:pPr>
        <w:pStyle w:val="Compact"/>
        <w:numPr>
          <w:ilvl w:val="0"/>
          <w:numId w:val="9"/>
        </w:numPr>
      </w:pPr>
    </w:p>
    <w:p w14:paraId="7D6E93FC" w14:textId="77777777" w:rsidR="009B735E" w:rsidRPr="009B735E" w:rsidRDefault="009B735E" w:rsidP="009B735E">
      <w:pPr>
        <w:pStyle w:val="Compact"/>
      </w:pPr>
      <w:r w:rsidRPr="009B735E">
        <w:t>The three deployments together establish that distributed enforcement at hyperscale, with</w:t>
      </w:r>
    </w:p>
    <w:p w14:paraId="50609F72" w14:textId="7ACE9F31" w:rsidR="009B735E" w:rsidRPr="009B735E" w:rsidRDefault="009B735E" w:rsidP="009B735E">
      <w:pPr>
        <w:pStyle w:val="Compact"/>
      </w:pPr>
      <w:r w:rsidRPr="009B735E">
        <w:t>sub-10-second response, fault tolerance, and selective per-workload throttling, is production</w:t>
      </w:r>
      <w:r w:rsidR="001C3C58">
        <w:t>-</w:t>
      </w:r>
      <w:r w:rsidRPr="009B735E">
        <w:t>proven</w:t>
      </w:r>
      <w:r w:rsidR="001C3C58">
        <w:t xml:space="preserve"> </w:t>
      </w:r>
      <w:r w:rsidRPr="009B735E">
        <w:t>across three independent operators.</w:t>
      </w:r>
    </w:p>
    <w:p w14:paraId="0F584487" w14:textId="77777777" w:rsidR="001C3C58" w:rsidRDefault="001C3C58" w:rsidP="009B735E">
      <w:pPr>
        <w:pStyle w:val="Compact"/>
        <w:rPr>
          <w:b/>
          <w:bCs/>
        </w:rPr>
      </w:pPr>
    </w:p>
    <w:p w14:paraId="25D1B687" w14:textId="63BE1C80" w:rsidR="009B735E" w:rsidRPr="009B735E" w:rsidRDefault="009B735E" w:rsidP="009B735E">
      <w:pPr>
        <w:pStyle w:val="Compact"/>
      </w:pPr>
      <w:r w:rsidRPr="009B735E">
        <w:rPr>
          <w:b/>
          <w:bCs/>
        </w:rPr>
        <w:t xml:space="preserve">Cross-facility grid-dispatch precedent (limited). </w:t>
      </w:r>
      <w:r w:rsidRPr="009B735E">
        <w:t>Google's 2025 agreements with the</w:t>
      </w:r>
    </w:p>
    <w:p w14:paraId="03E570A2" w14:textId="524D095C" w:rsidR="009B735E" w:rsidRPr="009B735E" w:rsidRDefault="009B735E" w:rsidP="009B735E">
      <w:pPr>
        <w:pStyle w:val="Compact"/>
      </w:pPr>
      <w:r w:rsidRPr="009B735E">
        <w:t>Tennessee Valley Authority and Indiana Michigan Power (American Public Power</w:t>
      </w:r>
      <w:r w:rsidR="001C3C58">
        <w:t xml:space="preserve"> </w:t>
      </w:r>
      <w:r w:rsidRPr="009B735E">
        <w:t>Association,</w:t>
      </w:r>
      <w:r w:rsidR="001C3C58">
        <w:t xml:space="preserve"> </w:t>
      </w:r>
      <w:r w:rsidRPr="009B735E">
        <w:t>August 2025) are the first DR contracts targeting ML workloads explicitly, following Google's</w:t>
      </w:r>
      <w:r w:rsidR="001C3C58">
        <w:t xml:space="preserve"> </w:t>
      </w:r>
      <w:r w:rsidRPr="009B735E">
        <w:t>prior demonstration with Omaha Public Power District that shifted ML workloads during three</w:t>
      </w:r>
      <w:r w:rsidR="001C3C58">
        <w:t xml:space="preserve"> </w:t>
      </w:r>
      <w:r w:rsidRPr="009B735E">
        <w:t>grid events. International parallel: Centrica/Elia (Belgium), Taiwan Power Company.</w:t>
      </w:r>
      <w:r w:rsidR="005F1086">
        <w:t xml:space="preserve"> </w:t>
      </w:r>
      <w:r w:rsidRPr="009B735E">
        <w:t>Operational but early-stage.</w:t>
      </w:r>
    </w:p>
    <w:p w14:paraId="1D2E22FB" w14:textId="77777777" w:rsidR="005F1086" w:rsidRDefault="005F1086" w:rsidP="009B735E">
      <w:pPr>
        <w:pStyle w:val="Compact"/>
        <w:rPr>
          <w:b/>
          <w:bCs/>
        </w:rPr>
      </w:pPr>
    </w:p>
    <w:p w14:paraId="141EA9CE" w14:textId="706CE8DC" w:rsidR="009B735E" w:rsidRPr="009B735E" w:rsidRDefault="009B735E" w:rsidP="009B735E">
      <w:pPr>
        <w:pStyle w:val="Compact"/>
      </w:pPr>
      <w:r w:rsidRPr="009B735E">
        <w:rPr>
          <w:b/>
          <w:bCs/>
        </w:rPr>
        <w:t xml:space="preserve">Calibration logic. </w:t>
      </w:r>
      <w:r w:rsidRPr="009B735E">
        <w:t xml:space="preserve">Within-facility orchestration is production-verified at three </w:t>
      </w:r>
      <w:proofErr w:type="spellStart"/>
      <w:r w:rsidRPr="009B735E">
        <w:t>hyperscalers</w:t>
      </w:r>
      <w:proofErr w:type="spellEnd"/>
    </w:p>
    <w:p w14:paraId="6977C036" w14:textId="77777777" w:rsidR="005F1086" w:rsidRDefault="009B735E" w:rsidP="009B735E">
      <w:pPr>
        <w:pStyle w:val="Compact"/>
      </w:pPr>
      <w:r w:rsidRPr="009B735E">
        <w:t>with near-perfect reliability for the specific control-action category. Cross-facility orchestration</w:t>
      </w:r>
      <w:r w:rsidR="005F1086">
        <w:t xml:space="preserve"> </w:t>
      </w:r>
      <w:r w:rsidRPr="009B735E">
        <w:t>for grid-dispatch purposes is emerging- operationally demonstrated by Google with TVA and</w:t>
      </w:r>
      <w:r w:rsidR="005F1086">
        <w:t xml:space="preserve"> </w:t>
      </w:r>
      <w:r w:rsidRPr="009B735E">
        <w:t>OPPD but not at the scale or maturity of within-facility power management. The 5% residual</w:t>
      </w:r>
      <w:r w:rsidR="005F1086">
        <w:t xml:space="preserve"> </w:t>
      </w:r>
      <w:r w:rsidRPr="009B735E">
        <w:t>failure allowance in the central value (0.95) reflects this gap honestly: the within-facility</w:t>
      </w:r>
      <w:r w:rsidR="005F1086">
        <w:t xml:space="preserve"> </w:t>
      </w:r>
      <w:r w:rsidRPr="009B735E">
        <w:t>substrate is proven, the cross-facility-grid-dispatch interface is novel.</w:t>
      </w:r>
    </w:p>
    <w:p w14:paraId="122A938A" w14:textId="6BAD1126" w:rsidR="009B735E" w:rsidRPr="009B735E" w:rsidRDefault="009B735E" w:rsidP="009B735E">
      <w:pPr>
        <w:pStyle w:val="Compact"/>
      </w:pPr>
      <w:r w:rsidRPr="009B735E">
        <w:rPr>
          <w:b/>
          <w:bCs/>
        </w:rPr>
        <w:t xml:space="preserve">Sub-failure mode analysis </w:t>
      </w:r>
      <w:r w:rsidRPr="009B735E">
        <w:t>(carried forward from prior framework with consolidation):</w:t>
      </w:r>
    </w:p>
    <w:p w14:paraId="4363C119" w14:textId="77777777" w:rsidR="006553B5" w:rsidRDefault="009B735E" w:rsidP="00B8415C">
      <w:pPr>
        <w:pStyle w:val="Compact"/>
        <w:numPr>
          <w:ilvl w:val="0"/>
          <w:numId w:val="10"/>
        </w:numPr>
      </w:pPr>
      <w:r w:rsidRPr="009B735E">
        <w:rPr>
          <w:b/>
          <w:bCs/>
        </w:rPr>
        <w:t xml:space="preserve">Network failure during migration. </w:t>
      </w:r>
      <w:r w:rsidRPr="009B735E">
        <w:t>Component-level SLAs imply ~99.99% monthly</w:t>
      </w:r>
      <w:r w:rsidR="006553B5">
        <w:t xml:space="preserve"> </w:t>
      </w:r>
      <w:r w:rsidRPr="009B735E">
        <w:t>availability for AWS ELB, Azure Standard Load Balancer, and Azure Cross-Region Load</w:t>
      </w:r>
      <w:r w:rsidR="006553B5">
        <w:t xml:space="preserve"> </w:t>
      </w:r>
      <w:r w:rsidRPr="009B735E">
        <w:t>Balancer. Google's internal network experienced over 100 high-impact events across a</w:t>
      </w:r>
      <w:r w:rsidR="006553B5">
        <w:t xml:space="preserve"> </w:t>
      </w:r>
      <w:r w:rsidRPr="009B735E">
        <w:t>multi-year SIGCOMM 2016 study period. Component reliability is high; the residual</w:t>
      </w:r>
      <w:r w:rsidR="006553B5">
        <w:t xml:space="preserve"> </w:t>
      </w:r>
      <w:r w:rsidRPr="009B735E">
        <w:t>orchestration risk is the larger contributor.</w:t>
      </w:r>
    </w:p>
    <w:p w14:paraId="244C8562" w14:textId="77777777" w:rsidR="006553B5" w:rsidRDefault="009B735E" w:rsidP="00B8415C">
      <w:pPr>
        <w:pStyle w:val="Compact"/>
        <w:numPr>
          <w:ilvl w:val="0"/>
          <w:numId w:val="10"/>
        </w:numPr>
      </w:pPr>
      <w:r w:rsidRPr="009B735E">
        <w:rPr>
          <w:b/>
          <w:bCs/>
        </w:rPr>
        <w:t xml:space="preserve">Scheduling race conditions. </w:t>
      </w:r>
      <w:r w:rsidRPr="009B735E">
        <w:t>Addressed by design specification: the orchestration layer is</w:t>
      </w:r>
      <w:r w:rsidR="006553B5">
        <w:t xml:space="preserve"> </w:t>
      </w:r>
      <w:r w:rsidRPr="009B735E">
        <w:t>the single authority for both DR dispatch and workload scheduling, eliminating race</w:t>
      </w:r>
      <w:r w:rsidR="006553B5">
        <w:t xml:space="preserve"> </w:t>
      </w:r>
      <w:r w:rsidRPr="009B735E">
        <w:t>condition windows.</w:t>
      </w:r>
    </w:p>
    <w:p w14:paraId="3CDCC2CE" w14:textId="77777777" w:rsidR="006553B5" w:rsidRDefault="009B735E" w:rsidP="00B8415C">
      <w:pPr>
        <w:pStyle w:val="Compact"/>
        <w:numPr>
          <w:ilvl w:val="0"/>
          <w:numId w:val="10"/>
        </w:numPr>
      </w:pPr>
      <w:r w:rsidRPr="009B735E">
        <w:rPr>
          <w:b/>
          <w:bCs/>
        </w:rPr>
        <w:t xml:space="preserve">Timeout/ SLO </w:t>
      </w:r>
      <w:proofErr w:type="spellStart"/>
      <w:proofErr w:type="gramStart"/>
      <w:r w:rsidRPr="009B735E">
        <w:t>violation.Negligible</w:t>
      </w:r>
      <w:proofErr w:type="spellEnd"/>
      <w:proofErr w:type="gramEnd"/>
      <w:r w:rsidRPr="009B735E">
        <w:t xml:space="preserve"> for stateless inference: drain times are 4.5-12.1</w:t>
      </w:r>
      <w:r w:rsidR="006553B5">
        <w:t xml:space="preserve"> </w:t>
      </w:r>
      <w:r w:rsidRPr="009B735E">
        <w:t>seconds at P99 vs.10-</w:t>
      </w:r>
      <w:proofErr w:type="gramStart"/>
      <w:r w:rsidRPr="009B735E">
        <w:t>30 minute</w:t>
      </w:r>
      <w:proofErr w:type="gramEnd"/>
      <w:r w:rsidRPr="009B735E">
        <w:t xml:space="preserve"> dispatch window.</w:t>
      </w:r>
    </w:p>
    <w:p w14:paraId="17B89CFB" w14:textId="3258E01B" w:rsidR="009B735E" w:rsidRPr="009B735E" w:rsidRDefault="009B735E" w:rsidP="00B8415C">
      <w:pPr>
        <w:pStyle w:val="Compact"/>
        <w:numPr>
          <w:ilvl w:val="0"/>
          <w:numId w:val="10"/>
        </w:numPr>
      </w:pPr>
      <w:r w:rsidRPr="009B735E">
        <w:rPr>
          <w:b/>
          <w:bCs/>
        </w:rPr>
        <w:t xml:space="preserve">Checkpoint corruption/ partial transfer. </w:t>
      </w:r>
      <w:r w:rsidRPr="009B735E">
        <w:t>Does not apply to inference - no checkpoint</w:t>
      </w:r>
      <w:r w:rsidR="006553B5">
        <w:t xml:space="preserve"> </w:t>
      </w:r>
      <w:r w:rsidRPr="009B735E">
        <w:t>exists.</w:t>
      </w:r>
      <w:r w:rsidR="006553B5">
        <w:t xml:space="preserve"> </w:t>
      </w:r>
      <w:proofErr w:type="gramStart"/>
      <w:r w:rsidRPr="009B735E">
        <w:t>New</w:t>
      </w:r>
      <w:proofErr w:type="gramEnd"/>
      <w:r w:rsidRPr="009B735E">
        <w:t xml:space="preserve"> requests are routed; in-flight requests complete normally.</w:t>
      </w:r>
    </w:p>
    <w:p w14:paraId="3C3F831B" w14:textId="673B3186" w:rsidR="009B735E" w:rsidRPr="009B735E" w:rsidRDefault="009B735E" w:rsidP="009B735E">
      <w:pPr>
        <w:pStyle w:val="Compact"/>
      </w:pPr>
      <w:r w:rsidRPr="009B735E">
        <w:lastRenderedPageBreak/>
        <w:t>The 5% residual is dominated by orchestration-layer software risk: the system translating a</w:t>
      </w:r>
      <w:r w:rsidR="0051647B">
        <w:t xml:space="preserve"> </w:t>
      </w:r>
      <w:r w:rsidRPr="009B735E">
        <w:t>PJM dispatch signal into endpoint-level routing changes across potentially dozens of serving</w:t>
      </w:r>
      <w:r w:rsidR="0051647B">
        <w:t xml:space="preserve"> </w:t>
      </w:r>
      <w:r w:rsidRPr="009B735E">
        <w:t xml:space="preserve">clusters. As production cross-facility grid-dispatch systems are built and tested, </w:t>
      </w:r>
      <w:proofErr w:type="spellStart"/>
      <w:r w:rsidRPr="009B735E">
        <w:t>ORCH_ok</w:t>
      </w:r>
      <w:proofErr w:type="spellEnd"/>
      <w:r w:rsidR="0051647B">
        <w:t xml:space="preserve"> </w:t>
      </w:r>
      <w:r w:rsidRPr="009B735E">
        <w:t>would converge toward the SLA-implied component values.</w:t>
      </w:r>
    </w:p>
    <w:p w14:paraId="757B31B1" w14:textId="77777777" w:rsidR="0051647B" w:rsidRDefault="0051647B" w:rsidP="009B735E">
      <w:pPr>
        <w:pStyle w:val="Compact"/>
        <w:rPr>
          <w:b/>
          <w:bCs/>
        </w:rPr>
      </w:pPr>
    </w:p>
    <w:p w14:paraId="505C6F43" w14:textId="2FF56D9F" w:rsidR="009B735E" w:rsidRDefault="009B735E" w:rsidP="009B735E">
      <w:pPr>
        <w:pStyle w:val="Compact"/>
        <w:pBdr>
          <w:bottom w:val="single" w:sz="12" w:space="1" w:color="auto"/>
        </w:pBdr>
      </w:pPr>
      <w:r w:rsidRPr="009B735E">
        <w:rPr>
          <w:b/>
          <w:bCs/>
        </w:rPr>
        <w:t xml:space="preserve">CV workbook ties. </w:t>
      </w:r>
      <w:r w:rsidRPr="009B735E">
        <w:t>CV-023 (Flex), CV-024 (Dynamo), CV-025 (Thunderbolt).</w:t>
      </w:r>
    </w:p>
    <w:p w14:paraId="6B783EC0" w14:textId="77777777" w:rsidR="00B8415C" w:rsidRDefault="00B8415C" w:rsidP="009B735E">
      <w:pPr>
        <w:pStyle w:val="Compact"/>
        <w:pBdr>
          <w:bottom w:val="single" w:sz="12" w:space="1" w:color="auto"/>
        </w:pBdr>
      </w:pPr>
    </w:p>
    <w:p w14:paraId="7E78C2E6" w14:textId="77777777" w:rsidR="0051647B" w:rsidRDefault="0051647B" w:rsidP="009B735E">
      <w:pPr>
        <w:pStyle w:val="Compact"/>
      </w:pPr>
    </w:p>
    <w:p w14:paraId="7F08BB8E" w14:textId="6DD03A00" w:rsidR="0051647B" w:rsidRDefault="0051647B" w:rsidP="0051647B">
      <w:pPr>
        <w:rPr>
          <w:b/>
          <w:bCs/>
          <w:sz w:val="28"/>
          <w:szCs w:val="28"/>
        </w:rPr>
      </w:pPr>
      <w:r>
        <w:rPr>
          <w:b/>
          <w:bCs/>
          <w:sz w:val="28"/>
          <w:szCs w:val="28"/>
        </w:rPr>
        <w:t>4.</w:t>
      </w:r>
      <w:r w:rsidRPr="000B2C9D">
        <w:rPr>
          <w:b/>
          <w:bCs/>
          <w:sz w:val="28"/>
          <w:szCs w:val="28"/>
        </w:rPr>
        <w:t xml:space="preserve"> </w:t>
      </w:r>
      <w:r>
        <w:rPr>
          <w:b/>
          <w:bCs/>
          <w:sz w:val="28"/>
          <w:szCs w:val="28"/>
        </w:rPr>
        <w:t xml:space="preserve">Deferral Sub-Cascade </w:t>
      </w:r>
      <w:r>
        <w:rPr>
          <w:b/>
          <w:bCs/>
          <w:sz w:val="28"/>
          <w:szCs w:val="28"/>
        </w:rPr>
        <w:t>(</w:t>
      </w:r>
      <w:r>
        <w:rPr>
          <w:b/>
          <w:bCs/>
          <w:sz w:val="28"/>
          <w:szCs w:val="28"/>
        </w:rPr>
        <w:t>three</w:t>
      </w:r>
      <w:r>
        <w:rPr>
          <w:b/>
          <w:bCs/>
          <w:sz w:val="28"/>
          <w:szCs w:val="28"/>
        </w:rPr>
        <w:t xml:space="preserve"> parameters)</w:t>
      </w:r>
    </w:p>
    <w:p w14:paraId="0C67370C" w14:textId="77777777" w:rsidR="00F93715" w:rsidRPr="00F93715" w:rsidRDefault="00F93715" w:rsidP="00F93715">
      <w:pPr>
        <w:pStyle w:val="Compact"/>
        <w:rPr>
          <w:b/>
          <w:bCs/>
        </w:rPr>
      </w:pPr>
      <w:r w:rsidRPr="00F93715">
        <w:rPr>
          <w:b/>
          <w:bCs/>
        </w:rPr>
        <w:t xml:space="preserve">NIW share </w:t>
      </w:r>
      <w:r w:rsidRPr="00F93715">
        <w:t xml:space="preserve">- </w:t>
      </w:r>
      <w:proofErr w:type="gramStart"/>
      <w:r w:rsidRPr="00F93715">
        <w:rPr>
          <w:b/>
          <w:bCs/>
        </w:rPr>
        <w:t>Non-interactive</w:t>
      </w:r>
      <w:proofErr w:type="gramEnd"/>
      <w:r w:rsidRPr="00F93715">
        <w:rPr>
          <w:b/>
          <w:bCs/>
        </w:rPr>
        <w:t xml:space="preserve"> workload compute share</w:t>
      </w:r>
    </w:p>
    <w:tbl>
      <w:tblPr>
        <w:tblStyle w:val="TableGrid"/>
        <w:tblW w:w="0" w:type="auto"/>
        <w:tblLook w:val="04A0" w:firstRow="1" w:lastRow="0" w:firstColumn="1" w:lastColumn="0" w:noHBand="0" w:noVBand="1"/>
      </w:tblPr>
      <w:tblGrid>
        <w:gridCol w:w="4675"/>
        <w:gridCol w:w="4675"/>
      </w:tblGrid>
      <w:tr w:rsidR="00F93715" w:rsidRPr="00F93715" w14:paraId="5908CB11" w14:textId="77777777" w:rsidTr="00363F35">
        <w:tc>
          <w:tcPr>
            <w:tcW w:w="4675" w:type="dxa"/>
            <w:shd w:val="clear" w:color="auto" w:fill="D9D9D9" w:themeFill="background1" w:themeFillShade="D9"/>
          </w:tcPr>
          <w:p w14:paraId="0A8E22C6" w14:textId="1FEE1E11" w:rsidR="00F93715" w:rsidRPr="00F93715" w:rsidRDefault="00F93715" w:rsidP="00A64C1D">
            <w:pPr>
              <w:pStyle w:val="Compact"/>
              <w:rPr>
                <w:b/>
                <w:bCs/>
              </w:rPr>
            </w:pPr>
            <w:r w:rsidRPr="00F93715">
              <w:rPr>
                <w:b/>
                <w:bCs/>
              </w:rPr>
              <w:t xml:space="preserve">Attribute </w:t>
            </w:r>
          </w:p>
        </w:tc>
        <w:tc>
          <w:tcPr>
            <w:tcW w:w="4675" w:type="dxa"/>
            <w:shd w:val="clear" w:color="auto" w:fill="D9D9D9" w:themeFill="background1" w:themeFillShade="D9"/>
          </w:tcPr>
          <w:p w14:paraId="09D8B0F1" w14:textId="0D043F6E" w:rsidR="00F93715" w:rsidRPr="00F93715" w:rsidRDefault="00363F35" w:rsidP="00A64C1D">
            <w:pPr>
              <w:pStyle w:val="Compact"/>
            </w:pPr>
            <w:r w:rsidRPr="00F93715">
              <w:rPr>
                <w:b/>
                <w:bCs/>
              </w:rPr>
              <w:t>Value</w:t>
            </w:r>
          </w:p>
        </w:tc>
      </w:tr>
      <w:tr w:rsidR="00F93715" w:rsidRPr="00DC24CA" w14:paraId="10DD73E9" w14:textId="77777777">
        <w:tc>
          <w:tcPr>
            <w:tcW w:w="4675" w:type="dxa"/>
          </w:tcPr>
          <w:p w14:paraId="416329E3" w14:textId="0FB79278" w:rsidR="00F93715" w:rsidRPr="00F93715" w:rsidRDefault="00363F35" w:rsidP="00A64C1D">
            <w:pPr>
              <w:pStyle w:val="Compact"/>
            </w:pPr>
            <w:r w:rsidRPr="00F93715">
              <w:t>Central (Ensemble B)</w:t>
            </w:r>
          </w:p>
        </w:tc>
        <w:tc>
          <w:tcPr>
            <w:tcW w:w="4675" w:type="dxa"/>
          </w:tcPr>
          <w:p w14:paraId="144AB3B9" w14:textId="57AA06FB" w:rsidR="00F93715" w:rsidRPr="00DC24CA" w:rsidRDefault="00363F35" w:rsidP="00A64C1D">
            <w:pPr>
              <w:pStyle w:val="Compact"/>
            </w:pPr>
            <w:r w:rsidRPr="00F93715">
              <w:t>0.28</w:t>
            </w:r>
          </w:p>
        </w:tc>
      </w:tr>
      <w:tr w:rsidR="00F93715" w:rsidRPr="00DC24CA" w14:paraId="7E5E81F1" w14:textId="77777777">
        <w:tc>
          <w:tcPr>
            <w:tcW w:w="4675" w:type="dxa"/>
          </w:tcPr>
          <w:p w14:paraId="01CAE080" w14:textId="78A5FD33" w:rsidR="00F93715" w:rsidRPr="00F93715" w:rsidRDefault="00F93715" w:rsidP="00A64C1D">
            <w:pPr>
              <w:pStyle w:val="Compact"/>
            </w:pPr>
            <w:r w:rsidRPr="00F93715">
              <w:t>Range</w:t>
            </w:r>
          </w:p>
        </w:tc>
        <w:tc>
          <w:tcPr>
            <w:tcW w:w="4675" w:type="dxa"/>
          </w:tcPr>
          <w:p w14:paraId="5F13317D" w14:textId="688DA7D9" w:rsidR="00F93715" w:rsidRPr="00F93715" w:rsidRDefault="00363F35" w:rsidP="00A64C1D">
            <w:pPr>
              <w:pStyle w:val="Compact"/>
            </w:pPr>
            <w:r w:rsidRPr="00F93715">
              <w:t>A: 0.15 [0.10, 0.20]; B: 0.28 [0.22, 0.35]; C: 0.40 [0.32, 0.50]</w:t>
            </w:r>
          </w:p>
        </w:tc>
      </w:tr>
      <w:tr w:rsidR="00F93715" w:rsidRPr="00DC24CA" w14:paraId="0BDD4315" w14:textId="77777777">
        <w:tc>
          <w:tcPr>
            <w:tcW w:w="4675" w:type="dxa"/>
          </w:tcPr>
          <w:p w14:paraId="0696862A" w14:textId="10F508F7" w:rsidR="00F93715" w:rsidRPr="00F93715" w:rsidRDefault="00F93715" w:rsidP="00F93715">
            <w:pPr>
              <w:pStyle w:val="Compact"/>
            </w:pPr>
            <w:r w:rsidRPr="00F93715">
              <w:t>Grounding</w:t>
            </w:r>
          </w:p>
        </w:tc>
        <w:tc>
          <w:tcPr>
            <w:tcW w:w="4675" w:type="dxa"/>
          </w:tcPr>
          <w:p w14:paraId="57A5B9FF" w14:textId="4B36CB35" w:rsidR="00F93715" w:rsidRPr="00F93715" w:rsidRDefault="00F93715" w:rsidP="00F93715">
            <w:pPr>
              <w:pStyle w:val="Compact"/>
            </w:pPr>
            <w:r w:rsidRPr="00F93715">
              <w:t>DATA (Ensemble B); STRUCTURAL (A and C)</w:t>
            </w:r>
          </w:p>
        </w:tc>
      </w:tr>
    </w:tbl>
    <w:p w14:paraId="56147452" w14:textId="09367E0B" w:rsidR="00F93715" w:rsidRDefault="00F93715" w:rsidP="00F93715">
      <w:pPr>
        <w:pStyle w:val="Compact"/>
      </w:pPr>
    </w:p>
    <w:p w14:paraId="3E8FEB3E" w14:textId="7FD4E567" w:rsidR="00324221" w:rsidRPr="00324221" w:rsidRDefault="00324221" w:rsidP="00324221">
      <w:pPr>
        <w:pStyle w:val="Compact"/>
      </w:pPr>
      <w:r w:rsidRPr="00324221">
        <w:rPr>
          <w:b/>
          <w:bCs/>
        </w:rPr>
        <w:t xml:space="preserve">What NIW share measures. </w:t>
      </w:r>
      <w:r w:rsidRPr="00324221">
        <w:t xml:space="preserve">Of inference </w:t>
      </w:r>
      <w:proofErr w:type="gramStart"/>
      <w:r w:rsidRPr="00324221">
        <w:t>compute</w:t>
      </w:r>
      <w:proofErr w:type="gramEnd"/>
      <w:r w:rsidRPr="00324221">
        <w:t>, what fraction belongs to the noninteractive</w:t>
      </w:r>
      <w:r>
        <w:t xml:space="preserve"> </w:t>
      </w:r>
      <w:r w:rsidRPr="00324221">
        <w:t>workload (NIW) tier with hours-scale deadlines?</w:t>
      </w:r>
    </w:p>
    <w:p w14:paraId="1370C268" w14:textId="77777777" w:rsidR="00324221" w:rsidRDefault="00324221" w:rsidP="00324221">
      <w:pPr>
        <w:pStyle w:val="Compact"/>
        <w:rPr>
          <w:b/>
          <w:bCs/>
        </w:rPr>
      </w:pPr>
    </w:p>
    <w:p w14:paraId="6E7E09A8" w14:textId="47E061C2" w:rsidR="00324221" w:rsidRPr="00324221" w:rsidRDefault="00324221" w:rsidP="00324221">
      <w:pPr>
        <w:pStyle w:val="Compact"/>
      </w:pPr>
      <w:r w:rsidRPr="00324221">
        <w:rPr>
          <w:b/>
          <w:bCs/>
        </w:rPr>
        <w:t xml:space="preserve">What NIW share does NOT measure. </w:t>
      </w:r>
      <w:r w:rsidRPr="00324221">
        <w:t>Within-window deferral feasibility (</w:t>
      </w:r>
      <w:r w:rsidRPr="00324221">
        <w:rPr>
          <w:rFonts w:ascii="Segoe UI Symbol" w:hAnsi="Segoe UI Symbol" w:cs="Segoe UI Symbol"/>
        </w:rPr>
        <w:t>➔</w:t>
      </w:r>
      <w:r w:rsidRPr="00324221">
        <w:t xml:space="preserve"> WINDOW ok);</w:t>
      </w:r>
      <w:r>
        <w:t xml:space="preserve"> </w:t>
      </w:r>
      <w:r w:rsidRPr="00324221">
        <w:t xml:space="preserve">post-stress queue </w:t>
      </w:r>
      <w:proofErr w:type="gramStart"/>
      <w:r w:rsidRPr="00324221">
        <w:t>absorption(</w:t>
      </w:r>
      <w:proofErr w:type="gramEnd"/>
      <w:r w:rsidRPr="00324221">
        <w:rPr>
          <w:rFonts w:ascii="Segoe UI Symbol" w:hAnsi="Segoe UI Symbol" w:cs="Segoe UI Symbol"/>
        </w:rPr>
        <w:t>➔</w:t>
      </w:r>
      <w:r w:rsidRPr="00324221">
        <w:t xml:space="preserve"> </w:t>
      </w:r>
      <w:proofErr w:type="spellStart"/>
      <w:r w:rsidRPr="00324221">
        <w:t>QUEUE_ok</w:t>
      </w:r>
      <w:proofErr w:type="spellEnd"/>
      <w:r w:rsidRPr="00324221">
        <w:t>).</w:t>
      </w:r>
    </w:p>
    <w:p w14:paraId="28053B86" w14:textId="77777777" w:rsidR="00324221" w:rsidRDefault="00324221" w:rsidP="00324221">
      <w:pPr>
        <w:pStyle w:val="Compact"/>
        <w:rPr>
          <w:b/>
          <w:bCs/>
        </w:rPr>
      </w:pPr>
    </w:p>
    <w:p w14:paraId="2311C973" w14:textId="2E62721A" w:rsidR="00324221" w:rsidRPr="00324221" w:rsidRDefault="00324221" w:rsidP="00324221">
      <w:pPr>
        <w:pStyle w:val="Compact"/>
      </w:pPr>
      <w:r w:rsidRPr="00324221">
        <w:rPr>
          <w:b/>
          <w:bCs/>
        </w:rPr>
        <w:t>Workload tier taxonomy (</w:t>
      </w:r>
      <w:proofErr w:type="spellStart"/>
      <w:r w:rsidRPr="00324221">
        <w:rPr>
          <w:b/>
          <w:bCs/>
        </w:rPr>
        <w:t>SageServe</w:t>
      </w:r>
      <w:proofErr w:type="spellEnd"/>
      <w:r w:rsidRPr="00324221">
        <w:rPr>
          <w:b/>
          <w:bCs/>
        </w:rPr>
        <w:t xml:space="preserve">). </w:t>
      </w:r>
      <w:proofErr w:type="spellStart"/>
      <w:r w:rsidRPr="00324221">
        <w:t>SageServe</w:t>
      </w:r>
      <w:proofErr w:type="spellEnd"/>
      <w:r w:rsidRPr="00324221">
        <w:t xml:space="preserve"> (Jaiswal et al. 2025) characterizes Microsoft</w:t>
      </w:r>
      <w:r>
        <w:t xml:space="preserve"> </w:t>
      </w:r>
      <w:r w:rsidRPr="00324221">
        <w:t>0365 Copilot production traces into three tiers:</w:t>
      </w:r>
    </w:p>
    <w:p w14:paraId="42BF1DA2" w14:textId="77777777" w:rsidR="00324221" w:rsidRDefault="00324221" w:rsidP="00B8415C">
      <w:pPr>
        <w:pStyle w:val="Compact"/>
        <w:numPr>
          <w:ilvl w:val="0"/>
          <w:numId w:val="11"/>
        </w:numPr>
      </w:pPr>
      <w:r w:rsidRPr="00324221">
        <w:rPr>
          <w:b/>
          <w:bCs/>
        </w:rPr>
        <w:t xml:space="preserve">IW-F (interactive workload, fast): </w:t>
      </w:r>
      <w:r w:rsidRPr="00324221">
        <w:t>sub-second latency SLOs (e.g., chat, voice).</w:t>
      </w:r>
    </w:p>
    <w:p w14:paraId="47911F78" w14:textId="77777777" w:rsidR="00324221" w:rsidRDefault="00324221" w:rsidP="00B8415C">
      <w:pPr>
        <w:pStyle w:val="Compact"/>
        <w:numPr>
          <w:ilvl w:val="0"/>
          <w:numId w:val="11"/>
        </w:numPr>
      </w:pPr>
      <w:r w:rsidRPr="00324221">
        <w:rPr>
          <w:b/>
          <w:bCs/>
        </w:rPr>
        <w:t xml:space="preserve">IW-N (interactive workload, normal): </w:t>
      </w:r>
      <w:proofErr w:type="gramStart"/>
      <w:r w:rsidRPr="00324221">
        <w:t>seconds</w:t>
      </w:r>
      <w:proofErr w:type="gramEnd"/>
      <w:r w:rsidRPr="00324221">
        <w:t>-scale latency SLOs (e.g., standard chat</w:t>
      </w:r>
      <w:r>
        <w:t xml:space="preserve"> </w:t>
      </w:r>
      <w:r w:rsidRPr="00324221">
        <w:t>completion).</w:t>
      </w:r>
    </w:p>
    <w:p w14:paraId="20B321F4" w14:textId="1D4E2B19" w:rsidR="00324221" w:rsidRPr="00324221" w:rsidRDefault="00324221" w:rsidP="00B8415C">
      <w:pPr>
        <w:pStyle w:val="Compact"/>
        <w:numPr>
          <w:ilvl w:val="0"/>
          <w:numId w:val="11"/>
        </w:numPr>
      </w:pPr>
      <w:r w:rsidRPr="00324221">
        <w:rPr>
          <w:b/>
          <w:bCs/>
        </w:rPr>
        <w:t xml:space="preserve">NIW (non-interactive workload): </w:t>
      </w:r>
      <w:r w:rsidRPr="00324221">
        <w:t>hours-scale deadlines, default 24-hour deadline</w:t>
      </w:r>
      <w:r>
        <w:t xml:space="preserve"> </w:t>
      </w:r>
      <w:r w:rsidRPr="00324221">
        <w:t>horizon, "relaxed deadlines O(hours)."</w:t>
      </w:r>
    </w:p>
    <w:p w14:paraId="097DBC86" w14:textId="77777777" w:rsidR="00DB6C7A" w:rsidRDefault="00DB6C7A" w:rsidP="00324221">
      <w:pPr>
        <w:pStyle w:val="Compact"/>
      </w:pPr>
    </w:p>
    <w:p w14:paraId="132A593F" w14:textId="55DC8F99" w:rsidR="00324221" w:rsidRPr="00324221" w:rsidRDefault="00324221" w:rsidP="00324221">
      <w:pPr>
        <w:pStyle w:val="Compact"/>
      </w:pPr>
      <w:proofErr w:type="spellStart"/>
      <w:r w:rsidRPr="00324221">
        <w:t>SageServe</w:t>
      </w:r>
      <w:proofErr w:type="spellEnd"/>
      <w:r w:rsidRPr="00324221">
        <w:t xml:space="preserve"> states: "IW-F form the largest fraction of all requests and TPS, followed by IW-N,</w:t>
      </w:r>
    </w:p>
    <w:p w14:paraId="5AAE83ED" w14:textId="77777777" w:rsidR="00324221" w:rsidRPr="00324221" w:rsidRDefault="00324221" w:rsidP="00324221">
      <w:pPr>
        <w:pStyle w:val="Compact"/>
      </w:pPr>
      <w:r w:rsidRPr="00324221">
        <w:t>which together are 72% of all requests." NIW share = 28% of requests / TPS.</w:t>
      </w:r>
    </w:p>
    <w:p w14:paraId="5E753C9C" w14:textId="77777777" w:rsidR="00DB6C7A" w:rsidRDefault="00DB6C7A" w:rsidP="00324221">
      <w:pPr>
        <w:pStyle w:val="Compact"/>
        <w:rPr>
          <w:b/>
          <w:bCs/>
        </w:rPr>
      </w:pPr>
    </w:p>
    <w:p w14:paraId="6F30981A" w14:textId="77777777" w:rsidR="00DB6C7A" w:rsidRDefault="00324221" w:rsidP="00324221">
      <w:pPr>
        <w:pStyle w:val="Compact"/>
      </w:pPr>
      <w:r w:rsidRPr="00324221">
        <w:rPr>
          <w:b/>
          <w:bCs/>
        </w:rPr>
        <w:t xml:space="preserve">Caveat on </w:t>
      </w:r>
      <w:proofErr w:type="gramStart"/>
      <w:r w:rsidRPr="00324221">
        <w:rPr>
          <w:b/>
          <w:bCs/>
        </w:rPr>
        <w:t>compute</w:t>
      </w:r>
      <w:proofErr w:type="gramEnd"/>
      <w:r w:rsidRPr="00324221">
        <w:rPr>
          <w:b/>
          <w:bCs/>
        </w:rPr>
        <w:t xml:space="preserve"> share. </w:t>
      </w:r>
      <w:proofErr w:type="spellStart"/>
      <w:r w:rsidRPr="00324221">
        <w:t>SageServe's</w:t>
      </w:r>
      <w:proofErr w:type="spellEnd"/>
      <w:r w:rsidRPr="00324221">
        <w:t xml:space="preserve"> 72/28 statement is joint between request share and TPS</w:t>
      </w:r>
      <w:r w:rsidR="00DB6C7A">
        <w:t xml:space="preserve"> </w:t>
      </w:r>
      <w:r w:rsidRPr="00324221">
        <w:t>(tokens-per-second) share in the abstract - i.e., not a request-only figure. However, elsewhere</w:t>
      </w:r>
      <w:r w:rsidR="00DB6C7A">
        <w:t xml:space="preserve"> </w:t>
      </w:r>
      <w:r w:rsidRPr="00324221">
        <w:t>in the paper S</w:t>
      </w:r>
      <w:proofErr w:type="spellStart"/>
      <w:r w:rsidRPr="00324221">
        <w:t>ageServe</w:t>
      </w:r>
      <w:proofErr w:type="spellEnd"/>
      <w:r w:rsidRPr="00324221">
        <w:t xml:space="preserve"> states "NIW request token counts are comparable to other workload</w:t>
      </w:r>
      <w:r w:rsidR="00DB6C7A">
        <w:t xml:space="preserve"> </w:t>
      </w:r>
      <w:r w:rsidRPr="00324221">
        <w:t xml:space="preserve">tiers" as a modeling assumption for their scheduling simulator, not a direct measurement. </w:t>
      </w:r>
      <w:proofErr w:type="gramStart"/>
      <w:r w:rsidRPr="00324221">
        <w:t>The</w:t>
      </w:r>
      <w:r w:rsidR="00DB6C7A">
        <w:t xml:space="preserve"> </w:t>
      </w:r>
      <w:r w:rsidRPr="00324221">
        <w:t>compute</w:t>
      </w:r>
      <w:proofErr w:type="gramEnd"/>
      <w:r w:rsidRPr="00324221">
        <w:t>-share reading inherits this comparability assumption. Documented in CV-004.</w:t>
      </w:r>
      <w:r w:rsidR="00DB6C7A">
        <w:t xml:space="preserve"> </w:t>
      </w:r>
    </w:p>
    <w:p w14:paraId="0461C09D" w14:textId="77777777" w:rsidR="00DB6C7A" w:rsidRDefault="00DB6C7A" w:rsidP="00324221">
      <w:pPr>
        <w:pStyle w:val="Compact"/>
      </w:pPr>
    </w:p>
    <w:p w14:paraId="32165267" w14:textId="364807D8" w:rsidR="00324221" w:rsidRPr="00324221" w:rsidRDefault="00324221" w:rsidP="00324221">
      <w:pPr>
        <w:pStyle w:val="Compact"/>
      </w:pPr>
      <w:r w:rsidRPr="00324221">
        <w:rPr>
          <w:b/>
          <w:bCs/>
        </w:rPr>
        <w:lastRenderedPageBreak/>
        <w:t xml:space="preserve">Ensemble construction. </w:t>
      </w:r>
      <w:r w:rsidRPr="00324221">
        <w:t>The three ensembles preserve the prior framework's structure:</w:t>
      </w:r>
    </w:p>
    <w:p w14:paraId="4CCE4312" w14:textId="77777777" w:rsidR="00DB6C7A" w:rsidRDefault="00324221" w:rsidP="00B8415C">
      <w:pPr>
        <w:pStyle w:val="Compact"/>
        <w:numPr>
          <w:ilvl w:val="0"/>
          <w:numId w:val="12"/>
        </w:numPr>
      </w:pPr>
      <w:r w:rsidRPr="00324221">
        <w:rPr>
          <w:b/>
          <w:bCs/>
        </w:rPr>
        <w:t xml:space="preserve">Ensemble A-real-time consumer-facing. </w:t>
      </w:r>
      <w:r w:rsidRPr="00324221">
        <w:t>IW-F dominates (chat, voice, real-time</w:t>
      </w:r>
      <w:r w:rsidR="00DB6C7A">
        <w:t xml:space="preserve"> </w:t>
      </w:r>
      <w:r w:rsidRPr="00324221">
        <w:t xml:space="preserve">assistants). NIW share central 0.15, range </w:t>
      </w:r>
      <w:proofErr w:type="gramStart"/>
      <w:r w:rsidRPr="00324221">
        <w:t>[ 0.10</w:t>
      </w:r>
      <w:proofErr w:type="gramEnd"/>
      <w:r w:rsidRPr="00324221">
        <w:t xml:space="preserve">, </w:t>
      </w:r>
      <w:proofErr w:type="gramStart"/>
      <w:r w:rsidRPr="00324221">
        <w:t>0.20 ]</w:t>
      </w:r>
      <w:proofErr w:type="gramEnd"/>
      <w:r w:rsidRPr="00324221">
        <w:t>. STRUCTURAL grounding from</w:t>
      </w:r>
      <w:r w:rsidR="00DB6C7A">
        <w:t xml:space="preserve"> </w:t>
      </w:r>
      <w:r w:rsidRPr="00324221">
        <w:t xml:space="preserve">scenario construction; lower than </w:t>
      </w:r>
      <w:proofErr w:type="spellStart"/>
      <w:r w:rsidRPr="00324221">
        <w:t>SageServe</w:t>
      </w:r>
      <w:proofErr w:type="spellEnd"/>
      <w:r w:rsidRPr="00324221">
        <w:t xml:space="preserve"> 0365 because consumer-facing services</w:t>
      </w:r>
      <w:r w:rsidR="00DB6C7A">
        <w:t xml:space="preserve"> </w:t>
      </w:r>
      <w:r w:rsidRPr="00324221">
        <w:t>skew interactive.</w:t>
      </w:r>
    </w:p>
    <w:p w14:paraId="104AB7D5" w14:textId="77777777" w:rsidR="00DB6C7A" w:rsidRDefault="00324221" w:rsidP="00B8415C">
      <w:pPr>
        <w:pStyle w:val="Compact"/>
        <w:numPr>
          <w:ilvl w:val="0"/>
          <w:numId w:val="12"/>
        </w:numPr>
      </w:pPr>
      <w:r w:rsidRPr="00324221">
        <w:rPr>
          <w:b/>
          <w:bCs/>
        </w:rPr>
        <w:t xml:space="preserve">Ensemble B </w:t>
      </w:r>
      <w:r w:rsidRPr="00324221">
        <w:t xml:space="preserve">- </w:t>
      </w:r>
      <w:r w:rsidRPr="00324221">
        <w:rPr>
          <w:b/>
          <w:bCs/>
        </w:rPr>
        <w:t xml:space="preserve">balanced enterprise mix. </w:t>
      </w:r>
      <w:r w:rsidRPr="00324221">
        <w:t xml:space="preserve">Matches </w:t>
      </w:r>
      <w:proofErr w:type="spellStart"/>
      <w:r w:rsidRPr="00324221">
        <w:t>SageServe</w:t>
      </w:r>
      <w:proofErr w:type="spellEnd"/>
      <w:r w:rsidRPr="00324221">
        <w:t xml:space="preserve"> 0365 directly. NIW share</w:t>
      </w:r>
      <w:r w:rsidR="00DB6C7A">
        <w:t xml:space="preserve"> </w:t>
      </w:r>
      <w:r w:rsidRPr="00324221">
        <w:t xml:space="preserve">central 0.28, range [0.22, 0.35]. DATA grounding from </w:t>
      </w:r>
      <w:proofErr w:type="spellStart"/>
      <w:r w:rsidRPr="00324221">
        <w:t>SageServe.</w:t>
      </w:r>
      <w:proofErr w:type="spellEnd"/>
    </w:p>
    <w:p w14:paraId="194633C1" w14:textId="286F6B60" w:rsidR="00324221" w:rsidRPr="00324221" w:rsidRDefault="00324221" w:rsidP="00B8415C">
      <w:pPr>
        <w:pStyle w:val="Compact"/>
        <w:numPr>
          <w:ilvl w:val="0"/>
          <w:numId w:val="12"/>
        </w:numPr>
      </w:pPr>
      <w:r w:rsidRPr="00324221">
        <w:rPr>
          <w:b/>
          <w:bCs/>
        </w:rPr>
        <w:t xml:space="preserve">Ensemble C </w:t>
      </w:r>
      <w:r w:rsidRPr="00324221">
        <w:t xml:space="preserve">- </w:t>
      </w:r>
      <w:r w:rsidRPr="00324221">
        <w:rPr>
          <w:b/>
          <w:bCs/>
        </w:rPr>
        <w:t xml:space="preserve">batch-oriented. </w:t>
      </w:r>
      <w:r w:rsidRPr="00324221">
        <w:t>NIW dominates (overnight summarization, bulk</w:t>
      </w:r>
      <w:r w:rsidR="00DB6C7A">
        <w:t xml:space="preserve"> </w:t>
      </w:r>
      <w:r w:rsidRPr="00324221">
        <w:t>classification, RAG indexing, scheduled evaluation). NIW share central 0.40, range [0.32,</w:t>
      </w:r>
      <w:r w:rsidR="00DB6C7A">
        <w:t xml:space="preserve"> </w:t>
      </w:r>
      <w:proofErr w:type="gramStart"/>
      <w:r w:rsidRPr="00324221">
        <w:t>0.50 ]</w:t>
      </w:r>
      <w:proofErr w:type="gramEnd"/>
      <w:r w:rsidRPr="00324221">
        <w:t>. STRUCTURAL grounding from scenario construction; higher than Sage Serve 0365</w:t>
      </w:r>
      <w:r w:rsidR="00DB6C7A">
        <w:t xml:space="preserve"> </w:t>
      </w:r>
      <w:r w:rsidRPr="00324221">
        <w:t>because batch-oriented services skew non-interactive.</w:t>
      </w:r>
    </w:p>
    <w:p w14:paraId="52896E84" w14:textId="77777777" w:rsidR="00DB6C7A" w:rsidRDefault="00DB6C7A" w:rsidP="00324221">
      <w:pPr>
        <w:pStyle w:val="Compact"/>
        <w:rPr>
          <w:b/>
          <w:bCs/>
        </w:rPr>
      </w:pPr>
    </w:p>
    <w:p w14:paraId="353C3FD7" w14:textId="55770862" w:rsidR="00324221" w:rsidRPr="00324221" w:rsidRDefault="00324221" w:rsidP="00324221">
      <w:pPr>
        <w:pStyle w:val="Compact"/>
      </w:pPr>
      <w:r w:rsidRPr="00324221">
        <w:rPr>
          <w:b/>
          <w:bCs/>
        </w:rPr>
        <w:t xml:space="preserve">Periodicity grounding for IW tier characterization. </w:t>
      </w:r>
      <w:r w:rsidRPr="00324221">
        <w:t>Sage Serve reports per-model IW</w:t>
      </w:r>
    </w:p>
    <w:p w14:paraId="6369F4F1" w14:textId="77777777" w:rsidR="00324221" w:rsidRPr="00324221" w:rsidRDefault="00324221" w:rsidP="00324221">
      <w:pPr>
        <w:pStyle w:val="Compact"/>
      </w:pPr>
      <w:r w:rsidRPr="00324221">
        <w:t>periodicity scores ranging from 0. 7 to 0.95 across regions, supporting the premise that</w:t>
      </w:r>
    </w:p>
    <w:p w14:paraId="72E6B995" w14:textId="77777777" w:rsidR="00324221" w:rsidRPr="00324221" w:rsidRDefault="00324221" w:rsidP="00324221">
      <w:pPr>
        <w:pStyle w:val="Compact"/>
      </w:pPr>
      <w:r w:rsidRPr="00324221">
        <w:t>foreground inference load is forecastable at hourly resolution. Periodicity is operationally</w:t>
      </w:r>
    </w:p>
    <w:p w14:paraId="4A121467" w14:textId="4B53534D" w:rsidR="00324221" w:rsidRPr="00324221" w:rsidRDefault="00324221" w:rsidP="00324221">
      <w:pPr>
        <w:pStyle w:val="Compact"/>
      </w:pPr>
      <w:r w:rsidRPr="00324221">
        <w:t>relevant to NIW share because forecastable IW load can be sized confidently, leaving NIW as</w:t>
      </w:r>
      <w:r w:rsidR="00DB6C7A">
        <w:t xml:space="preserve"> </w:t>
      </w:r>
      <w:r w:rsidRPr="00324221">
        <w:t>the residual deferrable slice.</w:t>
      </w:r>
    </w:p>
    <w:p w14:paraId="298F46AA" w14:textId="77777777" w:rsidR="00DB6C7A" w:rsidRDefault="00DB6C7A" w:rsidP="00324221">
      <w:pPr>
        <w:pStyle w:val="Compact"/>
        <w:rPr>
          <w:b/>
          <w:bCs/>
        </w:rPr>
      </w:pPr>
    </w:p>
    <w:p w14:paraId="2719B263" w14:textId="57C407AF" w:rsidR="00363F35" w:rsidRDefault="00324221" w:rsidP="00324221">
      <w:pPr>
        <w:pStyle w:val="Compact"/>
        <w:pBdr>
          <w:bottom w:val="single" w:sz="12" w:space="1" w:color="auto"/>
        </w:pBdr>
      </w:pPr>
      <w:r w:rsidRPr="00324221">
        <w:rPr>
          <w:b/>
          <w:bCs/>
        </w:rPr>
        <w:t xml:space="preserve">CV workbook status. </w:t>
      </w:r>
      <w:r w:rsidRPr="00324221">
        <w:t>CV-004 (</w:t>
      </w:r>
      <w:proofErr w:type="spellStart"/>
      <w:r w:rsidRPr="00324221">
        <w:t>SageServe</w:t>
      </w:r>
      <w:proofErr w:type="spellEnd"/>
      <w:r w:rsidRPr="00324221">
        <w:t>). Range structure preserves the prior three</w:t>
      </w:r>
      <w:r w:rsidR="00DB6C7A">
        <w:t>-</w:t>
      </w:r>
      <w:r w:rsidRPr="00324221">
        <w:t>ensemble</w:t>
      </w:r>
      <w:r w:rsidR="00DB6C7A">
        <w:t xml:space="preserve"> </w:t>
      </w:r>
      <w:r w:rsidRPr="00324221">
        <w:t>convention.</w:t>
      </w:r>
    </w:p>
    <w:p w14:paraId="39261999" w14:textId="77777777" w:rsidR="00B8415C" w:rsidRDefault="00B8415C" w:rsidP="00324221">
      <w:pPr>
        <w:pStyle w:val="Compact"/>
        <w:pBdr>
          <w:bottom w:val="single" w:sz="12" w:space="1" w:color="auto"/>
        </w:pBdr>
      </w:pPr>
    </w:p>
    <w:p w14:paraId="1C99C216" w14:textId="77777777" w:rsidR="00DB6C7A" w:rsidRDefault="00DB6C7A" w:rsidP="00324221">
      <w:pPr>
        <w:pStyle w:val="Compact"/>
      </w:pPr>
    </w:p>
    <w:p w14:paraId="69A152D4" w14:textId="77777777" w:rsidR="008E5782" w:rsidRPr="008E5782" w:rsidRDefault="008E5782" w:rsidP="008E5782">
      <w:pPr>
        <w:pStyle w:val="Compact"/>
        <w:rPr>
          <w:b/>
          <w:bCs/>
        </w:rPr>
      </w:pPr>
      <w:r w:rsidRPr="008E5782">
        <w:rPr>
          <w:b/>
          <w:bCs/>
        </w:rPr>
        <w:t xml:space="preserve">WINDOW _ok </w:t>
      </w:r>
      <w:r w:rsidRPr="008E5782">
        <w:t xml:space="preserve">- </w:t>
      </w:r>
      <w:r w:rsidRPr="008E5782">
        <w:rPr>
          <w:b/>
          <w:bCs/>
        </w:rPr>
        <w:t>Deferral window feasibility</w:t>
      </w:r>
    </w:p>
    <w:tbl>
      <w:tblPr>
        <w:tblStyle w:val="TableGrid"/>
        <w:tblW w:w="0" w:type="auto"/>
        <w:tblLook w:val="04A0" w:firstRow="1" w:lastRow="0" w:firstColumn="1" w:lastColumn="0" w:noHBand="0" w:noVBand="1"/>
      </w:tblPr>
      <w:tblGrid>
        <w:gridCol w:w="4675"/>
        <w:gridCol w:w="4675"/>
      </w:tblGrid>
      <w:tr w:rsidR="008E5782" w:rsidRPr="008E5782" w14:paraId="55FF1CCD" w14:textId="77777777" w:rsidTr="0059685F">
        <w:tc>
          <w:tcPr>
            <w:tcW w:w="4675" w:type="dxa"/>
            <w:shd w:val="clear" w:color="auto" w:fill="D9D9D9" w:themeFill="background1" w:themeFillShade="D9"/>
          </w:tcPr>
          <w:p w14:paraId="7AED4E19" w14:textId="0A764C08" w:rsidR="008E5782" w:rsidRPr="008E5782" w:rsidRDefault="008E5782" w:rsidP="002A722F">
            <w:pPr>
              <w:pStyle w:val="Compact"/>
              <w:rPr>
                <w:b/>
                <w:bCs/>
              </w:rPr>
            </w:pPr>
            <w:r w:rsidRPr="008E5782">
              <w:rPr>
                <w:b/>
                <w:bCs/>
              </w:rPr>
              <w:t xml:space="preserve">Attribute </w:t>
            </w:r>
          </w:p>
        </w:tc>
        <w:tc>
          <w:tcPr>
            <w:tcW w:w="4675" w:type="dxa"/>
            <w:shd w:val="clear" w:color="auto" w:fill="D9D9D9" w:themeFill="background1" w:themeFillShade="D9"/>
          </w:tcPr>
          <w:p w14:paraId="7CDA1907" w14:textId="774F964F" w:rsidR="008E5782" w:rsidRPr="008E5782" w:rsidRDefault="0059685F" w:rsidP="002A722F">
            <w:pPr>
              <w:pStyle w:val="Compact"/>
            </w:pPr>
            <w:r w:rsidRPr="008E5782">
              <w:rPr>
                <w:b/>
                <w:bCs/>
              </w:rPr>
              <w:t>Value</w:t>
            </w:r>
          </w:p>
        </w:tc>
      </w:tr>
      <w:tr w:rsidR="0059685F" w:rsidRPr="008E5782" w14:paraId="2F8CD8D7" w14:textId="77777777">
        <w:tc>
          <w:tcPr>
            <w:tcW w:w="4675" w:type="dxa"/>
          </w:tcPr>
          <w:p w14:paraId="3700B6AB" w14:textId="283D2EA4" w:rsidR="0059685F" w:rsidRPr="008E5782" w:rsidRDefault="0059685F" w:rsidP="0059685F">
            <w:pPr>
              <w:pStyle w:val="Compact"/>
            </w:pPr>
            <w:r w:rsidRPr="008E5782">
              <w:t>Central</w:t>
            </w:r>
          </w:p>
        </w:tc>
        <w:tc>
          <w:tcPr>
            <w:tcW w:w="4675" w:type="dxa"/>
          </w:tcPr>
          <w:p w14:paraId="316CA1ED" w14:textId="3058C489" w:rsidR="0059685F" w:rsidRPr="008E5782" w:rsidRDefault="0059685F" w:rsidP="0059685F">
            <w:pPr>
              <w:pStyle w:val="Compact"/>
            </w:pPr>
            <w:r w:rsidRPr="008E5782">
              <w:t>0.95 (for 6-hour PJM emergency DR profile vs. 24-hour NIW deadline)</w:t>
            </w:r>
          </w:p>
        </w:tc>
      </w:tr>
      <w:tr w:rsidR="0059685F" w:rsidRPr="008E5782" w14:paraId="6A9055B9" w14:textId="77777777">
        <w:tc>
          <w:tcPr>
            <w:tcW w:w="4675" w:type="dxa"/>
          </w:tcPr>
          <w:p w14:paraId="16476C50" w14:textId="0C6571EE" w:rsidR="0059685F" w:rsidRPr="008E5782" w:rsidRDefault="0059685F" w:rsidP="0059685F">
            <w:pPr>
              <w:pStyle w:val="Compact"/>
            </w:pPr>
            <w:r w:rsidRPr="008E5782">
              <w:t>Range</w:t>
            </w:r>
          </w:p>
        </w:tc>
        <w:tc>
          <w:tcPr>
            <w:tcW w:w="4675" w:type="dxa"/>
          </w:tcPr>
          <w:p w14:paraId="4D12F00F" w14:textId="06EFAD16" w:rsidR="0059685F" w:rsidRPr="008E5782" w:rsidRDefault="0059685F" w:rsidP="0059685F">
            <w:pPr>
              <w:pStyle w:val="Compact"/>
            </w:pPr>
            <w:r w:rsidRPr="008E5782">
              <w:t>[0.80, 0.99] scope-dependent</w:t>
            </w:r>
          </w:p>
        </w:tc>
      </w:tr>
      <w:tr w:rsidR="0059685F" w:rsidRPr="008E5782" w14:paraId="075D88FC" w14:textId="77777777">
        <w:tc>
          <w:tcPr>
            <w:tcW w:w="4675" w:type="dxa"/>
          </w:tcPr>
          <w:p w14:paraId="27BA7BB5" w14:textId="5187C277" w:rsidR="0059685F" w:rsidRPr="008E5782" w:rsidRDefault="0059685F" w:rsidP="0059685F">
            <w:pPr>
              <w:pStyle w:val="Compact"/>
            </w:pPr>
            <w:r w:rsidRPr="008E5782">
              <w:t>Grounding</w:t>
            </w:r>
          </w:p>
        </w:tc>
        <w:tc>
          <w:tcPr>
            <w:tcW w:w="4675" w:type="dxa"/>
          </w:tcPr>
          <w:p w14:paraId="3828915E" w14:textId="7496B209" w:rsidR="0059685F" w:rsidRPr="008E5782" w:rsidRDefault="0059685F" w:rsidP="0059685F">
            <w:pPr>
              <w:pStyle w:val="Compact"/>
            </w:pPr>
            <w:r w:rsidRPr="008E5782">
              <w:t>DERIVED</w:t>
            </w:r>
          </w:p>
        </w:tc>
      </w:tr>
    </w:tbl>
    <w:p w14:paraId="0042A5A2" w14:textId="77777777" w:rsidR="008E5782" w:rsidRPr="008E5782" w:rsidRDefault="008E5782" w:rsidP="008E5782">
      <w:pPr>
        <w:pStyle w:val="Compact"/>
      </w:pPr>
    </w:p>
    <w:p w14:paraId="0E40397F" w14:textId="1612F703" w:rsidR="008E5782" w:rsidRPr="008E5782" w:rsidRDefault="008E5782" w:rsidP="008E5782">
      <w:pPr>
        <w:pStyle w:val="Compact"/>
      </w:pPr>
      <w:r w:rsidRPr="008E5782">
        <w:rPr>
          <w:b/>
          <w:bCs/>
        </w:rPr>
        <w:t xml:space="preserve">What WINDOW ok measures. </w:t>
      </w:r>
      <w:r w:rsidRPr="008E5782">
        <w:t>Of NIW workload, what fraction is deferrable past a dispatch</w:t>
      </w:r>
      <w:r w:rsidR="0059685F">
        <w:t xml:space="preserve"> </w:t>
      </w:r>
      <w:r w:rsidRPr="008E5782">
        <w:t>event of duration T without breaching the NIW deadline horizon?</w:t>
      </w:r>
    </w:p>
    <w:p w14:paraId="018CE0B0" w14:textId="77777777" w:rsidR="0059685F" w:rsidRDefault="0059685F" w:rsidP="008E5782">
      <w:pPr>
        <w:pStyle w:val="Compact"/>
        <w:rPr>
          <w:b/>
          <w:bCs/>
        </w:rPr>
      </w:pPr>
    </w:p>
    <w:p w14:paraId="50EA878A" w14:textId="709AE695" w:rsidR="008E5782" w:rsidRPr="008E5782" w:rsidRDefault="008E5782" w:rsidP="008E5782">
      <w:pPr>
        <w:pStyle w:val="Compact"/>
      </w:pPr>
      <w:r w:rsidRPr="008E5782">
        <w:rPr>
          <w:b/>
          <w:bCs/>
        </w:rPr>
        <w:t xml:space="preserve">What WINDOW ok does NOT measure. </w:t>
      </w:r>
      <w:r w:rsidRPr="008E5782">
        <w:t xml:space="preserve">NIW share </w:t>
      </w:r>
      <w:proofErr w:type="gramStart"/>
      <w:r w:rsidRPr="008E5782">
        <w:t xml:space="preserve">( </w:t>
      </w:r>
      <w:r w:rsidRPr="008E5782">
        <w:rPr>
          <w:rFonts w:ascii="Segoe UI Symbol" w:hAnsi="Segoe UI Symbol" w:cs="Segoe UI Symbol"/>
        </w:rPr>
        <w:t>➔</w:t>
      </w:r>
      <w:proofErr w:type="gramEnd"/>
      <w:r w:rsidRPr="008E5782">
        <w:t xml:space="preserve"> NIW share); post-stress queue</w:t>
      </w:r>
    </w:p>
    <w:p w14:paraId="505EA122" w14:textId="77777777" w:rsidR="008E5782" w:rsidRPr="008E5782" w:rsidRDefault="008E5782" w:rsidP="008E5782">
      <w:pPr>
        <w:pStyle w:val="Compact"/>
      </w:pPr>
      <w:proofErr w:type="gramStart"/>
      <w:r w:rsidRPr="008E5782">
        <w:t>absorption(</w:t>
      </w:r>
      <w:proofErr w:type="gramEnd"/>
      <w:r w:rsidRPr="008E5782">
        <w:rPr>
          <w:rFonts w:ascii="Segoe UI Symbol" w:hAnsi="Segoe UI Symbol" w:cs="Segoe UI Symbol"/>
        </w:rPr>
        <w:t>➔</w:t>
      </w:r>
      <w:r w:rsidRPr="008E5782">
        <w:t xml:space="preserve"> </w:t>
      </w:r>
      <w:proofErr w:type="spellStart"/>
      <w:r w:rsidRPr="008E5782">
        <w:t>QUEUE_ok</w:t>
      </w:r>
      <w:proofErr w:type="spellEnd"/>
      <w:r w:rsidRPr="008E5782">
        <w:t>).</w:t>
      </w:r>
    </w:p>
    <w:p w14:paraId="1CEBC8E4" w14:textId="77777777" w:rsidR="0059685F" w:rsidRDefault="0059685F" w:rsidP="008E5782">
      <w:pPr>
        <w:pStyle w:val="Compact"/>
        <w:rPr>
          <w:b/>
          <w:bCs/>
        </w:rPr>
      </w:pPr>
    </w:p>
    <w:p w14:paraId="595873AF" w14:textId="14946B79" w:rsidR="008E5782" w:rsidRPr="008E5782" w:rsidRDefault="008E5782" w:rsidP="008E5782">
      <w:pPr>
        <w:pStyle w:val="Compact"/>
      </w:pPr>
      <w:r w:rsidRPr="008E5782">
        <w:rPr>
          <w:b/>
          <w:bCs/>
        </w:rPr>
        <w:t xml:space="preserve">The deadline-physics calculation. </w:t>
      </w:r>
      <w:proofErr w:type="spellStart"/>
      <w:r w:rsidRPr="008E5782">
        <w:t>SageServe</w:t>
      </w:r>
      <w:proofErr w:type="spellEnd"/>
      <w:r w:rsidRPr="008E5782">
        <w:t xml:space="preserve"> documents NIW with a "default 24-hour</w:t>
      </w:r>
    </w:p>
    <w:p w14:paraId="315AF4B7" w14:textId="77777777" w:rsidR="008E5782" w:rsidRPr="008E5782" w:rsidRDefault="008E5782" w:rsidP="008E5782">
      <w:pPr>
        <w:pStyle w:val="Compact"/>
      </w:pPr>
      <w:r w:rsidRPr="008E5782">
        <w:t xml:space="preserve">deadline" and "relaxed deadlines </w:t>
      </w:r>
      <w:proofErr w:type="gramStart"/>
      <w:r w:rsidRPr="008E5782">
        <w:t>O(hours )</w:t>
      </w:r>
      <w:proofErr w:type="gramEnd"/>
      <w:r w:rsidRPr="008E5782">
        <w:t>. " For a 6-hour PJM emergency DR dispatch profile:</w:t>
      </w:r>
    </w:p>
    <w:p w14:paraId="02ED03A5" w14:textId="77777777" w:rsidR="00A42F83" w:rsidRDefault="008E5782" w:rsidP="00B8415C">
      <w:pPr>
        <w:pStyle w:val="Compact"/>
        <w:numPr>
          <w:ilvl w:val="0"/>
          <w:numId w:val="13"/>
        </w:numPr>
      </w:pPr>
      <w:r w:rsidRPr="008E5782">
        <w:t xml:space="preserve">24-hour deadline » 6-hour event </w:t>
      </w:r>
      <w:r w:rsidRPr="008E5782">
        <w:rPr>
          <w:rFonts w:ascii="Segoe UI Symbol" w:hAnsi="Segoe UI Symbol" w:cs="Segoe UI Symbol"/>
        </w:rPr>
        <w:t>➔</w:t>
      </w:r>
      <w:r w:rsidRPr="008E5782">
        <w:t xml:space="preserve"> ~95% of NIW remains within budget by a wide margin</w:t>
      </w:r>
    </w:p>
    <w:p w14:paraId="4A9646D7" w14:textId="1A817284" w:rsidR="008E5782" w:rsidRPr="008E5782" w:rsidRDefault="008E5782" w:rsidP="00B8415C">
      <w:pPr>
        <w:pStyle w:val="Compact"/>
        <w:numPr>
          <w:ilvl w:val="0"/>
          <w:numId w:val="13"/>
        </w:numPr>
      </w:pPr>
      <w:r w:rsidRPr="008E5782">
        <w:t xml:space="preserve">Residual 5% accounts for NIW workloads with shorter deadlines </w:t>
      </w:r>
      <w:proofErr w:type="gramStart"/>
      <w:r w:rsidRPr="008E5782">
        <w:t>( ~</w:t>
      </w:r>
      <w:proofErr w:type="gramEnd"/>
      <w:r w:rsidRPr="008E5782">
        <w:t>few hours) where a 6-hour event consumes the available slack</w:t>
      </w:r>
    </w:p>
    <w:p w14:paraId="6E0658BA" w14:textId="04CB2A35" w:rsidR="008E5782" w:rsidRDefault="008E5782" w:rsidP="008E5782">
      <w:pPr>
        <w:pStyle w:val="Compact"/>
      </w:pPr>
      <w:r w:rsidRPr="008E5782">
        <w:rPr>
          <w:b/>
          <w:bCs/>
        </w:rPr>
        <w:lastRenderedPageBreak/>
        <w:t xml:space="preserve">Profile-dependence is essential. </w:t>
      </w:r>
      <w:proofErr w:type="spellStart"/>
      <w:r w:rsidRPr="008E5782">
        <w:t>WINDOW_ok</w:t>
      </w:r>
      <w:proofErr w:type="spellEnd"/>
      <w:r w:rsidRPr="008E5782">
        <w:t xml:space="preserve"> is not a universal constant</w:t>
      </w:r>
      <w:r w:rsidRPr="008E5782">
        <w:rPr>
          <w:b/>
          <w:bCs/>
        </w:rPr>
        <w:t xml:space="preserve">; </w:t>
      </w:r>
      <w:r w:rsidRPr="008E5782">
        <w:t>it is a function of</w:t>
      </w:r>
      <w:r w:rsidR="00A42F83">
        <w:t xml:space="preserve"> </w:t>
      </w:r>
      <w:r w:rsidRPr="008E5782">
        <w:t>dispatch event duration. For a 24-hour sustained event (Winter Storm Elliott analogue, 17+</w:t>
      </w:r>
      <w:r w:rsidR="00A42F83">
        <w:t xml:space="preserve"> </w:t>
      </w:r>
      <w:r w:rsidRPr="008E5782">
        <w:t xml:space="preserve">hours of continuous emergency dispatch), </w:t>
      </w:r>
      <w:proofErr w:type="spellStart"/>
      <w:r w:rsidRPr="008E5782">
        <w:t>WINDOW_ok</w:t>
      </w:r>
      <w:proofErr w:type="spellEnd"/>
      <w:r w:rsidRPr="008E5782">
        <w:t xml:space="preserve"> collapses toward zero because</w:t>
      </w:r>
      <w:r w:rsidR="00A42F83">
        <w:t xml:space="preserve"> </w:t>
      </w:r>
      <w:r w:rsidRPr="008E5782">
        <w:t>deferral slack is exhausted. The framework's headline 0.95 is specific to the 6-hour PJM</w:t>
      </w:r>
      <w:r w:rsidR="00A42F83">
        <w:t xml:space="preserve"> </w:t>
      </w:r>
      <w:r w:rsidRPr="008E5782">
        <w:t>emergency DR profile; longer-duration analyses must re-evaluate WINDOW _ok against the</w:t>
      </w:r>
      <w:r w:rsidR="00A42F83">
        <w:t xml:space="preserve"> </w:t>
      </w:r>
      <w:r w:rsidRPr="008E5782">
        <w:t>dispatch profile.</w:t>
      </w:r>
    </w:p>
    <w:p w14:paraId="005EC5D3" w14:textId="77777777" w:rsidR="00A42F83" w:rsidRPr="008E5782" w:rsidRDefault="00A42F83" w:rsidP="008E5782">
      <w:pPr>
        <w:pStyle w:val="Compact"/>
      </w:pPr>
    </w:p>
    <w:p w14:paraId="49BAAE40" w14:textId="1940A25A" w:rsidR="008E5782" w:rsidRDefault="008E5782" w:rsidP="008E5782">
      <w:pPr>
        <w:pStyle w:val="Compact"/>
      </w:pPr>
      <w:r w:rsidRPr="008E5782">
        <w:rPr>
          <w:b/>
          <w:bCs/>
        </w:rPr>
        <w:t xml:space="preserve">Production precedent. </w:t>
      </w:r>
      <w:r w:rsidRPr="008E5782">
        <w:t>Google's 2025 TVA agreement (American Public Power Association,</w:t>
      </w:r>
      <w:r w:rsidR="00A42F83">
        <w:t xml:space="preserve"> </w:t>
      </w:r>
      <w:r w:rsidRPr="008E5782">
        <w:t>August 2025) describes deferral as "shifting non-urgent tasks-like processing a YouTube</w:t>
      </w:r>
      <w:r w:rsidR="00A42F83">
        <w:t xml:space="preserve"> </w:t>
      </w:r>
      <w:r w:rsidRPr="008E5782">
        <w:t>video-during specific periods when the grid is strained." This is direct production framing of</w:t>
      </w:r>
      <w:r w:rsidR="00A42F83">
        <w:t xml:space="preserve"> </w:t>
      </w:r>
      <w:r w:rsidRPr="008E5782">
        <w:t xml:space="preserve">the deferral mechanism and the non-urgent/ non-interactive distinction </w:t>
      </w:r>
      <w:proofErr w:type="spellStart"/>
      <w:r w:rsidRPr="008E5782">
        <w:t>WINDOW</w:t>
      </w:r>
      <w:r w:rsidR="00A42F83">
        <w:t>_</w:t>
      </w:r>
      <w:r w:rsidRPr="008E5782">
        <w:t>ok</w:t>
      </w:r>
      <w:proofErr w:type="spellEnd"/>
      <w:r w:rsidR="00A42F83">
        <w:t xml:space="preserve"> </w:t>
      </w:r>
      <w:r w:rsidRPr="008E5782">
        <w:t>captures. Preceded by Google's Omaha Public Power District demonstration that shifted ML</w:t>
      </w:r>
      <w:r w:rsidR="00A42F83">
        <w:t xml:space="preserve"> </w:t>
      </w:r>
      <w:r w:rsidRPr="008E5782">
        <w:t>workloads during three grid events.</w:t>
      </w:r>
    </w:p>
    <w:p w14:paraId="1AE235F6" w14:textId="77777777" w:rsidR="001F7A4B" w:rsidRPr="008E5782" w:rsidRDefault="001F7A4B" w:rsidP="008E5782">
      <w:pPr>
        <w:pStyle w:val="Compact"/>
      </w:pPr>
    </w:p>
    <w:p w14:paraId="19BBB481" w14:textId="77777777" w:rsidR="008E5782" w:rsidRPr="008E5782" w:rsidRDefault="008E5782" w:rsidP="008E5782">
      <w:pPr>
        <w:pStyle w:val="Compact"/>
      </w:pPr>
      <w:r w:rsidRPr="008E5782">
        <w:rPr>
          <w:b/>
          <w:bCs/>
        </w:rPr>
        <w:t xml:space="preserve">Range justification. </w:t>
      </w:r>
      <w:r w:rsidRPr="008E5782">
        <w:t>The [0.80, 0.99] range reflects:</w:t>
      </w:r>
    </w:p>
    <w:p w14:paraId="114B9993" w14:textId="77777777" w:rsidR="001F7A4B" w:rsidRDefault="008E5782" w:rsidP="00B8415C">
      <w:pPr>
        <w:pStyle w:val="Compact"/>
        <w:numPr>
          <w:ilvl w:val="0"/>
          <w:numId w:val="14"/>
        </w:numPr>
      </w:pPr>
      <w:r w:rsidRPr="008E5782">
        <w:t xml:space="preserve">Lower bound 0.80: shorter NIW deadlines than </w:t>
      </w:r>
      <w:proofErr w:type="spellStart"/>
      <w:r w:rsidRPr="008E5782">
        <w:t>SageServe</w:t>
      </w:r>
      <w:proofErr w:type="spellEnd"/>
      <w:r w:rsidRPr="008E5782">
        <w:t xml:space="preserve"> 0365 default (some inference</w:t>
      </w:r>
      <w:r w:rsidR="001F7A4B">
        <w:t xml:space="preserve"> </w:t>
      </w:r>
      <w:r w:rsidRPr="008E5782">
        <w:t xml:space="preserve">workloads contract for </w:t>
      </w:r>
      <w:proofErr w:type="gramStart"/>
      <w:r w:rsidRPr="008E5782">
        <w:t>4-6 hour</w:t>
      </w:r>
      <w:proofErr w:type="gramEnd"/>
      <w:r w:rsidRPr="008E5782">
        <w:t xml:space="preserve"> deadlines, where a 6-hour event consumes most of the</w:t>
      </w:r>
      <w:r w:rsidR="001F7A4B">
        <w:t xml:space="preserve"> </w:t>
      </w:r>
      <w:r w:rsidRPr="008E5782">
        <w:t>slack)</w:t>
      </w:r>
    </w:p>
    <w:p w14:paraId="06ED518E" w14:textId="0B235D57" w:rsidR="008E5782" w:rsidRPr="008E5782" w:rsidRDefault="008E5782" w:rsidP="00B8415C">
      <w:pPr>
        <w:pStyle w:val="Compact"/>
        <w:numPr>
          <w:ilvl w:val="0"/>
          <w:numId w:val="14"/>
        </w:numPr>
      </w:pPr>
      <w:r w:rsidRPr="008E5782">
        <w:t xml:space="preserve">Upper bound 0.99: the 24-hour </w:t>
      </w:r>
      <w:proofErr w:type="spellStart"/>
      <w:r w:rsidRPr="008E5782">
        <w:t>SageServe</w:t>
      </w:r>
      <w:proofErr w:type="spellEnd"/>
      <w:r w:rsidRPr="008E5782">
        <w:t xml:space="preserve"> default deadline applied broadly, where 6-hour</w:t>
      </w:r>
      <w:r w:rsidR="001F7A4B">
        <w:t xml:space="preserve"> </w:t>
      </w:r>
      <w:r w:rsidRPr="008E5782">
        <w:t>events use only 25% of the slack</w:t>
      </w:r>
    </w:p>
    <w:p w14:paraId="048292AF" w14:textId="77777777" w:rsidR="001F7A4B" w:rsidRDefault="001F7A4B" w:rsidP="008E5782">
      <w:pPr>
        <w:pStyle w:val="Compact"/>
        <w:rPr>
          <w:b/>
          <w:bCs/>
        </w:rPr>
      </w:pPr>
    </w:p>
    <w:p w14:paraId="34BAAD02" w14:textId="10DB24FA" w:rsidR="008E5782" w:rsidRDefault="008E5782" w:rsidP="008E5782">
      <w:pPr>
        <w:pStyle w:val="Compact"/>
        <w:pBdr>
          <w:bottom w:val="single" w:sz="12" w:space="1" w:color="auto"/>
        </w:pBdr>
      </w:pPr>
      <w:r w:rsidRPr="008E5782">
        <w:rPr>
          <w:b/>
          <w:bCs/>
        </w:rPr>
        <w:t xml:space="preserve">CV workbook status. </w:t>
      </w:r>
      <w:r w:rsidRPr="008E5782">
        <w:t>Grounded through CV-004 (</w:t>
      </w:r>
      <w:proofErr w:type="spellStart"/>
      <w:r w:rsidRPr="008E5782">
        <w:t>SageServe</w:t>
      </w:r>
      <w:proofErr w:type="spellEnd"/>
      <w:r w:rsidRPr="008E5782">
        <w:t xml:space="preserve"> NIW deadlines). Not a separate</w:t>
      </w:r>
      <w:r w:rsidR="001F7A4B">
        <w:t xml:space="preserve"> </w:t>
      </w:r>
      <w:r w:rsidRPr="008E5782">
        <w:t>CV target.</w:t>
      </w:r>
    </w:p>
    <w:p w14:paraId="57AC744B" w14:textId="77777777" w:rsidR="00B8415C" w:rsidRDefault="00B8415C" w:rsidP="008E5782">
      <w:pPr>
        <w:pStyle w:val="Compact"/>
        <w:pBdr>
          <w:bottom w:val="single" w:sz="12" w:space="1" w:color="auto"/>
        </w:pBdr>
      </w:pPr>
    </w:p>
    <w:p w14:paraId="46073455" w14:textId="77777777" w:rsidR="001F7A4B" w:rsidRDefault="001F7A4B" w:rsidP="008E5782">
      <w:pPr>
        <w:pStyle w:val="Compact"/>
      </w:pPr>
    </w:p>
    <w:p w14:paraId="599E3155" w14:textId="77777777" w:rsidR="005A1827" w:rsidRPr="005A1827" w:rsidRDefault="005A1827" w:rsidP="005A1827">
      <w:pPr>
        <w:pStyle w:val="Compact"/>
        <w:rPr>
          <w:b/>
          <w:bCs/>
        </w:rPr>
      </w:pPr>
      <w:proofErr w:type="spellStart"/>
      <w:r w:rsidRPr="005A1827">
        <w:rPr>
          <w:b/>
          <w:bCs/>
        </w:rPr>
        <w:t>QUEUE_ok</w:t>
      </w:r>
      <w:proofErr w:type="spellEnd"/>
      <w:r w:rsidRPr="005A1827">
        <w:rPr>
          <w:b/>
          <w:bCs/>
        </w:rPr>
        <w:t xml:space="preserve"> </w:t>
      </w:r>
      <w:r w:rsidRPr="005A1827">
        <w:t xml:space="preserve">- </w:t>
      </w:r>
      <w:proofErr w:type="gramStart"/>
      <w:r w:rsidRPr="005A1827">
        <w:rPr>
          <w:b/>
          <w:bCs/>
        </w:rPr>
        <w:t>Post-stress</w:t>
      </w:r>
      <w:proofErr w:type="gramEnd"/>
      <w:r w:rsidRPr="005A1827">
        <w:rPr>
          <w:b/>
          <w:bCs/>
        </w:rPr>
        <w:t xml:space="preserve"> queue absorption</w:t>
      </w:r>
    </w:p>
    <w:tbl>
      <w:tblPr>
        <w:tblStyle w:val="TableGrid"/>
        <w:tblW w:w="0" w:type="auto"/>
        <w:tblLook w:val="04A0" w:firstRow="1" w:lastRow="0" w:firstColumn="1" w:lastColumn="0" w:noHBand="0" w:noVBand="1"/>
      </w:tblPr>
      <w:tblGrid>
        <w:gridCol w:w="4675"/>
        <w:gridCol w:w="4675"/>
      </w:tblGrid>
      <w:tr w:rsidR="005A1827" w:rsidRPr="005A1827" w14:paraId="1D52DC92" w14:textId="77777777" w:rsidTr="00BF4681">
        <w:tc>
          <w:tcPr>
            <w:tcW w:w="4675" w:type="dxa"/>
            <w:shd w:val="clear" w:color="auto" w:fill="D9D9D9" w:themeFill="background1" w:themeFillShade="D9"/>
          </w:tcPr>
          <w:p w14:paraId="3EDC0C9C" w14:textId="001042E9" w:rsidR="005A1827" w:rsidRPr="005A1827" w:rsidRDefault="005A1827" w:rsidP="00D42A2C">
            <w:pPr>
              <w:pStyle w:val="Compact"/>
              <w:rPr>
                <w:b/>
                <w:bCs/>
              </w:rPr>
            </w:pPr>
            <w:r w:rsidRPr="005A1827">
              <w:rPr>
                <w:b/>
                <w:bCs/>
              </w:rPr>
              <w:t xml:space="preserve">Attribute </w:t>
            </w:r>
          </w:p>
        </w:tc>
        <w:tc>
          <w:tcPr>
            <w:tcW w:w="4675" w:type="dxa"/>
            <w:shd w:val="clear" w:color="auto" w:fill="D9D9D9" w:themeFill="background1" w:themeFillShade="D9"/>
          </w:tcPr>
          <w:p w14:paraId="1ADCA281" w14:textId="0AE39C9F" w:rsidR="005A1827" w:rsidRPr="005A1827" w:rsidRDefault="005A1827" w:rsidP="00D42A2C">
            <w:pPr>
              <w:pStyle w:val="Compact"/>
            </w:pPr>
            <w:r w:rsidRPr="005A1827">
              <w:rPr>
                <w:b/>
                <w:bCs/>
              </w:rPr>
              <w:t>Value</w:t>
            </w:r>
          </w:p>
        </w:tc>
      </w:tr>
      <w:tr w:rsidR="005A1827" w:rsidRPr="005A1827" w14:paraId="4D607FB0" w14:textId="77777777">
        <w:tc>
          <w:tcPr>
            <w:tcW w:w="4675" w:type="dxa"/>
          </w:tcPr>
          <w:p w14:paraId="0EE49F3D" w14:textId="3DE26CC9" w:rsidR="005A1827" w:rsidRPr="005A1827" w:rsidRDefault="005A1827" w:rsidP="00D42A2C">
            <w:pPr>
              <w:pStyle w:val="Compact"/>
            </w:pPr>
            <w:r w:rsidRPr="005A1827">
              <w:t>Central</w:t>
            </w:r>
          </w:p>
        </w:tc>
        <w:tc>
          <w:tcPr>
            <w:tcW w:w="4675" w:type="dxa"/>
          </w:tcPr>
          <w:p w14:paraId="73BDA499" w14:textId="7FE60D1B" w:rsidR="005A1827" w:rsidRPr="005A1827" w:rsidRDefault="005A1827" w:rsidP="00D42A2C">
            <w:pPr>
              <w:pStyle w:val="Compact"/>
            </w:pPr>
            <w:r w:rsidRPr="005A1827">
              <w:t>0.85</w:t>
            </w:r>
          </w:p>
        </w:tc>
      </w:tr>
      <w:tr w:rsidR="005A1827" w:rsidRPr="005A1827" w14:paraId="541530B3" w14:textId="77777777">
        <w:tc>
          <w:tcPr>
            <w:tcW w:w="4675" w:type="dxa"/>
          </w:tcPr>
          <w:p w14:paraId="3D64B2E5" w14:textId="703E0EBA" w:rsidR="005A1827" w:rsidRPr="005A1827" w:rsidRDefault="005A1827" w:rsidP="00D42A2C">
            <w:pPr>
              <w:pStyle w:val="Compact"/>
            </w:pPr>
            <w:r w:rsidRPr="005A1827">
              <w:t>Range</w:t>
            </w:r>
          </w:p>
        </w:tc>
        <w:tc>
          <w:tcPr>
            <w:tcW w:w="4675" w:type="dxa"/>
          </w:tcPr>
          <w:p w14:paraId="5B2FCE96" w14:textId="51E0DBC6" w:rsidR="005A1827" w:rsidRPr="005A1827" w:rsidRDefault="005A1827" w:rsidP="00D42A2C">
            <w:pPr>
              <w:pStyle w:val="Compact"/>
            </w:pPr>
            <w:r w:rsidRPr="005A1827">
              <w:t>[0.65, 0.98]</w:t>
            </w:r>
          </w:p>
        </w:tc>
      </w:tr>
      <w:tr w:rsidR="005A1827" w:rsidRPr="005A1827" w14:paraId="09AC0D45" w14:textId="77777777">
        <w:tc>
          <w:tcPr>
            <w:tcW w:w="4675" w:type="dxa"/>
          </w:tcPr>
          <w:p w14:paraId="035FFAA4" w14:textId="2AB6579E" w:rsidR="005A1827" w:rsidRPr="005A1827" w:rsidRDefault="005A1827" w:rsidP="005A1827">
            <w:pPr>
              <w:pStyle w:val="Compact"/>
            </w:pPr>
            <w:r w:rsidRPr="005A1827">
              <w:t xml:space="preserve">Grounding </w:t>
            </w:r>
          </w:p>
        </w:tc>
        <w:tc>
          <w:tcPr>
            <w:tcW w:w="4675" w:type="dxa"/>
          </w:tcPr>
          <w:p w14:paraId="141F23C6" w14:textId="304C0012" w:rsidR="005A1827" w:rsidRPr="005A1827" w:rsidRDefault="005A1827" w:rsidP="005A1827">
            <w:pPr>
              <w:pStyle w:val="Compact"/>
            </w:pPr>
            <w:r w:rsidRPr="005A1827">
              <w:t>ESTIMATED-MODERATE</w:t>
            </w:r>
          </w:p>
        </w:tc>
      </w:tr>
    </w:tbl>
    <w:p w14:paraId="1C1362F0" w14:textId="77777777" w:rsidR="005A1827" w:rsidRDefault="005A1827" w:rsidP="005A1827">
      <w:pPr>
        <w:pStyle w:val="Compact"/>
        <w:rPr>
          <w:b/>
          <w:bCs/>
        </w:rPr>
      </w:pPr>
    </w:p>
    <w:p w14:paraId="1949AE41" w14:textId="210A9DC1" w:rsidR="005A1827" w:rsidRPr="005A1827" w:rsidRDefault="005A1827" w:rsidP="005A1827">
      <w:pPr>
        <w:pStyle w:val="Compact"/>
      </w:pPr>
      <w:r w:rsidRPr="005A1827">
        <w:rPr>
          <w:b/>
          <w:bCs/>
        </w:rPr>
        <w:t xml:space="preserve">What </w:t>
      </w:r>
      <w:proofErr w:type="spellStart"/>
      <w:r w:rsidRPr="005A1827">
        <w:rPr>
          <w:b/>
          <w:bCs/>
        </w:rPr>
        <w:t>QUEUE_ok</w:t>
      </w:r>
      <w:proofErr w:type="spellEnd"/>
      <w:r w:rsidRPr="005A1827">
        <w:rPr>
          <w:b/>
          <w:bCs/>
        </w:rPr>
        <w:t xml:space="preserve"> measures. </w:t>
      </w:r>
      <w:r w:rsidRPr="005A1827">
        <w:t>Of deferred workload, what fraction is successfully absorbed in</w:t>
      </w:r>
      <w:r>
        <w:t xml:space="preserve"> </w:t>
      </w:r>
      <w:r w:rsidRPr="005A1827">
        <w:t>post-stress recovery hours without queue overflow or deadline breach?</w:t>
      </w:r>
    </w:p>
    <w:p w14:paraId="13CC5B7E" w14:textId="77777777" w:rsidR="005A1827" w:rsidRDefault="005A1827" w:rsidP="005A1827">
      <w:pPr>
        <w:pStyle w:val="Compact"/>
        <w:rPr>
          <w:b/>
          <w:bCs/>
        </w:rPr>
      </w:pPr>
    </w:p>
    <w:p w14:paraId="3AAEB553" w14:textId="2F52BA93" w:rsidR="005A1827" w:rsidRPr="005A1827" w:rsidRDefault="005A1827" w:rsidP="005A1827">
      <w:pPr>
        <w:pStyle w:val="Compact"/>
      </w:pPr>
      <w:r w:rsidRPr="005A1827">
        <w:rPr>
          <w:b/>
          <w:bCs/>
        </w:rPr>
        <w:t xml:space="preserve">What </w:t>
      </w:r>
      <w:proofErr w:type="spellStart"/>
      <w:r w:rsidRPr="005A1827">
        <w:rPr>
          <w:b/>
          <w:bCs/>
        </w:rPr>
        <w:t>QUEUE_ok</w:t>
      </w:r>
      <w:proofErr w:type="spellEnd"/>
      <w:r w:rsidRPr="005A1827">
        <w:rPr>
          <w:b/>
          <w:bCs/>
        </w:rPr>
        <w:t xml:space="preserve"> does NOT measure. </w:t>
      </w:r>
      <w:r w:rsidRPr="005A1827">
        <w:t>Within-window deferral physics (</w:t>
      </w:r>
      <w:r w:rsidRPr="005A1827">
        <w:rPr>
          <w:rFonts w:ascii="Segoe UI Symbol" w:hAnsi="Segoe UI Symbol" w:cs="Segoe UI Symbol"/>
        </w:rPr>
        <w:t>➔</w:t>
      </w:r>
      <w:r w:rsidRPr="005A1827">
        <w:t xml:space="preserve"> WINDOW ok</w:t>
      </w:r>
      <w:proofErr w:type="gramStart"/>
      <w:r w:rsidRPr="005A1827">
        <w:t>);</w:t>
      </w:r>
      <w:proofErr w:type="gramEnd"/>
    </w:p>
    <w:p w14:paraId="5B6F1674" w14:textId="77777777" w:rsidR="005A1827" w:rsidRPr="005A1827" w:rsidRDefault="005A1827" w:rsidP="005A1827">
      <w:pPr>
        <w:pStyle w:val="Compact"/>
      </w:pPr>
      <w:r w:rsidRPr="005A1827">
        <w:t xml:space="preserve">compute share </w:t>
      </w:r>
      <w:proofErr w:type="gramStart"/>
      <w:r w:rsidRPr="005A1827">
        <w:t xml:space="preserve">( </w:t>
      </w:r>
      <w:r w:rsidRPr="005A1827">
        <w:rPr>
          <w:rFonts w:ascii="Segoe UI Symbol" w:hAnsi="Segoe UI Symbol" w:cs="Segoe UI Symbol"/>
        </w:rPr>
        <w:t>➔</w:t>
      </w:r>
      <w:proofErr w:type="gramEnd"/>
      <w:r w:rsidRPr="005A1827">
        <w:t xml:space="preserve"> NIW share).</w:t>
      </w:r>
    </w:p>
    <w:p w14:paraId="7680AF36" w14:textId="77777777" w:rsidR="005A1827" w:rsidRDefault="005A1827" w:rsidP="005A1827">
      <w:pPr>
        <w:pStyle w:val="Compact"/>
        <w:rPr>
          <w:b/>
          <w:bCs/>
        </w:rPr>
      </w:pPr>
    </w:p>
    <w:p w14:paraId="4FBD5028" w14:textId="21DEAC32" w:rsidR="005A1827" w:rsidRPr="005A1827" w:rsidRDefault="005A1827" w:rsidP="005A1827">
      <w:pPr>
        <w:pStyle w:val="Compact"/>
      </w:pPr>
      <w:r w:rsidRPr="005A1827">
        <w:rPr>
          <w:b/>
          <w:bCs/>
        </w:rPr>
        <w:t xml:space="preserve">Why </w:t>
      </w:r>
      <w:proofErr w:type="spellStart"/>
      <w:proofErr w:type="gramStart"/>
      <w:r w:rsidRPr="005A1827">
        <w:rPr>
          <w:b/>
          <w:bCs/>
        </w:rPr>
        <w:t>QUEUE_ok</w:t>
      </w:r>
      <w:proofErr w:type="spellEnd"/>
      <w:r w:rsidRPr="005A1827">
        <w:rPr>
          <w:b/>
          <w:bCs/>
        </w:rPr>
        <w:t xml:space="preserve"> is</w:t>
      </w:r>
      <w:proofErr w:type="gramEnd"/>
      <w:r w:rsidRPr="005A1827">
        <w:rPr>
          <w:b/>
          <w:bCs/>
        </w:rPr>
        <w:t xml:space="preserve"> a distinct parameter. </w:t>
      </w:r>
      <w:r w:rsidRPr="005A1827">
        <w:t>The prior framework bundled queue absorption</w:t>
      </w:r>
    </w:p>
    <w:p w14:paraId="7FF652AE" w14:textId="56FE9333" w:rsidR="005A1827" w:rsidRPr="005A1827" w:rsidRDefault="005A1827" w:rsidP="005A1827">
      <w:pPr>
        <w:pStyle w:val="Compact"/>
      </w:pPr>
      <w:r w:rsidRPr="005A1827">
        <w:t>implicitly into a single DEFER_FRAC coefficient. Splitting it out surfaces an independent scale</w:t>
      </w:r>
      <w:r>
        <w:t>-</w:t>
      </w:r>
      <w:r w:rsidRPr="005A1827">
        <w:t>dependent</w:t>
      </w:r>
      <w:r>
        <w:t xml:space="preserve"> </w:t>
      </w:r>
      <w:r w:rsidRPr="005A1827">
        <w:t xml:space="preserve">saturation mechanism. Queue absorption physics </w:t>
      </w:r>
      <w:proofErr w:type="gramStart"/>
      <w:r w:rsidRPr="005A1827">
        <w:t>differ</w:t>
      </w:r>
      <w:proofErr w:type="gramEnd"/>
      <w:r w:rsidRPr="005A1827">
        <w:t xml:space="preserve"> from deferral feasibility:</w:t>
      </w:r>
      <w:r w:rsidR="005946F0">
        <w:t xml:space="preserve"> </w:t>
      </w:r>
      <w:r w:rsidRPr="005A1827">
        <w:t xml:space="preserve">WINDOW ok asks whether deferral fits within the deadline budget; </w:t>
      </w:r>
      <w:proofErr w:type="spellStart"/>
      <w:r w:rsidRPr="005A1827">
        <w:t>QUEUE_ok</w:t>
      </w:r>
      <w:proofErr w:type="spellEnd"/>
      <w:r w:rsidRPr="005A1827">
        <w:t xml:space="preserve"> </w:t>
      </w:r>
      <w:r w:rsidRPr="005A1827">
        <w:lastRenderedPageBreak/>
        <w:t>asks whether</w:t>
      </w:r>
      <w:r w:rsidR="005946F0">
        <w:t xml:space="preserve"> </w:t>
      </w:r>
      <w:r w:rsidRPr="005A1827">
        <w:t xml:space="preserve">recovery-period capacity exists to </w:t>
      </w:r>
      <w:proofErr w:type="gramStart"/>
      <w:r w:rsidRPr="005A1827">
        <w:t>actually execute</w:t>
      </w:r>
      <w:proofErr w:type="gramEnd"/>
      <w:r w:rsidRPr="005A1827">
        <w:t xml:space="preserve"> the deferred work. At single-facility scale</w:t>
      </w:r>
      <w:r w:rsidR="005946F0">
        <w:t xml:space="preserve"> </w:t>
      </w:r>
      <w:r w:rsidRPr="005A1827">
        <w:t>these are nearly co-determined; at fleet scale they decouple sharply.</w:t>
      </w:r>
    </w:p>
    <w:p w14:paraId="6AC2CC25" w14:textId="77777777" w:rsidR="005946F0" w:rsidRDefault="005946F0" w:rsidP="005A1827">
      <w:pPr>
        <w:pStyle w:val="Compact"/>
        <w:rPr>
          <w:b/>
          <w:bCs/>
        </w:rPr>
      </w:pPr>
    </w:p>
    <w:p w14:paraId="76DBE2C7" w14:textId="7A182E0F" w:rsidR="005A1827" w:rsidRPr="005A1827" w:rsidRDefault="005A1827" w:rsidP="005A1827">
      <w:pPr>
        <w:pStyle w:val="Compact"/>
      </w:pPr>
      <w:r w:rsidRPr="005A1827">
        <w:rPr>
          <w:b/>
          <w:bCs/>
        </w:rPr>
        <w:t xml:space="preserve">Single-facility grounding. </w:t>
      </w:r>
      <w:proofErr w:type="spellStart"/>
      <w:r w:rsidRPr="005A1827">
        <w:t>DynamoLLM</w:t>
      </w:r>
      <w:proofErr w:type="spellEnd"/>
      <w:r w:rsidRPr="005A1827">
        <w:t xml:space="preserve"> (Stojkovic et al., HPCA 2025, CV-013) reports peak-to</w:t>
      </w:r>
      <w:r w:rsidR="005946F0">
        <w:t>-</w:t>
      </w:r>
      <w:r w:rsidRPr="005A1827">
        <w:t>valley</w:t>
      </w:r>
      <w:r w:rsidR="005946F0">
        <w:t xml:space="preserve"> </w:t>
      </w:r>
      <w:r w:rsidRPr="005A1827">
        <w:t xml:space="preserve">load ratios of 3.3x </w:t>
      </w:r>
      <w:proofErr w:type="gramStart"/>
      <w:r w:rsidRPr="005A1827">
        <w:t>( Conversation</w:t>
      </w:r>
      <w:proofErr w:type="gramEnd"/>
      <w:r w:rsidRPr="005A1827">
        <w:t xml:space="preserve">) to 34.6x </w:t>
      </w:r>
      <w:proofErr w:type="gramStart"/>
      <w:r w:rsidRPr="005A1827">
        <w:t>( Coding</w:t>
      </w:r>
      <w:proofErr w:type="gramEnd"/>
      <w:r w:rsidRPr="005A1827">
        <w:t>) across two production Microsoft</w:t>
      </w:r>
      <w:r w:rsidR="005946F0">
        <w:t xml:space="preserve"> </w:t>
      </w:r>
      <w:r w:rsidRPr="005A1827">
        <w:t>Azure inference services. The implication: average load is ~30% of peak (Conversation) and as</w:t>
      </w:r>
      <w:r w:rsidR="005946F0">
        <w:t xml:space="preserve"> </w:t>
      </w:r>
      <w:r w:rsidRPr="005A1827">
        <w:t xml:space="preserve">low as ~ 3% of peak </w:t>
      </w:r>
      <w:proofErr w:type="gramStart"/>
      <w:r w:rsidRPr="005A1827">
        <w:t>( Coding</w:t>
      </w:r>
      <w:proofErr w:type="gramEnd"/>
      <w:r w:rsidRPr="005A1827">
        <w:t>) during valley hours. Single-facility post-stress recovery has</w:t>
      </w:r>
      <w:r w:rsidR="005946F0">
        <w:t xml:space="preserve"> </w:t>
      </w:r>
      <w:r w:rsidRPr="005A1827">
        <w:t>substantial absorption headroom - the deferred work has somewhere to go in the post-stress</w:t>
      </w:r>
      <w:r w:rsidR="005946F0">
        <w:t xml:space="preserve"> </w:t>
      </w:r>
      <w:r w:rsidRPr="005A1827">
        <w:t xml:space="preserve">hours. At single-facility scale, </w:t>
      </w:r>
      <w:proofErr w:type="spellStart"/>
      <w:r w:rsidRPr="005A1827">
        <w:t>QUEUE_ok</w:t>
      </w:r>
      <w:proofErr w:type="spellEnd"/>
      <w:r w:rsidRPr="005A1827">
        <w:t xml:space="preserve"> approaches the 0.98 upper bound.</w:t>
      </w:r>
    </w:p>
    <w:p w14:paraId="3CAE1166" w14:textId="77777777" w:rsidR="005946F0" w:rsidRDefault="005946F0" w:rsidP="005A1827">
      <w:pPr>
        <w:pStyle w:val="Compact"/>
        <w:rPr>
          <w:b/>
          <w:bCs/>
        </w:rPr>
      </w:pPr>
    </w:p>
    <w:p w14:paraId="6C97D7AA" w14:textId="0CABFA4D" w:rsidR="005A1827" w:rsidRPr="005A1827" w:rsidRDefault="005A1827" w:rsidP="005A1827">
      <w:pPr>
        <w:pStyle w:val="Compact"/>
      </w:pPr>
      <w:r w:rsidRPr="005A1827">
        <w:rPr>
          <w:b/>
          <w:bCs/>
        </w:rPr>
        <w:t xml:space="preserve">Fleet-scale binding constraint. </w:t>
      </w:r>
      <w:r w:rsidRPr="005A1827">
        <w:t>When many facilities defer simultaneously into the same</w:t>
      </w:r>
    </w:p>
    <w:p w14:paraId="5FE1AA29" w14:textId="694859A4" w:rsidR="005A1827" w:rsidRPr="005A1827" w:rsidRDefault="005A1827" w:rsidP="005A1827">
      <w:pPr>
        <w:pStyle w:val="Compact"/>
      </w:pPr>
      <w:r w:rsidRPr="005A1827">
        <w:t>recovery window, the effective peak-to-valley ratio narrows: each facility's "valley" hours are</w:t>
      </w:r>
      <w:r w:rsidR="005946F0">
        <w:t xml:space="preserve"> </w:t>
      </w:r>
      <w:r w:rsidRPr="005A1827">
        <w:t>also other facilities' valley hours, and the recovery surge from coordinated deferral consumes</w:t>
      </w:r>
      <w:r w:rsidR="005946F0">
        <w:t xml:space="preserve"> </w:t>
      </w:r>
      <w:r w:rsidRPr="005A1827">
        <w:t xml:space="preserve">the recovery-period headroom faster than single-facility analysis would predict. </w:t>
      </w:r>
      <w:proofErr w:type="spellStart"/>
      <w:r w:rsidRPr="005A1827">
        <w:t>QUEUE_ok</w:t>
      </w:r>
      <w:proofErr w:type="spellEnd"/>
      <w:r w:rsidR="005946F0">
        <w:t xml:space="preserve"> </w:t>
      </w:r>
      <w:r w:rsidRPr="005A1827">
        <w:t>declines toward the 0.65 lower bound at fleet scales where coordination across many</w:t>
      </w:r>
      <w:r w:rsidR="005946F0">
        <w:t xml:space="preserve"> </w:t>
      </w:r>
      <w:r w:rsidRPr="005A1827">
        <w:t>participating facilities is binding.</w:t>
      </w:r>
    </w:p>
    <w:p w14:paraId="0406CAC6" w14:textId="77777777" w:rsidR="005946F0" w:rsidRDefault="005946F0" w:rsidP="005A1827">
      <w:pPr>
        <w:pStyle w:val="Compact"/>
        <w:rPr>
          <w:b/>
          <w:bCs/>
        </w:rPr>
      </w:pPr>
    </w:p>
    <w:p w14:paraId="4F7DF6D6" w14:textId="09C262E7" w:rsidR="005A1827" w:rsidRDefault="005A1827" w:rsidP="005A1827">
      <w:pPr>
        <w:pStyle w:val="Compact"/>
      </w:pPr>
      <w:r w:rsidRPr="005A1827">
        <w:rPr>
          <w:b/>
          <w:bCs/>
        </w:rPr>
        <w:t xml:space="preserve">Why </w:t>
      </w:r>
      <w:proofErr w:type="gramStart"/>
      <w:r w:rsidRPr="005A1827">
        <w:rPr>
          <w:b/>
          <w:bCs/>
        </w:rPr>
        <w:t>this is</w:t>
      </w:r>
      <w:proofErr w:type="gramEnd"/>
      <w:r w:rsidRPr="005A1827">
        <w:rPr>
          <w:b/>
          <w:bCs/>
        </w:rPr>
        <w:t xml:space="preserve"> a structural improvement over the prior framework. </w:t>
      </w:r>
      <w:r w:rsidRPr="005A1827">
        <w:t>Without an explicit fleet-scale</w:t>
      </w:r>
      <w:r w:rsidR="005946F0">
        <w:t xml:space="preserve"> </w:t>
      </w:r>
      <w:r w:rsidRPr="005A1827">
        <w:t>deferral saturation parameter, the framework would predict deferral as nearly unbounded at</w:t>
      </w:r>
      <w:r w:rsidR="005946F0">
        <w:t xml:space="preserve"> </w:t>
      </w:r>
      <w:r w:rsidRPr="005A1827">
        <w:t>fleet scale (since WINDOW _ok at 0.95 and NIW share at 0.28 give a ~27% deferral contribution</w:t>
      </w:r>
      <w:r w:rsidR="005946F0">
        <w:t xml:space="preserve"> </w:t>
      </w:r>
      <w:r w:rsidRPr="005A1827">
        <w:t xml:space="preserve">that would not naturally diminish). </w:t>
      </w:r>
      <w:proofErr w:type="spellStart"/>
      <w:r w:rsidRPr="005A1827">
        <w:t>QUEUE_ok</w:t>
      </w:r>
      <w:proofErr w:type="spellEnd"/>
      <w:r w:rsidRPr="005A1827">
        <w:t xml:space="preserve"> captures the saturation analog of</w:t>
      </w:r>
      <w:r w:rsidR="005946F0">
        <w:t xml:space="preserve"> </w:t>
      </w:r>
      <w:r w:rsidRPr="005A1827">
        <w:t>DEST _</w:t>
      </w:r>
      <w:proofErr w:type="spellStart"/>
      <w:r w:rsidRPr="005A1827">
        <w:t>absorb's</w:t>
      </w:r>
      <w:proofErr w:type="spellEnd"/>
      <w:r w:rsidRPr="005A1827">
        <w:t xml:space="preserve"> role for spatial: a parameter that constrains the fleet-scale upper bound of the</w:t>
      </w:r>
      <w:r w:rsidR="005946F0">
        <w:t xml:space="preserve"> </w:t>
      </w:r>
      <w:r w:rsidRPr="005A1827">
        <w:t>mechanism's contribution. This is what makes the framework's commitment-depth-vs-fleet</w:t>
      </w:r>
      <w:r w:rsidR="005946F0">
        <w:t xml:space="preserve"> </w:t>
      </w:r>
      <w:r w:rsidRPr="005A1827">
        <w:t>size</w:t>
      </w:r>
      <w:r w:rsidR="005946F0">
        <w:t xml:space="preserve"> </w:t>
      </w:r>
      <w:r w:rsidRPr="005A1827">
        <w:t xml:space="preserve">curve flatten more gently than spatial-only or pure-additive analysis would </w:t>
      </w:r>
      <w:proofErr w:type="gramStart"/>
      <w:r w:rsidRPr="005A1827">
        <w:t>suggest, and</w:t>
      </w:r>
      <w:proofErr w:type="gramEnd"/>
      <w:r w:rsidRPr="005A1827">
        <w:t xml:space="preserve"> is</w:t>
      </w:r>
      <w:r w:rsidR="005946F0">
        <w:t xml:space="preserve"> </w:t>
      </w:r>
      <w:r w:rsidRPr="005A1827">
        <w:t>directly relevant to the scale-dependent commitment-depth story in NE §6.</w:t>
      </w:r>
    </w:p>
    <w:p w14:paraId="4B3FD3E1" w14:textId="77777777" w:rsidR="005946F0" w:rsidRPr="005A1827" w:rsidRDefault="005946F0" w:rsidP="005A1827">
      <w:pPr>
        <w:pStyle w:val="Compact"/>
      </w:pPr>
    </w:p>
    <w:p w14:paraId="3CDA1388" w14:textId="5AB27552" w:rsidR="005A1827" w:rsidRPr="005A1827" w:rsidRDefault="005A1827" w:rsidP="005A1827">
      <w:pPr>
        <w:pStyle w:val="Compact"/>
      </w:pPr>
      <w:r w:rsidRPr="005A1827">
        <w:rPr>
          <w:b/>
          <w:bCs/>
        </w:rPr>
        <w:t xml:space="preserve">Range justification. </w:t>
      </w:r>
      <w:r w:rsidRPr="005A1827">
        <w:t>The wide range [0.65, 0.98] reflects genuine uncertainty rather than a tight</w:t>
      </w:r>
      <w:r w:rsidR="005946F0">
        <w:t xml:space="preserve"> </w:t>
      </w:r>
      <w:r w:rsidRPr="005A1827">
        <w:t xml:space="preserve">central. The single-facility upper bound is grounded in </w:t>
      </w:r>
      <w:proofErr w:type="spellStart"/>
      <w:r w:rsidRPr="005A1827">
        <w:t>DynamoLLM</w:t>
      </w:r>
      <w:proofErr w:type="spellEnd"/>
      <w:r w:rsidRPr="005A1827">
        <w:t xml:space="preserve"> peak-to-valley empirics.</w:t>
      </w:r>
      <w:r w:rsidR="005946F0">
        <w:t xml:space="preserve"> </w:t>
      </w:r>
      <w:r w:rsidRPr="005A1827">
        <w:t>The fleet-scale lower bound is reasoned from coordinated-deferral saturation arguments</w:t>
      </w:r>
      <w:r w:rsidR="005946F0">
        <w:t xml:space="preserve"> </w:t>
      </w:r>
      <w:r w:rsidRPr="005A1827">
        <w:t>without direct measurement - no published study measures fleet-scale post-stress queue</w:t>
      </w:r>
      <w:r w:rsidR="005946F0">
        <w:t xml:space="preserve"> </w:t>
      </w:r>
      <w:r w:rsidRPr="005A1827">
        <w:t>absorption in production AI inference.</w:t>
      </w:r>
    </w:p>
    <w:p w14:paraId="72E2E488" w14:textId="77777777" w:rsidR="005946F0" w:rsidRDefault="005946F0" w:rsidP="005A1827">
      <w:pPr>
        <w:pStyle w:val="Compact"/>
        <w:rPr>
          <w:b/>
          <w:bCs/>
        </w:rPr>
      </w:pPr>
    </w:p>
    <w:p w14:paraId="7D4D709D" w14:textId="4113E514" w:rsidR="005A1827" w:rsidRPr="005A1827" w:rsidRDefault="005A1827" w:rsidP="005A1827">
      <w:pPr>
        <w:pStyle w:val="Compact"/>
      </w:pPr>
      <w:r w:rsidRPr="005A1827">
        <w:rPr>
          <w:b/>
          <w:bCs/>
        </w:rPr>
        <w:t xml:space="preserve">What would resolve the uncertainty. </w:t>
      </w:r>
      <w:r w:rsidRPr="005A1827">
        <w:t>Fleet-scale empirical measurement of recovery-period</w:t>
      </w:r>
      <w:r w:rsidR="005946F0">
        <w:t xml:space="preserve"> </w:t>
      </w:r>
      <w:r w:rsidRPr="005A1827">
        <w:t>absorption when multiple facilities defer into the same window. This would require either</w:t>
      </w:r>
      <w:r w:rsidR="005946F0">
        <w:t xml:space="preserve"> </w:t>
      </w:r>
      <w:r w:rsidRPr="005A1827">
        <w:t>coordinated DR participation across multiple operators (which APPA-tracked Google deals are</w:t>
      </w:r>
      <w:r w:rsidR="005946F0">
        <w:t xml:space="preserve"> </w:t>
      </w:r>
      <w:r w:rsidRPr="005A1827">
        <w:t>beginning to enable) or aggregator-level visibility into post-stress fleet behavior.</w:t>
      </w:r>
    </w:p>
    <w:p w14:paraId="6CD289D3" w14:textId="77777777" w:rsidR="005946F0" w:rsidRDefault="005946F0" w:rsidP="005A1827">
      <w:pPr>
        <w:pStyle w:val="Compact"/>
        <w:rPr>
          <w:b/>
          <w:bCs/>
        </w:rPr>
      </w:pPr>
    </w:p>
    <w:p w14:paraId="1EE64327" w14:textId="3348041D" w:rsidR="005A1827" w:rsidRPr="005A1827" w:rsidRDefault="005A1827" w:rsidP="005A1827">
      <w:pPr>
        <w:pStyle w:val="Compact"/>
      </w:pPr>
      <w:r w:rsidRPr="005A1827">
        <w:rPr>
          <w:b/>
          <w:bCs/>
        </w:rPr>
        <w:t xml:space="preserve">CV workbook ties. </w:t>
      </w:r>
      <w:r w:rsidRPr="005A1827">
        <w:t>CV-013 (</w:t>
      </w:r>
      <w:proofErr w:type="spellStart"/>
      <w:r w:rsidRPr="005A1827">
        <w:t>DynamoLLM</w:t>
      </w:r>
      <w:proofErr w:type="spellEnd"/>
      <w:r w:rsidRPr="005A1827">
        <w:t xml:space="preserve"> peak-to-valley) at single-facility scale. Fleet-scale</w:t>
      </w:r>
    </w:p>
    <w:p w14:paraId="6EEB22DE" w14:textId="02AAFC6C" w:rsidR="001F7A4B" w:rsidRDefault="005A1827" w:rsidP="005A1827">
      <w:pPr>
        <w:pStyle w:val="Compact"/>
        <w:pBdr>
          <w:bottom w:val="single" w:sz="12" w:space="1" w:color="auto"/>
        </w:pBdr>
      </w:pPr>
      <w:r w:rsidRPr="005A1827">
        <w:t>extrapolation is novel to this framework and should be flagged as such in Methods.</w:t>
      </w:r>
    </w:p>
    <w:p w14:paraId="53A469FA" w14:textId="77777777" w:rsidR="00B8415C" w:rsidRDefault="00B8415C" w:rsidP="005A1827">
      <w:pPr>
        <w:pStyle w:val="Compact"/>
        <w:pBdr>
          <w:bottom w:val="single" w:sz="12" w:space="1" w:color="auto"/>
        </w:pBdr>
      </w:pPr>
    </w:p>
    <w:p w14:paraId="27EBEBC0" w14:textId="77777777" w:rsidR="005946F0" w:rsidRDefault="005946F0" w:rsidP="005A1827">
      <w:pPr>
        <w:pStyle w:val="Compact"/>
      </w:pPr>
    </w:p>
    <w:p w14:paraId="67FFBA79" w14:textId="4586A367" w:rsidR="005946F0" w:rsidRDefault="005946F0" w:rsidP="005946F0">
      <w:pPr>
        <w:rPr>
          <w:b/>
          <w:bCs/>
          <w:sz w:val="28"/>
          <w:szCs w:val="28"/>
        </w:rPr>
      </w:pPr>
      <w:r>
        <w:rPr>
          <w:b/>
          <w:bCs/>
          <w:sz w:val="28"/>
          <w:szCs w:val="28"/>
        </w:rPr>
        <w:t>5</w:t>
      </w:r>
      <w:r>
        <w:rPr>
          <w:b/>
          <w:bCs/>
          <w:sz w:val="28"/>
          <w:szCs w:val="28"/>
        </w:rPr>
        <w:t>.</w:t>
      </w:r>
      <w:r w:rsidRPr="000B2C9D">
        <w:rPr>
          <w:b/>
          <w:bCs/>
          <w:sz w:val="28"/>
          <w:szCs w:val="28"/>
        </w:rPr>
        <w:t xml:space="preserve"> </w:t>
      </w:r>
      <w:r>
        <w:rPr>
          <w:b/>
          <w:bCs/>
          <w:sz w:val="28"/>
          <w:szCs w:val="28"/>
        </w:rPr>
        <w:t>D</w:t>
      </w:r>
      <w:r>
        <w:rPr>
          <w:b/>
          <w:bCs/>
          <w:sz w:val="28"/>
          <w:szCs w:val="28"/>
        </w:rPr>
        <w:t xml:space="preserve">VFS </w:t>
      </w:r>
      <w:r>
        <w:rPr>
          <w:b/>
          <w:bCs/>
          <w:sz w:val="28"/>
          <w:szCs w:val="28"/>
        </w:rPr>
        <w:t>Sub-Cascade (</w:t>
      </w:r>
      <w:r>
        <w:rPr>
          <w:b/>
          <w:bCs/>
          <w:sz w:val="28"/>
          <w:szCs w:val="28"/>
        </w:rPr>
        <w:t>two</w:t>
      </w:r>
      <w:r>
        <w:rPr>
          <w:b/>
          <w:bCs/>
          <w:sz w:val="28"/>
          <w:szCs w:val="28"/>
        </w:rPr>
        <w:t xml:space="preserve"> parameters)</w:t>
      </w:r>
    </w:p>
    <w:p w14:paraId="6CD2AD7D" w14:textId="769517E4" w:rsidR="00BF4681" w:rsidRPr="00BF4681" w:rsidRDefault="00BF4681" w:rsidP="005946F0">
      <w:pPr>
        <w:rPr>
          <w:b/>
          <w:bCs/>
        </w:rPr>
      </w:pPr>
      <w:proofErr w:type="spellStart"/>
      <w:r w:rsidRPr="00BF4681">
        <w:rPr>
          <w:b/>
          <w:bCs/>
        </w:rPr>
        <w:lastRenderedPageBreak/>
        <w:t>DVFS_headroom</w:t>
      </w:r>
      <w:proofErr w:type="spellEnd"/>
      <w:r w:rsidRPr="00BF4681">
        <w:rPr>
          <w:b/>
          <w:bCs/>
        </w:rPr>
        <w:t xml:space="preserve"> - Sustained peak-power reduction on residual inference compute</w:t>
      </w:r>
    </w:p>
    <w:tbl>
      <w:tblPr>
        <w:tblStyle w:val="TableGrid"/>
        <w:tblW w:w="0" w:type="auto"/>
        <w:tblLook w:val="04A0" w:firstRow="1" w:lastRow="0" w:firstColumn="1" w:lastColumn="0" w:noHBand="0" w:noVBand="1"/>
      </w:tblPr>
      <w:tblGrid>
        <w:gridCol w:w="4675"/>
        <w:gridCol w:w="4675"/>
      </w:tblGrid>
      <w:tr w:rsidR="00BF4681" w:rsidRPr="00BF4681" w14:paraId="2EC5C5D3" w14:textId="77777777" w:rsidTr="00BF4681">
        <w:tc>
          <w:tcPr>
            <w:tcW w:w="4675" w:type="dxa"/>
            <w:shd w:val="clear" w:color="auto" w:fill="D9D9D9" w:themeFill="background1" w:themeFillShade="D9"/>
          </w:tcPr>
          <w:p w14:paraId="3723891B" w14:textId="0086C5B2" w:rsidR="00BF4681" w:rsidRPr="00BF4681" w:rsidRDefault="00BF4681" w:rsidP="00772965">
            <w:pPr>
              <w:pStyle w:val="Compact"/>
              <w:rPr>
                <w:b/>
                <w:bCs/>
              </w:rPr>
            </w:pPr>
            <w:r w:rsidRPr="00BF4681">
              <w:rPr>
                <w:b/>
                <w:bCs/>
              </w:rPr>
              <w:t xml:space="preserve">Attribute </w:t>
            </w:r>
          </w:p>
        </w:tc>
        <w:tc>
          <w:tcPr>
            <w:tcW w:w="4675" w:type="dxa"/>
            <w:shd w:val="clear" w:color="auto" w:fill="D9D9D9" w:themeFill="background1" w:themeFillShade="D9"/>
          </w:tcPr>
          <w:p w14:paraId="694FA04E" w14:textId="4D5AE06E" w:rsidR="00BF4681" w:rsidRPr="00BF4681" w:rsidRDefault="00BF4681" w:rsidP="00772965">
            <w:pPr>
              <w:pStyle w:val="Compact"/>
            </w:pPr>
            <w:r w:rsidRPr="00BF4681">
              <w:rPr>
                <w:b/>
                <w:bCs/>
              </w:rPr>
              <w:t>Value</w:t>
            </w:r>
          </w:p>
        </w:tc>
      </w:tr>
      <w:tr w:rsidR="00BF4681" w:rsidRPr="00BF4681" w14:paraId="4D135173" w14:textId="77777777">
        <w:tc>
          <w:tcPr>
            <w:tcW w:w="4675" w:type="dxa"/>
          </w:tcPr>
          <w:p w14:paraId="7443024C" w14:textId="6B8E2A17" w:rsidR="00BF4681" w:rsidRPr="00BF4681" w:rsidRDefault="00BF4681" w:rsidP="00BF4681">
            <w:pPr>
              <w:pStyle w:val="Compact"/>
            </w:pPr>
            <w:r w:rsidRPr="00BF4681">
              <w:t>Central (Ensemble B)</w:t>
            </w:r>
          </w:p>
        </w:tc>
        <w:tc>
          <w:tcPr>
            <w:tcW w:w="4675" w:type="dxa"/>
          </w:tcPr>
          <w:p w14:paraId="49BC04DC" w14:textId="3EA41B01" w:rsidR="00BF4681" w:rsidRPr="00BF4681" w:rsidRDefault="00BF4681" w:rsidP="00BF4681">
            <w:pPr>
              <w:pStyle w:val="Compact"/>
            </w:pPr>
            <w:r w:rsidRPr="00BF4681">
              <w:t>0.25</w:t>
            </w:r>
          </w:p>
        </w:tc>
      </w:tr>
      <w:tr w:rsidR="00BF4681" w:rsidRPr="00DC24CA" w14:paraId="0C47D01E" w14:textId="77777777">
        <w:tc>
          <w:tcPr>
            <w:tcW w:w="4675" w:type="dxa"/>
          </w:tcPr>
          <w:p w14:paraId="79288755" w14:textId="6A836B53" w:rsidR="00BF4681" w:rsidRPr="00BF4681" w:rsidRDefault="00BF4681" w:rsidP="00BF4681">
            <w:pPr>
              <w:pStyle w:val="Compact"/>
            </w:pPr>
            <w:r w:rsidRPr="00BF4681">
              <w:t>Range (Ensemble B)</w:t>
            </w:r>
          </w:p>
        </w:tc>
        <w:tc>
          <w:tcPr>
            <w:tcW w:w="4675" w:type="dxa"/>
          </w:tcPr>
          <w:p w14:paraId="22DCD0ED" w14:textId="59564A5A" w:rsidR="00BF4681" w:rsidRPr="00DC24CA" w:rsidRDefault="00BF4681" w:rsidP="00BF4681">
            <w:pPr>
              <w:pStyle w:val="Compact"/>
            </w:pPr>
            <w:r w:rsidRPr="00BF4681">
              <w:t>[0.18, 0.32]</w:t>
            </w:r>
          </w:p>
        </w:tc>
      </w:tr>
      <w:tr w:rsidR="00BF4681" w:rsidRPr="00DC24CA" w14:paraId="7FD437BD" w14:textId="77777777">
        <w:tc>
          <w:tcPr>
            <w:tcW w:w="4675" w:type="dxa"/>
          </w:tcPr>
          <w:p w14:paraId="6C4D01F6" w14:textId="40739D4B" w:rsidR="00BF4681" w:rsidRPr="00BF4681" w:rsidRDefault="00BF4681" w:rsidP="00BF4681">
            <w:pPr>
              <w:pStyle w:val="Compact"/>
            </w:pPr>
            <w:r w:rsidRPr="00BF4681">
              <w:t>Ensemble centrals</w:t>
            </w:r>
          </w:p>
        </w:tc>
        <w:tc>
          <w:tcPr>
            <w:tcW w:w="4675" w:type="dxa"/>
          </w:tcPr>
          <w:p w14:paraId="61511D0C" w14:textId="373C2F3F" w:rsidR="00BF4681" w:rsidRPr="00BF4681" w:rsidRDefault="00BF4681" w:rsidP="00BF4681">
            <w:pPr>
              <w:pStyle w:val="Compact"/>
            </w:pPr>
            <w:r w:rsidRPr="00BF4681">
              <w:t>A: 0.18, B: 0.25, C: 0.32</w:t>
            </w:r>
          </w:p>
        </w:tc>
      </w:tr>
      <w:tr w:rsidR="00BF4681" w:rsidRPr="00DC24CA" w14:paraId="7F4F9649" w14:textId="77777777">
        <w:tc>
          <w:tcPr>
            <w:tcW w:w="4675" w:type="dxa"/>
          </w:tcPr>
          <w:p w14:paraId="78C3A244" w14:textId="20CF7E30" w:rsidR="00BF4681" w:rsidRPr="00BF4681" w:rsidRDefault="00BF4681" w:rsidP="00BF4681">
            <w:pPr>
              <w:pStyle w:val="Compact"/>
            </w:pPr>
            <w:r w:rsidRPr="00BF4681">
              <w:t>Range (general)</w:t>
            </w:r>
          </w:p>
        </w:tc>
        <w:tc>
          <w:tcPr>
            <w:tcW w:w="4675" w:type="dxa"/>
          </w:tcPr>
          <w:p w14:paraId="0434F960" w14:textId="67B88A8A" w:rsidR="00BF4681" w:rsidRPr="00BF4681" w:rsidRDefault="00BF4681" w:rsidP="00BF4681">
            <w:pPr>
              <w:pStyle w:val="Compact"/>
            </w:pPr>
            <w:r w:rsidRPr="00BF4681">
              <w:t>±0.07 around ensemble central</w:t>
            </w:r>
          </w:p>
        </w:tc>
      </w:tr>
      <w:tr w:rsidR="00BF4681" w:rsidRPr="00DC24CA" w14:paraId="77585862" w14:textId="77777777">
        <w:tc>
          <w:tcPr>
            <w:tcW w:w="4675" w:type="dxa"/>
          </w:tcPr>
          <w:p w14:paraId="6E6F477C" w14:textId="170C4467" w:rsidR="00BF4681" w:rsidRPr="00BF4681" w:rsidRDefault="00BF4681" w:rsidP="00BF4681">
            <w:pPr>
              <w:pStyle w:val="Compact"/>
            </w:pPr>
            <w:r w:rsidRPr="00BF4681">
              <w:t>Grounding</w:t>
            </w:r>
          </w:p>
        </w:tc>
        <w:tc>
          <w:tcPr>
            <w:tcW w:w="4675" w:type="dxa"/>
          </w:tcPr>
          <w:p w14:paraId="3E1644C0" w14:textId="4968D073" w:rsidR="00BF4681" w:rsidRPr="00BF4681" w:rsidRDefault="00BF4681" w:rsidP="00BF4681">
            <w:pPr>
              <w:pStyle w:val="Compact"/>
            </w:pPr>
            <w:r w:rsidRPr="00BF4681">
              <w:t>DATA (cornerstone)</w:t>
            </w:r>
          </w:p>
        </w:tc>
      </w:tr>
    </w:tbl>
    <w:p w14:paraId="333B2223" w14:textId="6EDD3412" w:rsidR="005946F0" w:rsidRDefault="005946F0" w:rsidP="00BF4681">
      <w:pPr>
        <w:pStyle w:val="Compact"/>
      </w:pPr>
    </w:p>
    <w:p w14:paraId="49E472C3" w14:textId="6F92C527" w:rsidR="00C32E09" w:rsidRPr="00C32E09" w:rsidRDefault="00C32E09" w:rsidP="00C32E09">
      <w:pPr>
        <w:pStyle w:val="Compact"/>
      </w:pPr>
      <w:r w:rsidRPr="00C32E09">
        <w:rPr>
          <w:b/>
          <w:bCs/>
        </w:rPr>
        <w:t xml:space="preserve">What </w:t>
      </w:r>
      <w:proofErr w:type="spellStart"/>
      <w:r w:rsidRPr="00C32E09">
        <w:rPr>
          <w:b/>
          <w:bCs/>
        </w:rPr>
        <w:t>DVFS_headroom</w:t>
      </w:r>
      <w:proofErr w:type="spellEnd"/>
      <w:r w:rsidRPr="00C32E09">
        <w:rPr>
          <w:b/>
          <w:bCs/>
        </w:rPr>
        <w:t xml:space="preserve"> measures. </w:t>
      </w:r>
      <w:r w:rsidRPr="00C32E09">
        <w:t>Of residual inference compute remaining at source after</w:t>
      </w:r>
      <w:r>
        <w:t xml:space="preserve"> </w:t>
      </w:r>
      <w:r w:rsidRPr="00C32E09">
        <w:t>spatial migration and deferral are applied, what fraction of peak power can be sustainably</w:t>
      </w:r>
      <w:r>
        <w:t xml:space="preserve"> </w:t>
      </w:r>
      <w:r w:rsidRPr="00C32E09">
        <w:t>reduced via DVFS, job pausing, and GPU resource reallocation while maintaining tier-specific</w:t>
      </w:r>
      <w:r>
        <w:t xml:space="preserve"> </w:t>
      </w:r>
      <w:r w:rsidRPr="00C32E09">
        <w:t>SLOs?</w:t>
      </w:r>
    </w:p>
    <w:p w14:paraId="2A5899CD" w14:textId="77777777" w:rsidR="00C32E09" w:rsidRDefault="00C32E09" w:rsidP="00C32E09">
      <w:pPr>
        <w:pStyle w:val="Compact"/>
        <w:rPr>
          <w:b/>
          <w:bCs/>
        </w:rPr>
      </w:pPr>
    </w:p>
    <w:p w14:paraId="70640ABF" w14:textId="358E8B68" w:rsidR="00C32E09" w:rsidRPr="00C32E09" w:rsidRDefault="00C32E09" w:rsidP="00C32E09">
      <w:pPr>
        <w:pStyle w:val="Compact"/>
      </w:pPr>
      <w:r w:rsidRPr="00C32E09">
        <w:rPr>
          <w:b/>
          <w:bCs/>
        </w:rPr>
        <w:t xml:space="preserve">What </w:t>
      </w:r>
      <w:proofErr w:type="spellStart"/>
      <w:r w:rsidRPr="00C32E09">
        <w:rPr>
          <w:b/>
          <w:bCs/>
        </w:rPr>
        <w:t>DVFS_headroom</w:t>
      </w:r>
      <w:proofErr w:type="spellEnd"/>
      <w:r w:rsidRPr="00C32E09">
        <w:rPr>
          <w:b/>
          <w:bCs/>
        </w:rPr>
        <w:t xml:space="preserve"> does NOT measure. </w:t>
      </w:r>
      <w:r w:rsidRPr="00C32E09">
        <w:t>Energy reduction over time (see §6.2 composition</w:t>
      </w:r>
      <w:r>
        <w:t xml:space="preserve"> </w:t>
      </w:r>
      <w:r w:rsidRPr="00C32E09">
        <w:t xml:space="preserve">caveat); within-window </w:t>
      </w:r>
      <w:proofErr w:type="gramStart"/>
      <w:r w:rsidRPr="00C32E09">
        <w:t>reliability(</w:t>
      </w:r>
      <w:proofErr w:type="gramEnd"/>
      <w:r w:rsidRPr="00C32E09">
        <w:rPr>
          <w:rFonts w:ascii="Segoe UI Symbol" w:hAnsi="Segoe UI Symbol" w:cs="Segoe UI Symbol"/>
        </w:rPr>
        <w:t>➔</w:t>
      </w:r>
      <w:r w:rsidRPr="00C32E09">
        <w:t xml:space="preserve"> </w:t>
      </w:r>
      <w:proofErr w:type="spellStart"/>
      <w:r w:rsidRPr="00C32E09">
        <w:t>DVFS_reliability</w:t>
      </w:r>
      <w:proofErr w:type="spellEnd"/>
      <w:r w:rsidRPr="00C32E09">
        <w:t>).</w:t>
      </w:r>
    </w:p>
    <w:p w14:paraId="2B82DB2D" w14:textId="77777777" w:rsidR="00C32E09" w:rsidRDefault="00C32E09" w:rsidP="00C32E09">
      <w:pPr>
        <w:pStyle w:val="Compact"/>
        <w:rPr>
          <w:b/>
          <w:bCs/>
        </w:rPr>
      </w:pPr>
    </w:p>
    <w:p w14:paraId="71CFB931" w14:textId="64F35ED2" w:rsidR="00C32E09" w:rsidRPr="00C32E09" w:rsidRDefault="00C32E09" w:rsidP="00C32E09">
      <w:pPr>
        <w:pStyle w:val="Compact"/>
      </w:pPr>
      <w:r w:rsidRPr="00C32E09">
        <w:rPr>
          <w:b/>
          <w:bCs/>
        </w:rPr>
        <w:t xml:space="preserve">Primary anchor. </w:t>
      </w:r>
      <w:r w:rsidRPr="00C32E09">
        <w:t>Colangelo et al., Nature Energy 11, 254-261 (2026). p. 3: "25% sustained cluster</w:t>
      </w:r>
      <w:r>
        <w:t>-</w:t>
      </w:r>
      <w:r w:rsidRPr="00C32E09">
        <w:t>level</w:t>
      </w:r>
      <w:r>
        <w:t xml:space="preserve"> </w:t>
      </w:r>
      <w:r w:rsidRPr="00C32E09">
        <w:t>peak-power reduction for 3 hours" on a 256-GPU cluster running a mixed AI workload</w:t>
      </w:r>
      <w:r>
        <w:t xml:space="preserve"> </w:t>
      </w:r>
      <w:r w:rsidRPr="00C32E09">
        <w:t>ensemble at Oracle Phoenix. Validated across 33 experiments covering DVFS (</w:t>
      </w:r>
      <w:proofErr w:type="spellStart"/>
      <w:r w:rsidRPr="00C32E09">
        <w:t>nvidia-smi</w:t>
      </w:r>
      <w:proofErr w:type="spellEnd"/>
      <w:r>
        <w:t xml:space="preserve"> </w:t>
      </w:r>
      <w:r w:rsidRPr="00C32E09">
        <w:t>power capping), job pausing, and GPU resource reallocation. Two production-scale DR events</w:t>
      </w:r>
      <w:r>
        <w:t xml:space="preserve"> </w:t>
      </w:r>
      <w:r w:rsidRPr="00C32E09">
        <w:t>with utility partners (Arizona Public Service, Salt River Project) plus synthetic CAISO replay.</w:t>
      </w:r>
      <w:r>
        <w:t xml:space="preserve"> </w:t>
      </w:r>
      <w:r w:rsidRPr="00C32E09">
        <w:t>This is the closest empirical anchor to a grid-dispatch event at the workload scale and the</w:t>
      </w:r>
      <w:r>
        <w:t xml:space="preserve"> </w:t>
      </w:r>
      <w:r w:rsidRPr="00C32E09">
        <w:t>framework's cornerstone DATA grounding.</w:t>
      </w:r>
    </w:p>
    <w:p w14:paraId="24C042E3" w14:textId="77777777" w:rsidR="00C32E09" w:rsidRDefault="00C32E09" w:rsidP="00C32E09">
      <w:pPr>
        <w:pStyle w:val="Compact"/>
        <w:rPr>
          <w:b/>
          <w:bCs/>
        </w:rPr>
      </w:pPr>
    </w:p>
    <w:p w14:paraId="490086B6" w14:textId="67899905" w:rsidR="00C32E09" w:rsidRPr="00C32E09" w:rsidRDefault="00C32E09" w:rsidP="00C32E09">
      <w:pPr>
        <w:pStyle w:val="Compact"/>
        <w:rPr>
          <w:b/>
          <w:bCs/>
        </w:rPr>
      </w:pPr>
      <w:r w:rsidRPr="00C32E09">
        <w:rPr>
          <w:b/>
          <w:bCs/>
        </w:rPr>
        <w:t>Convergence corroborators (hyperscale, ~20-25%).</w:t>
      </w:r>
    </w:p>
    <w:p w14:paraId="32C6428E" w14:textId="77777777" w:rsidR="00C32E09" w:rsidRDefault="00C32E09" w:rsidP="00B8415C">
      <w:pPr>
        <w:pStyle w:val="Compact"/>
        <w:numPr>
          <w:ilvl w:val="0"/>
          <w:numId w:val="15"/>
        </w:numPr>
      </w:pPr>
      <w:r w:rsidRPr="00C32E09">
        <w:rPr>
          <w:b/>
          <w:bCs/>
        </w:rPr>
        <w:t xml:space="preserve">Patel ASPLOS 2024 </w:t>
      </w:r>
      <w:proofErr w:type="gramStart"/>
      <w:r w:rsidRPr="00C32E09">
        <w:t xml:space="preserve">( </w:t>
      </w:r>
      <w:r w:rsidRPr="00C32E09">
        <w:rPr>
          <w:b/>
          <w:bCs/>
        </w:rPr>
        <w:t>CV</w:t>
      </w:r>
      <w:proofErr w:type="gramEnd"/>
      <w:r w:rsidRPr="00C32E09">
        <w:rPr>
          <w:b/>
          <w:bCs/>
        </w:rPr>
        <w:t xml:space="preserve">-006, CV-008). </w:t>
      </w:r>
      <w:r w:rsidRPr="00C32E09">
        <w:t>~21 % inference cluster power headroom from</w:t>
      </w:r>
      <w:r>
        <w:t xml:space="preserve"> </w:t>
      </w:r>
      <w:r w:rsidRPr="00C32E09">
        <w:t>uncorrelated phase peaks in production Azure. ~20% DVFS peak reduction at minor</w:t>
      </w:r>
      <w:r>
        <w:t xml:space="preserve"> </w:t>
      </w:r>
      <w:r w:rsidRPr="00C32E09">
        <w:t>performance loss (Fig. 10a, Insight 7). ~3% training cluster headroom - a dramatic</w:t>
      </w:r>
      <w:r>
        <w:t xml:space="preserve"> </w:t>
      </w:r>
      <w:r w:rsidRPr="00C32E09">
        <w:t>asymmetry that motivates the inference focus.</w:t>
      </w:r>
    </w:p>
    <w:p w14:paraId="5A6CA500" w14:textId="77777777" w:rsidR="00C32E09" w:rsidRDefault="00C32E09" w:rsidP="00B8415C">
      <w:pPr>
        <w:pStyle w:val="Compact"/>
        <w:numPr>
          <w:ilvl w:val="0"/>
          <w:numId w:val="15"/>
        </w:numPr>
      </w:pPr>
      <w:r w:rsidRPr="00C32E09">
        <w:rPr>
          <w:b/>
          <w:bCs/>
        </w:rPr>
        <w:t xml:space="preserve">Dynamo (Wu et al. 2016, CV-024). </w:t>
      </w:r>
      <w:r w:rsidRPr="00C32E09">
        <w:t>Figure 13: web-server latency degrades slowly within a</w:t>
      </w:r>
      <w:r>
        <w:t xml:space="preserve"> </w:t>
      </w:r>
      <w:r w:rsidRPr="00C32E09">
        <w:t>20% power reduction range, more steeply beyond. Pre-LLM hardware (Haswell CPUs)</w:t>
      </w:r>
      <w:r>
        <w:t xml:space="preserve"> </w:t>
      </w:r>
      <w:r w:rsidRPr="00C32E09">
        <w:t>and pre-LLM workloads (web/cache/MySQL/</w:t>
      </w:r>
      <w:proofErr w:type="gramStart"/>
      <w:r w:rsidRPr="00C32E09">
        <w:t>Hadoop )</w:t>
      </w:r>
      <w:proofErr w:type="gramEnd"/>
      <w:r w:rsidRPr="00C32E09">
        <w:t>, so not directly evidence of LLM</w:t>
      </w:r>
      <w:r>
        <w:t xml:space="preserve"> </w:t>
      </w:r>
      <w:r w:rsidRPr="00C32E09">
        <w:t>DVFS amenability- but corroborates the underlying capping mechanism's production</w:t>
      </w:r>
      <w:r>
        <w:t xml:space="preserve"> </w:t>
      </w:r>
      <w:r w:rsidRPr="00C32E09">
        <w:t>reliability and reveals the ~20% knee as a workload-mix-invariant pattern at hyperscale.</w:t>
      </w:r>
    </w:p>
    <w:p w14:paraId="2D4A7EAE" w14:textId="77777777" w:rsidR="00C32E09" w:rsidRDefault="00C32E09" w:rsidP="00B8415C">
      <w:pPr>
        <w:pStyle w:val="Compact"/>
        <w:numPr>
          <w:ilvl w:val="0"/>
          <w:numId w:val="15"/>
        </w:numPr>
      </w:pPr>
      <w:r w:rsidRPr="00C32E09">
        <w:rPr>
          <w:b/>
          <w:bCs/>
        </w:rPr>
        <w:t xml:space="preserve">Thunderbolt (Li et al. 2020, CV-025). </w:t>
      </w:r>
      <w:r w:rsidRPr="00C32E09">
        <w:t>Controlled production-hardware comparison of</w:t>
      </w:r>
      <w:r>
        <w:t xml:space="preserve"> </w:t>
      </w:r>
      <w:r w:rsidRPr="00C32E09">
        <w:t>three capping mechanisms on Intel Skylake: CPU bandwidth control 0.34 normalized</w:t>
      </w:r>
      <w:r>
        <w:t xml:space="preserve"> </w:t>
      </w:r>
      <w:r w:rsidRPr="00C32E09">
        <w:t xml:space="preserve">power at maximum, DVFS 0.57, RAPL 0.22; response times 1 </w:t>
      </w:r>
      <w:proofErr w:type="spellStart"/>
      <w:r w:rsidRPr="00C32E09">
        <w:t>ms</w:t>
      </w:r>
      <w:proofErr w:type="spellEnd"/>
      <w:r w:rsidRPr="00C32E09">
        <w:t xml:space="preserve"> (bandwidth control) vs.</w:t>
      </w:r>
      <w:r>
        <w:t xml:space="preserve"> </w:t>
      </w:r>
      <w:r w:rsidRPr="00C32E09">
        <w:t xml:space="preserve">100 </w:t>
      </w:r>
      <w:proofErr w:type="spellStart"/>
      <w:r w:rsidRPr="00C32E09">
        <w:t>μs</w:t>
      </w:r>
      <w:proofErr w:type="spellEnd"/>
      <w:r w:rsidRPr="00C32E09">
        <w:t xml:space="preserve"> (DVFS, RAPL). Mechanism-envelope evidence independent </w:t>
      </w:r>
      <w:proofErr w:type="spellStart"/>
      <w:r w:rsidRPr="00C32E09">
        <w:t>ofLLM</w:t>
      </w:r>
      <w:proofErr w:type="spellEnd"/>
      <w:r w:rsidRPr="00C32E09">
        <w:t>-specific</w:t>
      </w:r>
      <w:r>
        <w:t xml:space="preserve"> </w:t>
      </w:r>
      <w:r w:rsidRPr="00C32E09">
        <w:t>amenability.</w:t>
      </w:r>
    </w:p>
    <w:p w14:paraId="141D912B" w14:textId="77777777" w:rsidR="00C32E09" w:rsidRDefault="00C32E09" w:rsidP="00B8415C">
      <w:pPr>
        <w:pStyle w:val="Compact"/>
        <w:numPr>
          <w:ilvl w:val="0"/>
          <w:numId w:val="15"/>
        </w:numPr>
      </w:pPr>
      <w:proofErr w:type="spellStart"/>
      <w:r w:rsidRPr="00C32E09">
        <w:rPr>
          <w:b/>
          <w:bCs/>
        </w:rPr>
        <w:lastRenderedPageBreak/>
        <w:t>Kakolyris</w:t>
      </w:r>
      <w:proofErr w:type="spellEnd"/>
      <w:r w:rsidRPr="00C32E09">
        <w:rPr>
          <w:b/>
          <w:bCs/>
        </w:rPr>
        <w:t xml:space="preserve"> </w:t>
      </w:r>
      <w:r w:rsidRPr="00C32E09">
        <w:t xml:space="preserve">IEEE </w:t>
      </w:r>
      <w:r w:rsidRPr="00C32E09">
        <w:rPr>
          <w:b/>
          <w:bCs/>
        </w:rPr>
        <w:t xml:space="preserve">CAL 2024 </w:t>
      </w:r>
      <w:proofErr w:type="gramStart"/>
      <w:r w:rsidRPr="00C32E09">
        <w:t xml:space="preserve">( </w:t>
      </w:r>
      <w:r w:rsidRPr="00C32E09">
        <w:rPr>
          <w:b/>
          <w:bCs/>
        </w:rPr>
        <w:t>CV</w:t>
      </w:r>
      <w:proofErr w:type="gramEnd"/>
      <w:r w:rsidRPr="00C32E09">
        <w:rPr>
          <w:b/>
          <w:bCs/>
        </w:rPr>
        <w:t xml:space="preserve">-007). </w:t>
      </w:r>
      <w:r w:rsidRPr="00C32E09">
        <w:t>Iteration-level DVFS on GPT-J-6B inference serving</w:t>
      </w:r>
      <w:r>
        <w:t xml:space="preserve"> </w:t>
      </w:r>
      <w:r w:rsidRPr="00C32E09">
        <w:t>achieves 22.8-45.5% energy gains depending on SLO strictness, measured against max</w:t>
      </w:r>
      <w:r>
        <w:t>-</w:t>
      </w:r>
      <w:r w:rsidRPr="00C32E09">
        <w:t>frequency</w:t>
      </w:r>
      <w:r>
        <w:t xml:space="preserve"> </w:t>
      </w:r>
      <w:r w:rsidRPr="00C32E09">
        <w:t xml:space="preserve">Triton baseline on NVIDIA A100. Critical caveat: measures </w:t>
      </w:r>
      <w:r w:rsidRPr="00C32E09">
        <w:rPr>
          <w:b/>
          <w:bCs/>
        </w:rPr>
        <w:t xml:space="preserve">energy </w:t>
      </w:r>
      <w:r w:rsidRPr="00C32E09">
        <w:t>(joules over</w:t>
      </w:r>
      <w:r>
        <w:t xml:space="preserve"> </w:t>
      </w:r>
      <w:r w:rsidRPr="00C32E09">
        <w:t>time), not sustained peak power. Directional support for the</w:t>
      </w:r>
      <w:r>
        <w:t xml:space="preserve"> </w:t>
      </w:r>
      <w:r w:rsidRPr="00C32E09">
        <w:t xml:space="preserve">"looser SLO </w:t>
      </w:r>
      <w:r w:rsidRPr="00C32E09">
        <w:rPr>
          <w:rFonts w:ascii="Segoe UI Symbol" w:hAnsi="Segoe UI Symbol" w:cs="Segoe UI Symbol"/>
        </w:rPr>
        <w:t>➔</w:t>
      </w:r>
      <w:r w:rsidRPr="00C32E09">
        <w:t xml:space="preserve"> higher DVFS</w:t>
      </w:r>
      <w:r>
        <w:t xml:space="preserve"> </w:t>
      </w:r>
      <w:r w:rsidRPr="00C32E09">
        <w:t>gain" claim used in ensemble construction; not a calibrated peak-power coefficient.</w:t>
      </w:r>
    </w:p>
    <w:p w14:paraId="6637FD46" w14:textId="36D6B0B2" w:rsidR="00C32E09" w:rsidRPr="00C32E09" w:rsidRDefault="00C32E09" w:rsidP="00B8415C">
      <w:pPr>
        <w:pStyle w:val="Compact"/>
        <w:numPr>
          <w:ilvl w:val="0"/>
          <w:numId w:val="15"/>
        </w:numPr>
      </w:pPr>
      <w:proofErr w:type="spellStart"/>
      <w:r w:rsidRPr="00C32E09">
        <w:rPr>
          <w:b/>
          <w:bCs/>
        </w:rPr>
        <w:t>DynamoLLM</w:t>
      </w:r>
      <w:proofErr w:type="spellEnd"/>
      <w:r w:rsidRPr="00C32E09">
        <w:rPr>
          <w:b/>
          <w:bCs/>
        </w:rPr>
        <w:t xml:space="preserve"> </w:t>
      </w:r>
      <w:proofErr w:type="gramStart"/>
      <w:r w:rsidRPr="00C32E09">
        <w:t xml:space="preserve">( </w:t>
      </w:r>
      <w:r w:rsidRPr="00C32E09">
        <w:rPr>
          <w:b/>
          <w:bCs/>
        </w:rPr>
        <w:t>Stojkovic</w:t>
      </w:r>
      <w:proofErr w:type="gramEnd"/>
      <w:r w:rsidRPr="00C32E09">
        <w:rPr>
          <w:b/>
          <w:bCs/>
        </w:rPr>
        <w:t xml:space="preserve"> HPCA 2025, CV-005). </w:t>
      </w:r>
      <w:r w:rsidRPr="00C32E09">
        <w:t>35% energy savings on a 1-hour cluster</w:t>
      </w:r>
      <w:r>
        <w:t>-</w:t>
      </w:r>
      <w:r w:rsidRPr="00C32E09">
        <w:t>level</w:t>
      </w:r>
      <w:r>
        <w:t xml:space="preserve"> </w:t>
      </w:r>
      <w:r w:rsidRPr="00C32E09">
        <w:t>Conversation workload experiment; 56% on a one-week Coding service simulation.</w:t>
      </w:r>
      <w:r>
        <w:t xml:space="preserve"> </w:t>
      </w:r>
      <w:r w:rsidRPr="00C32E09">
        <w:t>Service-level cluster-level averages, not peak-power figures, but the magnitude</w:t>
      </w:r>
      <w:r>
        <w:t xml:space="preserve"> </w:t>
      </w:r>
      <w:r w:rsidRPr="00C32E09">
        <w:t>convergence reinforces the framework anchor.</w:t>
      </w:r>
    </w:p>
    <w:p w14:paraId="332DF810" w14:textId="77777777" w:rsidR="00C32E09" w:rsidRDefault="00C32E09" w:rsidP="00C32E09">
      <w:pPr>
        <w:pStyle w:val="Compact"/>
        <w:rPr>
          <w:b/>
          <w:bCs/>
        </w:rPr>
      </w:pPr>
    </w:p>
    <w:p w14:paraId="457EE0E7" w14:textId="4809F3D6" w:rsidR="00C32E09" w:rsidRPr="00C32E09" w:rsidRDefault="00C32E09" w:rsidP="00C32E09">
      <w:pPr>
        <w:pStyle w:val="Compact"/>
      </w:pPr>
      <w:r w:rsidRPr="00C32E09">
        <w:rPr>
          <w:b/>
          <w:bCs/>
        </w:rPr>
        <w:t xml:space="preserve">Critical interpretation caveat </w:t>
      </w:r>
      <w:proofErr w:type="gramStart"/>
      <w:r w:rsidRPr="00C32E09">
        <w:t xml:space="preserve">( </w:t>
      </w:r>
      <w:r w:rsidRPr="00C32E09">
        <w:rPr>
          <w:b/>
          <w:bCs/>
        </w:rPr>
        <w:t>Colangelo</w:t>
      </w:r>
      <w:proofErr w:type="gramEnd"/>
      <w:r w:rsidRPr="00C32E09">
        <w:rPr>
          <w:b/>
          <w:bCs/>
        </w:rPr>
        <w:t xml:space="preserve"> p. 5). </w:t>
      </w:r>
      <w:r w:rsidRPr="00C32E09">
        <w:t>"We observed a 5% reduction in energy" despite</w:t>
      </w:r>
      <w:r>
        <w:t xml:space="preserve"> </w:t>
      </w:r>
      <w:r w:rsidRPr="00C32E09">
        <w:t xml:space="preserve">25% peak power reduction - much of the deferred work returns post-event. </w:t>
      </w:r>
      <w:proofErr w:type="spellStart"/>
      <w:r w:rsidRPr="00C32E09">
        <w:t>DVFS_headroom</w:t>
      </w:r>
      <w:proofErr w:type="spellEnd"/>
      <w:r>
        <w:t xml:space="preserve"> </w:t>
      </w:r>
      <w:r w:rsidRPr="00C32E09">
        <w:t>is a peak power</w:t>
      </w:r>
      <w:r w:rsidRPr="00C32E09">
        <w:rPr>
          <w:b/>
          <w:bCs/>
        </w:rPr>
        <w:t xml:space="preserve"> </w:t>
      </w:r>
      <w:r w:rsidRPr="00C32E09">
        <w:t>parameter, the right quantity for resource adequacy (MW during the stress</w:t>
      </w:r>
      <w:r>
        <w:t xml:space="preserve"> </w:t>
      </w:r>
      <w:r w:rsidRPr="00C32E09">
        <w:t>hour). But this means at the source, DVFS partially substitutes for deferral: not all 25% of peak</w:t>
      </w:r>
      <w:r>
        <w:t xml:space="preserve"> </w:t>
      </w:r>
      <w:r w:rsidRPr="00C32E09">
        <w:t>power</w:t>
      </w:r>
      <w:r>
        <w:t xml:space="preserve"> </w:t>
      </w:r>
      <w:r w:rsidRPr="00C32E09">
        <w:t>reduction is new work-displacement distinct from what deferral does explicitly. The</w:t>
      </w:r>
      <w:r>
        <w:t xml:space="preserve"> </w:t>
      </w:r>
      <w:r w:rsidRPr="00C32E09">
        <w:t>framework handles this through sequential composition (§6.2): DVFS applies only to residual</w:t>
      </w:r>
      <w:r>
        <w:t xml:space="preserve"> </w:t>
      </w:r>
      <w:r w:rsidRPr="00C32E09">
        <w:t>inference after deferral has removed its NIW slice, so the same NIW MW cannot be counted</w:t>
      </w:r>
      <w:r>
        <w:t xml:space="preserve"> </w:t>
      </w:r>
      <w:r w:rsidRPr="00C32E09">
        <w:t>twice - it is either deferred (work pushed to post-event) or DVFS-reduced (work done at lower</w:t>
      </w:r>
      <w:r>
        <w:t xml:space="preserve"> </w:t>
      </w:r>
      <w:r w:rsidRPr="00C32E09">
        <w:t>power), not both.</w:t>
      </w:r>
    </w:p>
    <w:p w14:paraId="5D2831CC" w14:textId="77777777" w:rsidR="00C32E09" w:rsidRDefault="00C32E09" w:rsidP="00C32E09">
      <w:pPr>
        <w:pStyle w:val="Compact"/>
        <w:rPr>
          <w:b/>
          <w:bCs/>
        </w:rPr>
      </w:pPr>
    </w:p>
    <w:p w14:paraId="5BF3762F" w14:textId="77777777" w:rsidR="00C32E09" w:rsidRDefault="00C32E09" w:rsidP="00C32E09">
      <w:pPr>
        <w:pStyle w:val="Compact"/>
      </w:pPr>
      <w:r w:rsidRPr="00C32E09">
        <w:rPr>
          <w:b/>
          <w:bCs/>
        </w:rPr>
        <w:t xml:space="preserve">Category correction from prior framework. </w:t>
      </w:r>
      <w:r w:rsidRPr="00C32E09">
        <w:t>The prior framework computed FLEX_FRAC = 0.25</w:t>
      </w:r>
      <w:r>
        <w:t xml:space="preserve"> </w:t>
      </w:r>
      <w:r w:rsidRPr="00C32E09">
        <w:t>as a workload-tier-weighted sum: 0.10 x IW-F + 0.25 x IW-N + 0.45 x NIW, where the 0.10 / 0.25 /</w:t>
      </w:r>
      <w:r>
        <w:t xml:space="preserve"> </w:t>
      </w:r>
      <w:r w:rsidRPr="00C32E09">
        <w:t>0.45 coefficients were sourced to Colangelo's "Flex 1 / Flex 2 / Flex 3" terminology. Verification</w:t>
      </w:r>
      <w:r>
        <w:t xml:space="preserve"> </w:t>
      </w:r>
      <w:r w:rsidRPr="00C32E09">
        <w:t>against Colangelo p. 2 confirms these are SLA performance-tolerance tiers: "Flex 1: up to 10%</w:t>
      </w:r>
      <w:r w:rsidRPr="00C32E09">
        <w:t xml:space="preserve"> </w:t>
      </w:r>
      <w:r w:rsidRPr="00C32E09">
        <w:t xml:space="preserve">performance (average throughput) reduction allowed over a </w:t>
      </w:r>
      <w:proofErr w:type="gramStart"/>
      <w:r w:rsidRPr="00C32E09">
        <w:t>3-6 hour</w:t>
      </w:r>
      <w:proofErr w:type="gramEnd"/>
      <w:r w:rsidRPr="00C32E09">
        <w:t xml:space="preserve"> period; Flex 2: up to 25%</w:t>
      </w:r>
      <w:r>
        <w:t xml:space="preserve"> </w:t>
      </w:r>
      <w:r w:rsidRPr="00C32E09">
        <w:t xml:space="preserve">allowed; Flex 3: up to 50% allowed." They describe how much </w:t>
      </w:r>
      <w:r w:rsidRPr="00C32E09">
        <w:rPr>
          <w:i/>
          <w:iCs/>
        </w:rPr>
        <w:t xml:space="preserve">throughput degradation </w:t>
      </w:r>
      <w:r w:rsidRPr="00C32E09">
        <w:t>the</w:t>
      </w:r>
      <w:r>
        <w:t xml:space="preserve"> </w:t>
      </w:r>
      <w:r w:rsidRPr="00C32E09">
        <w:t xml:space="preserve">workload tolerates, not how much </w:t>
      </w:r>
      <w:r w:rsidRPr="00C32E09">
        <w:rPr>
          <w:i/>
          <w:iCs/>
        </w:rPr>
        <w:t xml:space="preserve">power reduction </w:t>
      </w:r>
      <w:r w:rsidRPr="00C32E09">
        <w:t>the orchestration extracts within that</w:t>
      </w:r>
      <w:r>
        <w:t xml:space="preserve"> </w:t>
      </w:r>
      <w:r w:rsidRPr="00C32E09">
        <w:t>tolerance.</w:t>
      </w:r>
      <w:r>
        <w:t xml:space="preserve"> </w:t>
      </w:r>
      <w:r w:rsidRPr="00C32E09">
        <w:t>Using SLA tolerances as power-reduction coefficients is a category error: the two</w:t>
      </w:r>
      <w:r>
        <w:t xml:space="preserve"> </w:t>
      </w:r>
      <w:r w:rsidRPr="00C32E09">
        <w:t>concepts are related but not interchangeable. The 25% measured cluster-level power reduction</w:t>
      </w:r>
      <w:r>
        <w:t xml:space="preserve"> </w:t>
      </w:r>
      <w:r w:rsidRPr="00C32E09">
        <w:t>in Colangelo came from a workload mix across four ensembles under a combined DVFS +pausing+ reallocation policy, not from a per-tier coefficient mapping.</w:t>
      </w:r>
    </w:p>
    <w:p w14:paraId="5FA9DB20" w14:textId="77777777" w:rsidR="00C32E09" w:rsidRDefault="00C32E09" w:rsidP="00C32E09">
      <w:pPr>
        <w:pStyle w:val="Compact"/>
        <w:rPr>
          <w:b/>
          <w:bCs/>
        </w:rPr>
      </w:pPr>
    </w:p>
    <w:p w14:paraId="663DD0B6" w14:textId="2609C3D0" w:rsidR="00C32E09" w:rsidRPr="00C32E09" w:rsidRDefault="00C32E09" w:rsidP="00C32E09">
      <w:pPr>
        <w:pStyle w:val="Compact"/>
      </w:pPr>
      <w:r w:rsidRPr="00C32E09">
        <w:rPr>
          <w:b/>
          <w:bCs/>
        </w:rPr>
        <w:t xml:space="preserve">Defensible reformulation. </w:t>
      </w:r>
      <w:proofErr w:type="spellStart"/>
      <w:r w:rsidRPr="00C32E09">
        <w:t>DVFS_headroom</w:t>
      </w:r>
      <w:proofErr w:type="spellEnd"/>
      <w:r w:rsidRPr="00C32E09">
        <w:t xml:space="preserve"> is ensemble-dependent scenario construction</w:t>
      </w:r>
    </w:p>
    <w:p w14:paraId="6C7CB187" w14:textId="77777777" w:rsidR="00C32E09" w:rsidRPr="00C32E09" w:rsidRDefault="00C32E09" w:rsidP="00C32E09">
      <w:pPr>
        <w:pStyle w:val="Compact"/>
      </w:pPr>
      <w:r w:rsidRPr="00C32E09">
        <w:t>anchored on Colangelo's measured 25% at the balanced (Ensemble B) case, with ensemble</w:t>
      </w:r>
    </w:p>
    <w:p w14:paraId="06B378F7" w14:textId="77777777" w:rsidR="00C32E09" w:rsidRPr="00C32E09" w:rsidRDefault="00C32E09" w:rsidP="00C32E09">
      <w:pPr>
        <w:pStyle w:val="Compact"/>
      </w:pPr>
      <w:r w:rsidRPr="00C32E09">
        <w:t xml:space="preserve">variation supported directionally by </w:t>
      </w:r>
      <w:proofErr w:type="spellStart"/>
      <w:r w:rsidRPr="00C32E09">
        <w:t>Kakolyris's</w:t>
      </w:r>
      <w:proofErr w:type="spellEnd"/>
      <w:r w:rsidRPr="00C32E09">
        <w:t xml:space="preserve"> SLO-tightness slope:</w:t>
      </w:r>
    </w:p>
    <w:p w14:paraId="53904C5C" w14:textId="77777777" w:rsidR="009E3D88" w:rsidRDefault="00C32E09" w:rsidP="00B8415C">
      <w:pPr>
        <w:pStyle w:val="Compact"/>
        <w:numPr>
          <w:ilvl w:val="0"/>
          <w:numId w:val="16"/>
        </w:numPr>
      </w:pPr>
      <w:r w:rsidRPr="00C32E09">
        <w:rPr>
          <w:b/>
          <w:bCs/>
        </w:rPr>
        <w:t xml:space="preserve">Ensemble A (IW-F dominant, tight SLO): 0.18. </w:t>
      </w:r>
      <w:proofErr w:type="spellStart"/>
      <w:r w:rsidRPr="00C32E09">
        <w:t>Kakolyris</w:t>
      </w:r>
      <w:proofErr w:type="spellEnd"/>
      <w:r w:rsidRPr="00C32E09">
        <w:t xml:space="preserve"> reports lower DVFS gain at tight</w:t>
      </w:r>
      <w:r w:rsidR="009E3D88">
        <w:t xml:space="preserve"> </w:t>
      </w:r>
      <w:r w:rsidRPr="00C32E09">
        <w:t>SLO; consistent with tighter latency budgets allowing less frequency reduction before</w:t>
      </w:r>
      <w:r w:rsidR="009E3D88">
        <w:t xml:space="preserve"> </w:t>
      </w:r>
      <w:proofErr w:type="spellStart"/>
      <w:r w:rsidRPr="00C32E09">
        <w:t>SLObreach.</w:t>
      </w:r>
      <w:proofErr w:type="spellEnd"/>
    </w:p>
    <w:p w14:paraId="789A9DD3" w14:textId="77777777" w:rsidR="009E3D88" w:rsidRDefault="00C32E09" w:rsidP="00B8415C">
      <w:pPr>
        <w:pStyle w:val="Compact"/>
        <w:numPr>
          <w:ilvl w:val="0"/>
          <w:numId w:val="16"/>
        </w:numPr>
      </w:pPr>
      <w:r w:rsidRPr="00C32E09">
        <w:rPr>
          <w:b/>
          <w:bCs/>
        </w:rPr>
        <w:t xml:space="preserve">Ensemble B (balanced, Colangelo-grounded): 0.25. </w:t>
      </w:r>
      <w:r w:rsidRPr="00C32E09">
        <w:t>Direct from cluster measurement on</w:t>
      </w:r>
      <w:r w:rsidR="009E3D88">
        <w:t xml:space="preserve"> </w:t>
      </w:r>
      <w:r w:rsidRPr="00C32E09">
        <w:t>mixed AI workload ensemble.</w:t>
      </w:r>
    </w:p>
    <w:p w14:paraId="7FD82A35" w14:textId="08770FEA" w:rsidR="00C32E09" w:rsidRPr="00C32E09" w:rsidRDefault="00C32E09" w:rsidP="00B8415C">
      <w:pPr>
        <w:pStyle w:val="Compact"/>
        <w:numPr>
          <w:ilvl w:val="0"/>
          <w:numId w:val="16"/>
        </w:numPr>
      </w:pPr>
      <w:r w:rsidRPr="00C32E09">
        <w:rPr>
          <w:b/>
          <w:bCs/>
        </w:rPr>
        <w:lastRenderedPageBreak/>
        <w:t xml:space="preserve">Ensemble C (NIW dominant, loose SLO): 0.32. </w:t>
      </w:r>
      <w:proofErr w:type="spellStart"/>
      <w:r w:rsidRPr="00C32E09">
        <w:t>Kakolyris</w:t>
      </w:r>
      <w:proofErr w:type="spellEnd"/>
      <w:r w:rsidRPr="00C32E09">
        <w:t xml:space="preserve"> reports up to 45.5% energy gain</w:t>
      </w:r>
      <w:r w:rsidR="009E3D88">
        <w:t xml:space="preserve"> </w:t>
      </w:r>
      <w:r w:rsidRPr="00C32E09">
        <w:t>at loose SLO; conservatively scaled to peak-power reduction (energy gains exceed peak</w:t>
      </w:r>
      <w:r w:rsidR="009E3D88">
        <w:t xml:space="preserve"> </w:t>
      </w:r>
      <w:r w:rsidRPr="00C32E09">
        <w:t>power</w:t>
      </w:r>
      <w:r w:rsidR="009E3D88">
        <w:t xml:space="preserve"> </w:t>
      </w:r>
      <w:r w:rsidRPr="00C32E09">
        <w:t>gains because energy integrates over time).</w:t>
      </w:r>
    </w:p>
    <w:p w14:paraId="51A6249F" w14:textId="77777777" w:rsidR="009E3D88" w:rsidRDefault="009E3D88" w:rsidP="00C32E09">
      <w:pPr>
        <w:pStyle w:val="Compact"/>
      </w:pPr>
    </w:p>
    <w:p w14:paraId="22D83841" w14:textId="5AAA4857" w:rsidR="00C32E09" w:rsidRPr="00C32E09" w:rsidRDefault="00C32E09" w:rsidP="00C32E09">
      <w:pPr>
        <w:pStyle w:val="Compact"/>
      </w:pPr>
      <w:r w:rsidRPr="00C32E09">
        <w:t>The ensemble slope is scenario construction. The 25% anchor is direct measurement.</w:t>
      </w:r>
    </w:p>
    <w:p w14:paraId="2055236E" w14:textId="77777777" w:rsidR="00E60661" w:rsidRDefault="00E60661" w:rsidP="00C32E09">
      <w:pPr>
        <w:pStyle w:val="Compact"/>
        <w:rPr>
          <w:b/>
          <w:bCs/>
        </w:rPr>
      </w:pPr>
    </w:p>
    <w:p w14:paraId="5BF2D8F9" w14:textId="6A0D6E80" w:rsidR="00C32E09" w:rsidRPr="00C32E09" w:rsidRDefault="00C32E09" w:rsidP="00C32E09">
      <w:pPr>
        <w:pStyle w:val="Compact"/>
        <w:rPr>
          <w:b/>
          <w:bCs/>
        </w:rPr>
      </w:pPr>
      <w:r w:rsidRPr="00C32E09">
        <w:rPr>
          <w:b/>
          <w:bCs/>
        </w:rPr>
        <w:t xml:space="preserve">Production substrate evidence </w:t>
      </w:r>
      <w:proofErr w:type="gramStart"/>
      <w:r w:rsidRPr="00C32E09">
        <w:t xml:space="preserve">( </w:t>
      </w:r>
      <w:r w:rsidRPr="00C32E09">
        <w:rPr>
          <w:b/>
          <w:bCs/>
        </w:rPr>
        <w:t>corroborator</w:t>
      </w:r>
      <w:proofErr w:type="gramEnd"/>
      <w:r w:rsidRPr="00C32E09">
        <w:rPr>
          <w:b/>
          <w:bCs/>
        </w:rPr>
        <w:t xml:space="preserve"> for delivery infrastructure, not magnitude).</w:t>
      </w:r>
    </w:p>
    <w:p w14:paraId="5C9D9446" w14:textId="77777777" w:rsidR="00E60661" w:rsidRDefault="00C32E09" w:rsidP="00B8415C">
      <w:pPr>
        <w:pStyle w:val="Compact"/>
        <w:numPr>
          <w:ilvl w:val="0"/>
          <w:numId w:val="17"/>
        </w:numPr>
      </w:pPr>
      <w:r w:rsidRPr="00C32E09">
        <w:t xml:space="preserve">Wu et al. 2016 (Dynamo): three years of production deployment </w:t>
      </w:r>
      <w:proofErr w:type="spellStart"/>
      <w:r w:rsidRPr="00C32E09">
        <w:t>ofRAPL</w:t>
      </w:r>
      <w:proofErr w:type="spellEnd"/>
      <w:r w:rsidRPr="00C32E09">
        <w:t>-based power</w:t>
      </w:r>
      <w:r w:rsidR="00E60661">
        <w:t xml:space="preserve"> </w:t>
      </w:r>
      <w:r w:rsidRPr="00C32E09">
        <w:t>capping across Face book's datacenter fleet, sub-10-second capping response latency, 18</w:t>
      </w:r>
      <w:r w:rsidR="00E60661">
        <w:t xml:space="preserve"> </w:t>
      </w:r>
      <w:r w:rsidRPr="00C32E09">
        <w:t>prevented potential outages in 6 months.</w:t>
      </w:r>
    </w:p>
    <w:p w14:paraId="0E1ECC98" w14:textId="77777777" w:rsidR="00E60661" w:rsidRDefault="00C32E09" w:rsidP="00B8415C">
      <w:pPr>
        <w:pStyle w:val="Compact"/>
        <w:numPr>
          <w:ilvl w:val="0"/>
          <w:numId w:val="17"/>
        </w:numPr>
      </w:pPr>
      <w:r w:rsidRPr="00C32E09">
        <w:t>Li et al. 2020 (Thunderbolt): two-year deployment across multiple Google clusters with 1-2</w:t>
      </w:r>
      <w:r w:rsidR="00E60661">
        <w:t xml:space="preserve"> </w:t>
      </w:r>
      <w:r w:rsidRPr="00C32E09">
        <w:t>second end-to-end response. Task-level QoS differentiation throttles throughput-oriented</w:t>
      </w:r>
      <w:r w:rsidR="00E60661">
        <w:t xml:space="preserve"> </w:t>
      </w:r>
      <w:r w:rsidRPr="00C32E09">
        <w:t>tasks while exempting latency-sensitive tasks co-located on the same hardware. Surgical</w:t>
      </w:r>
      <w:r w:rsidR="00E60661" w:rsidRPr="00E60661">
        <w:t xml:space="preserve"> </w:t>
      </w:r>
      <w:r w:rsidRPr="00C32E09">
        <w:t>commitment is a production capability, not aspirational.</w:t>
      </w:r>
      <w:r w:rsidR="00E60661">
        <w:t xml:space="preserve"> </w:t>
      </w:r>
    </w:p>
    <w:p w14:paraId="015281B3" w14:textId="23FADE2A" w:rsidR="00C32E09" w:rsidRPr="00C32E09" w:rsidRDefault="00C32E09" w:rsidP="00B8415C">
      <w:pPr>
        <w:pStyle w:val="Compact"/>
        <w:numPr>
          <w:ilvl w:val="0"/>
          <w:numId w:val="17"/>
        </w:numPr>
      </w:pPr>
      <w:r w:rsidRPr="00C32E09">
        <w:t>Zhang et al. 2021 (Flex): Microsoft Azure production deployments at 42% of reserve</w:t>
      </w:r>
      <w:r w:rsidR="00E60661">
        <w:t xml:space="preserve"> </w:t>
      </w:r>
      <w:r w:rsidRPr="00C32E09">
        <w:t>allocation; &lt;5% stranded power; up to 33% additional servers deployable.</w:t>
      </w:r>
    </w:p>
    <w:p w14:paraId="4BC4579E" w14:textId="77777777" w:rsidR="00DE3DDD" w:rsidRDefault="00DE3DDD" w:rsidP="00C32E09">
      <w:pPr>
        <w:pStyle w:val="Compact"/>
      </w:pPr>
    </w:p>
    <w:p w14:paraId="056D3FAF" w14:textId="71A705EC" w:rsidR="00C32E09" w:rsidRPr="00C32E09" w:rsidRDefault="00C32E09" w:rsidP="00C32E09">
      <w:pPr>
        <w:pStyle w:val="Compact"/>
      </w:pPr>
      <w:r w:rsidRPr="00C32E09">
        <w:t xml:space="preserve">These do not directly ground </w:t>
      </w:r>
      <w:proofErr w:type="spellStart"/>
      <w:r w:rsidRPr="00C32E09">
        <w:t>DVFS_headroom</w:t>
      </w:r>
      <w:proofErr w:type="spellEnd"/>
      <w:r w:rsidRPr="00C32E09">
        <w:t xml:space="preserve"> magnitude (Colangelo, Patel, and </w:t>
      </w:r>
      <w:proofErr w:type="spellStart"/>
      <w:r w:rsidRPr="00C32E09">
        <w:t>Kakolyris</w:t>
      </w:r>
      <w:proofErr w:type="spellEnd"/>
      <w:r w:rsidRPr="00C32E09">
        <w:t xml:space="preserve"> do);</w:t>
      </w:r>
      <w:r w:rsidR="00DE3DDD">
        <w:t xml:space="preserve"> </w:t>
      </w:r>
      <w:r w:rsidRPr="00C32E09">
        <w:t>they ground the production-reliability of the underlying enforcement mechanism.</w:t>
      </w:r>
    </w:p>
    <w:p w14:paraId="6EEBC45D" w14:textId="77777777" w:rsidR="00DE3DDD" w:rsidRDefault="00DE3DDD" w:rsidP="00C32E09">
      <w:pPr>
        <w:pStyle w:val="Compact"/>
        <w:rPr>
          <w:b/>
          <w:bCs/>
        </w:rPr>
      </w:pPr>
    </w:p>
    <w:p w14:paraId="3597C703" w14:textId="6378867D" w:rsidR="00C32E09" w:rsidRDefault="00C32E09" w:rsidP="00C32E09">
      <w:pPr>
        <w:pStyle w:val="Compact"/>
        <w:pBdr>
          <w:bottom w:val="single" w:sz="12" w:space="1" w:color="auto"/>
        </w:pBdr>
      </w:pPr>
      <w:r w:rsidRPr="00C32E09">
        <w:rPr>
          <w:b/>
          <w:bCs/>
        </w:rPr>
        <w:t xml:space="preserve">CV workbook ties. </w:t>
      </w:r>
      <w:r w:rsidRPr="00C32E09">
        <w:t>Colangelo direct, CV-005 (</w:t>
      </w:r>
      <w:proofErr w:type="spellStart"/>
      <w:r w:rsidRPr="00C32E09">
        <w:t>DynamoLLM</w:t>
      </w:r>
      <w:proofErr w:type="spellEnd"/>
      <w:r w:rsidRPr="00C32E09">
        <w:t>), CV-006/CV-008 (Patel), CV-007</w:t>
      </w:r>
      <w:r w:rsidR="00DE3DDD">
        <w:t xml:space="preserve"> </w:t>
      </w:r>
      <w:r w:rsidRPr="00C32E09">
        <w:t>(</w:t>
      </w:r>
      <w:proofErr w:type="spellStart"/>
      <w:r w:rsidRPr="00C32E09">
        <w:t>Kakolyris</w:t>
      </w:r>
      <w:proofErr w:type="spellEnd"/>
      <w:r w:rsidRPr="00C32E09">
        <w:t>), CV-013 (</w:t>
      </w:r>
      <w:proofErr w:type="spellStart"/>
      <w:r w:rsidRPr="00C32E09">
        <w:t>DynamoLLM</w:t>
      </w:r>
      <w:proofErr w:type="spellEnd"/>
      <w:r w:rsidRPr="00C32E09">
        <w:t xml:space="preserve"> peak-to-valley), CV-024 (Dynamo Fig.13 knee).</w:t>
      </w:r>
    </w:p>
    <w:p w14:paraId="0B375713" w14:textId="77777777" w:rsidR="00B8415C" w:rsidRDefault="00B8415C" w:rsidP="00C32E09">
      <w:pPr>
        <w:pStyle w:val="Compact"/>
        <w:pBdr>
          <w:bottom w:val="single" w:sz="12" w:space="1" w:color="auto"/>
        </w:pBdr>
      </w:pPr>
    </w:p>
    <w:p w14:paraId="124031DA" w14:textId="77777777" w:rsidR="00DE3DDD" w:rsidRDefault="00DE3DDD" w:rsidP="00C32E09">
      <w:pPr>
        <w:pStyle w:val="Compact"/>
      </w:pPr>
    </w:p>
    <w:p w14:paraId="45631A1C" w14:textId="77777777" w:rsidR="00BA2940" w:rsidRPr="00BA2940" w:rsidRDefault="00BA2940" w:rsidP="00BA2940">
      <w:pPr>
        <w:pStyle w:val="Compact"/>
        <w:rPr>
          <w:b/>
          <w:bCs/>
        </w:rPr>
      </w:pPr>
      <w:proofErr w:type="spellStart"/>
      <w:r w:rsidRPr="00BA2940">
        <w:rPr>
          <w:b/>
          <w:bCs/>
        </w:rPr>
        <w:t>DVFS_reliability</w:t>
      </w:r>
      <w:proofErr w:type="spellEnd"/>
      <w:r w:rsidRPr="00BA2940">
        <w:rPr>
          <w:b/>
          <w:bCs/>
        </w:rPr>
        <w:t>- Within-window SLO compliance</w:t>
      </w:r>
    </w:p>
    <w:tbl>
      <w:tblPr>
        <w:tblStyle w:val="TableGrid"/>
        <w:tblW w:w="0" w:type="auto"/>
        <w:tblLook w:val="04A0" w:firstRow="1" w:lastRow="0" w:firstColumn="1" w:lastColumn="0" w:noHBand="0" w:noVBand="1"/>
      </w:tblPr>
      <w:tblGrid>
        <w:gridCol w:w="4675"/>
        <w:gridCol w:w="4675"/>
      </w:tblGrid>
      <w:tr w:rsidR="00BA2940" w:rsidRPr="00BA2940" w14:paraId="2F853935" w14:textId="77777777" w:rsidTr="007D6B8A">
        <w:tc>
          <w:tcPr>
            <w:tcW w:w="4675" w:type="dxa"/>
            <w:shd w:val="clear" w:color="auto" w:fill="D9D9D9" w:themeFill="background1" w:themeFillShade="D9"/>
          </w:tcPr>
          <w:p w14:paraId="76F44AEF" w14:textId="30146904" w:rsidR="00BA2940" w:rsidRPr="00BA2940" w:rsidRDefault="00BA2940" w:rsidP="00D01707">
            <w:pPr>
              <w:pStyle w:val="Compact"/>
              <w:rPr>
                <w:b/>
                <w:bCs/>
              </w:rPr>
            </w:pPr>
            <w:r w:rsidRPr="00BA2940">
              <w:rPr>
                <w:b/>
                <w:bCs/>
              </w:rPr>
              <w:t>Attribute</w:t>
            </w:r>
          </w:p>
        </w:tc>
        <w:tc>
          <w:tcPr>
            <w:tcW w:w="4675" w:type="dxa"/>
            <w:shd w:val="clear" w:color="auto" w:fill="D9D9D9" w:themeFill="background1" w:themeFillShade="D9"/>
          </w:tcPr>
          <w:p w14:paraId="14EBA77E" w14:textId="6727F472" w:rsidR="00BA2940" w:rsidRPr="00BA2940" w:rsidRDefault="00BA2940" w:rsidP="00D01707">
            <w:pPr>
              <w:pStyle w:val="Compact"/>
              <w:rPr>
                <w:b/>
                <w:bCs/>
              </w:rPr>
            </w:pPr>
            <w:r>
              <w:rPr>
                <w:b/>
                <w:bCs/>
              </w:rPr>
              <w:t>Value</w:t>
            </w:r>
          </w:p>
        </w:tc>
      </w:tr>
      <w:tr w:rsidR="00BA2940" w:rsidRPr="00DC24CA" w14:paraId="1CB409CB" w14:textId="77777777">
        <w:tc>
          <w:tcPr>
            <w:tcW w:w="4675" w:type="dxa"/>
          </w:tcPr>
          <w:p w14:paraId="24F07515" w14:textId="06F88422" w:rsidR="00BA2940" w:rsidRPr="00BA2940" w:rsidRDefault="00BA2940" w:rsidP="00D01707">
            <w:pPr>
              <w:pStyle w:val="Compact"/>
            </w:pPr>
            <w:r>
              <w:t>Central</w:t>
            </w:r>
          </w:p>
        </w:tc>
        <w:tc>
          <w:tcPr>
            <w:tcW w:w="4675" w:type="dxa"/>
          </w:tcPr>
          <w:p w14:paraId="37C85D67" w14:textId="3144DD4F" w:rsidR="00BA2940" w:rsidRPr="00DC24CA" w:rsidRDefault="00BA2940" w:rsidP="00D01707">
            <w:pPr>
              <w:pStyle w:val="Compact"/>
            </w:pPr>
            <w:r w:rsidRPr="00BA2940">
              <w:t>0.98</w:t>
            </w:r>
          </w:p>
        </w:tc>
      </w:tr>
      <w:tr w:rsidR="00BA2940" w:rsidRPr="00DC24CA" w14:paraId="780F8A1E" w14:textId="77777777">
        <w:tc>
          <w:tcPr>
            <w:tcW w:w="4675" w:type="dxa"/>
          </w:tcPr>
          <w:p w14:paraId="0FF6ABDB" w14:textId="137C5170" w:rsidR="00BA2940" w:rsidRPr="00BA2940" w:rsidRDefault="00BA2940" w:rsidP="00D01707">
            <w:pPr>
              <w:pStyle w:val="Compact"/>
            </w:pPr>
            <w:r w:rsidRPr="00BA2940">
              <w:t>Range</w:t>
            </w:r>
          </w:p>
        </w:tc>
        <w:tc>
          <w:tcPr>
            <w:tcW w:w="4675" w:type="dxa"/>
          </w:tcPr>
          <w:p w14:paraId="052BB01A" w14:textId="0591C48B" w:rsidR="00BA2940" w:rsidRPr="00BA2940" w:rsidRDefault="00BA2940" w:rsidP="00D01707">
            <w:pPr>
              <w:pStyle w:val="Compact"/>
            </w:pPr>
            <w:r w:rsidRPr="00BA2940">
              <w:t>[0.95, 0.995]</w:t>
            </w:r>
          </w:p>
        </w:tc>
      </w:tr>
      <w:tr w:rsidR="00BA2940" w:rsidRPr="00DC24CA" w14:paraId="2E22B7E6" w14:textId="77777777">
        <w:tc>
          <w:tcPr>
            <w:tcW w:w="4675" w:type="dxa"/>
          </w:tcPr>
          <w:p w14:paraId="7BE44066" w14:textId="5F34550E" w:rsidR="00BA2940" w:rsidRPr="00BA2940" w:rsidRDefault="00BA2940" w:rsidP="00D01707">
            <w:pPr>
              <w:pStyle w:val="Compact"/>
            </w:pPr>
            <w:r w:rsidRPr="00BA2940">
              <w:t>Grounding</w:t>
            </w:r>
          </w:p>
        </w:tc>
        <w:tc>
          <w:tcPr>
            <w:tcW w:w="4675" w:type="dxa"/>
          </w:tcPr>
          <w:p w14:paraId="7E877865" w14:textId="38A72E33" w:rsidR="00BA2940" w:rsidRPr="00BA2940" w:rsidRDefault="00BA2940" w:rsidP="00D01707">
            <w:pPr>
              <w:pStyle w:val="Compact"/>
            </w:pPr>
            <w:r w:rsidRPr="00BA2940">
              <w:t>DATA</w:t>
            </w:r>
          </w:p>
        </w:tc>
      </w:tr>
    </w:tbl>
    <w:p w14:paraId="5D2985CF" w14:textId="719186FB" w:rsidR="00BA2940" w:rsidRDefault="00BA2940" w:rsidP="00BA2940">
      <w:pPr>
        <w:pStyle w:val="Compact"/>
      </w:pPr>
    </w:p>
    <w:p w14:paraId="28346229" w14:textId="63895AF9" w:rsidR="007D6B8A" w:rsidRPr="007D6B8A" w:rsidRDefault="007D6B8A" w:rsidP="007D6B8A">
      <w:pPr>
        <w:pStyle w:val="Compact"/>
      </w:pPr>
      <w:r w:rsidRPr="007D6B8A">
        <w:rPr>
          <w:b/>
          <w:bCs/>
        </w:rPr>
        <w:t xml:space="preserve">What </w:t>
      </w:r>
      <w:proofErr w:type="spellStart"/>
      <w:r w:rsidRPr="007D6B8A">
        <w:rPr>
          <w:b/>
          <w:bCs/>
        </w:rPr>
        <w:t>DVFS_reliability</w:t>
      </w:r>
      <w:proofErr w:type="spellEnd"/>
      <w:r w:rsidRPr="007D6B8A">
        <w:rPr>
          <w:b/>
          <w:bCs/>
        </w:rPr>
        <w:t xml:space="preserve"> measures. </w:t>
      </w:r>
      <w:r w:rsidRPr="007D6B8A">
        <w:t xml:space="preserve">Given that </w:t>
      </w:r>
      <w:proofErr w:type="spellStart"/>
      <w:r w:rsidRPr="007D6B8A">
        <w:t>DVFS_headroom</w:t>
      </w:r>
      <w:proofErr w:type="spellEnd"/>
      <w:r w:rsidRPr="007D6B8A">
        <w:t xml:space="preserve"> is the magnitude of peak-power</w:t>
      </w:r>
      <w:r>
        <w:t xml:space="preserve"> </w:t>
      </w:r>
      <w:r w:rsidRPr="007D6B8A">
        <w:t>reduction the workload tolerates, what is the probability that reduction is delivered across the</w:t>
      </w:r>
      <w:r>
        <w:t xml:space="preserve"> </w:t>
      </w:r>
      <w:r w:rsidRPr="007D6B8A">
        <w:t>full dispatch window without SLO breach?</w:t>
      </w:r>
    </w:p>
    <w:p w14:paraId="2726EF9F" w14:textId="77777777" w:rsidR="007D6B8A" w:rsidRDefault="007D6B8A" w:rsidP="007D6B8A">
      <w:pPr>
        <w:pStyle w:val="Compact"/>
        <w:rPr>
          <w:b/>
          <w:bCs/>
        </w:rPr>
      </w:pPr>
    </w:p>
    <w:p w14:paraId="7CA679B6" w14:textId="2773F912" w:rsidR="007D6B8A" w:rsidRPr="007D6B8A" w:rsidRDefault="007D6B8A" w:rsidP="007D6B8A">
      <w:pPr>
        <w:pStyle w:val="Compact"/>
      </w:pPr>
      <w:r w:rsidRPr="007D6B8A">
        <w:rPr>
          <w:b/>
          <w:bCs/>
        </w:rPr>
        <w:t xml:space="preserve">What </w:t>
      </w:r>
      <w:proofErr w:type="spellStart"/>
      <w:r w:rsidRPr="007D6B8A">
        <w:rPr>
          <w:b/>
          <w:bCs/>
        </w:rPr>
        <w:t>DVFS_reliability</w:t>
      </w:r>
      <w:proofErr w:type="spellEnd"/>
      <w:r w:rsidRPr="007D6B8A">
        <w:rPr>
          <w:b/>
          <w:bCs/>
        </w:rPr>
        <w:t xml:space="preserve"> does NOT measure. </w:t>
      </w:r>
      <w:r w:rsidRPr="007D6B8A">
        <w:t xml:space="preserve">Magnitude of </w:t>
      </w:r>
      <w:proofErr w:type="gramStart"/>
      <w:r w:rsidRPr="007D6B8A">
        <w:t>reduction(</w:t>
      </w:r>
      <w:proofErr w:type="gramEnd"/>
      <w:r w:rsidRPr="007D6B8A">
        <w:rPr>
          <w:rFonts w:ascii="Segoe UI Symbol" w:hAnsi="Segoe UI Symbol" w:cs="Segoe UI Symbol"/>
        </w:rPr>
        <w:t>➔</w:t>
      </w:r>
      <w:r w:rsidRPr="007D6B8A">
        <w:t xml:space="preserve"> </w:t>
      </w:r>
      <w:proofErr w:type="spellStart"/>
      <w:r w:rsidRPr="007D6B8A">
        <w:t>DVFS_headroom</w:t>
      </w:r>
      <w:proofErr w:type="spellEnd"/>
      <w:r w:rsidRPr="007D6B8A">
        <w:t>).</w:t>
      </w:r>
    </w:p>
    <w:p w14:paraId="492E5991" w14:textId="0D2E7B82" w:rsidR="007D6B8A" w:rsidRPr="007D6B8A" w:rsidRDefault="007D6B8A" w:rsidP="007D6B8A">
      <w:pPr>
        <w:pStyle w:val="Compact"/>
      </w:pPr>
      <w:r w:rsidRPr="007D6B8A">
        <w:rPr>
          <w:b/>
          <w:bCs/>
        </w:rPr>
        <w:t xml:space="preserve">Primary source. </w:t>
      </w:r>
      <w:r w:rsidRPr="007D6B8A">
        <w:t>Colangelo et al. 2026: zero SLA violations across 212 jobs/ 33</w:t>
      </w:r>
      <w:r>
        <w:t xml:space="preserve"> </w:t>
      </w:r>
      <w:r w:rsidRPr="007D6B8A">
        <w:t>experiments</w:t>
      </w:r>
      <w:r>
        <w:t xml:space="preserve"> </w:t>
      </w:r>
      <w:r w:rsidRPr="007D6B8A">
        <w:t>spanning all four workload ensembles. Two production-scale DR events (APS, SRP) plus</w:t>
      </w:r>
      <w:r>
        <w:t xml:space="preserve"> </w:t>
      </w:r>
      <w:r w:rsidRPr="007D6B8A">
        <w:t>synthetic CAISO replay all met utility requirements precisely. The zero-violation rate is the</w:t>
      </w:r>
      <w:r>
        <w:t xml:space="preserve"> </w:t>
      </w:r>
      <w:r w:rsidRPr="007D6B8A">
        <w:t>direct empirical anchor.</w:t>
      </w:r>
    </w:p>
    <w:p w14:paraId="2D3365F8" w14:textId="77777777" w:rsidR="007D6B8A" w:rsidRDefault="007D6B8A" w:rsidP="007D6B8A">
      <w:pPr>
        <w:pStyle w:val="Compact"/>
        <w:rPr>
          <w:b/>
          <w:bCs/>
        </w:rPr>
      </w:pPr>
    </w:p>
    <w:p w14:paraId="122EF788" w14:textId="4B44E5DE" w:rsidR="007D6B8A" w:rsidRPr="007D6B8A" w:rsidRDefault="007D6B8A" w:rsidP="007D6B8A">
      <w:pPr>
        <w:pStyle w:val="Compact"/>
        <w:rPr>
          <w:b/>
          <w:bCs/>
        </w:rPr>
      </w:pPr>
      <w:r w:rsidRPr="007D6B8A">
        <w:rPr>
          <w:b/>
          <w:bCs/>
        </w:rPr>
        <w:t>Corroborators.</w:t>
      </w:r>
    </w:p>
    <w:p w14:paraId="4DB48863" w14:textId="77777777" w:rsidR="007D6B8A" w:rsidRDefault="007D6B8A" w:rsidP="00B8415C">
      <w:pPr>
        <w:pStyle w:val="Compact"/>
        <w:numPr>
          <w:ilvl w:val="0"/>
          <w:numId w:val="18"/>
        </w:numPr>
      </w:pPr>
      <w:r w:rsidRPr="007D6B8A">
        <w:t>Thunderbolt (Li et al. 2020, CV-025): task-level QoS throttling in production with "minimal</w:t>
      </w:r>
      <w:r>
        <w:t xml:space="preserve"> </w:t>
      </w:r>
      <w:r w:rsidRPr="007D6B8A">
        <w:t>impact on latency and task health." 99th-percentile read latency for exempt services</w:t>
      </w:r>
      <w:r>
        <w:t xml:space="preserve"> </w:t>
      </w:r>
      <w:r w:rsidRPr="007D6B8A">
        <w:t>unaffected by simultaneous throttling of co-located throughput tasks.</w:t>
      </w:r>
    </w:p>
    <w:p w14:paraId="30812C7C" w14:textId="77777777" w:rsidR="007D6B8A" w:rsidRDefault="007D6B8A" w:rsidP="00B8415C">
      <w:pPr>
        <w:pStyle w:val="Compact"/>
        <w:numPr>
          <w:ilvl w:val="0"/>
          <w:numId w:val="18"/>
        </w:numPr>
      </w:pPr>
      <w:r w:rsidRPr="007D6B8A">
        <w:t>Flex (Zhang et al. 2021, CV-023): 3.5-second end-to-end at 99.9th percentile under power</w:t>
      </w:r>
      <w:r>
        <w:t xml:space="preserve"> </w:t>
      </w:r>
      <w:r w:rsidRPr="007D6B8A">
        <w:t>throttling actions in ~ l0MW rooms.</w:t>
      </w:r>
    </w:p>
    <w:p w14:paraId="0C4C78DC" w14:textId="59D58F77" w:rsidR="007D6B8A" w:rsidRPr="007D6B8A" w:rsidRDefault="007D6B8A" w:rsidP="00B8415C">
      <w:pPr>
        <w:pStyle w:val="Compact"/>
        <w:numPr>
          <w:ilvl w:val="0"/>
          <w:numId w:val="18"/>
        </w:numPr>
      </w:pPr>
      <w:proofErr w:type="spellStart"/>
      <w:r w:rsidRPr="007D6B8A">
        <w:t>SmartOClock</w:t>
      </w:r>
      <w:proofErr w:type="spellEnd"/>
      <w:r w:rsidRPr="007D6B8A">
        <w:t xml:space="preserve"> (Stojkovic ISCA 2024): production-verified rack-level power control with</w:t>
      </w:r>
      <w:r>
        <w:t xml:space="preserve"> </w:t>
      </w:r>
      <w:r w:rsidRPr="007D6B8A">
        <w:t>millisecond control loops at Microsoft Azure.</w:t>
      </w:r>
    </w:p>
    <w:p w14:paraId="6B3532C1" w14:textId="77777777" w:rsidR="007D6B8A" w:rsidRDefault="007D6B8A" w:rsidP="007D6B8A">
      <w:pPr>
        <w:pStyle w:val="Compact"/>
        <w:rPr>
          <w:b/>
          <w:bCs/>
        </w:rPr>
      </w:pPr>
    </w:p>
    <w:p w14:paraId="6CC55514" w14:textId="10EEDF1B" w:rsidR="007D6B8A" w:rsidRPr="007D6B8A" w:rsidRDefault="007D6B8A" w:rsidP="007D6B8A">
      <w:pPr>
        <w:pStyle w:val="Compact"/>
      </w:pPr>
      <w:r w:rsidRPr="007D6B8A">
        <w:rPr>
          <w:b/>
          <w:bCs/>
        </w:rPr>
        <w:t xml:space="preserve">Why </w:t>
      </w:r>
      <w:proofErr w:type="spellStart"/>
      <w:r w:rsidRPr="007D6B8A">
        <w:rPr>
          <w:b/>
          <w:bCs/>
        </w:rPr>
        <w:t>DVFS_reliability</w:t>
      </w:r>
      <w:proofErr w:type="spellEnd"/>
      <w:r w:rsidRPr="007D6B8A">
        <w:rPr>
          <w:b/>
          <w:bCs/>
        </w:rPr>
        <w:t xml:space="preserve"> is a separate parameter. </w:t>
      </w:r>
      <w:r w:rsidRPr="007D6B8A">
        <w:t xml:space="preserve">Once DVFS has its own </w:t>
      </w:r>
      <w:r>
        <w:t>sub</w:t>
      </w:r>
      <w:r w:rsidRPr="007D6B8A">
        <w:t>-cascade, the</w:t>
      </w:r>
    </w:p>
    <w:p w14:paraId="695DD334" w14:textId="77777777" w:rsidR="007D6B8A" w:rsidRPr="007D6B8A" w:rsidRDefault="007D6B8A" w:rsidP="007D6B8A">
      <w:pPr>
        <w:pStyle w:val="Compact"/>
      </w:pPr>
      <w:r w:rsidRPr="007D6B8A">
        <w:t>reliability of delivery is multiplicatively separate from the magnitude. Under the prior</w:t>
      </w:r>
    </w:p>
    <w:p w14:paraId="4F7C644E" w14:textId="77777777" w:rsidR="007D6B8A" w:rsidRPr="007D6B8A" w:rsidRDefault="007D6B8A" w:rsidP="007D6B8A">
      <w:pPr>
        <w:pStyle w:val="Compact"/>
      </w:pPr>
      <w:r w:rsidRPr="007D6B8A">
        <w:t>framework's lump FLEX_FRAC structure, these were bundled, obscuring the distinction</w:t>
      </w:r>
    </w:p>
    <w:p w14:paraId="60746833" w14:textId="6E2D2427" w:rsidR="007D6B8A" w:rsidRPr="007D6B8A" w:rsidRDefault="007D6B8A" w:rsidP="007D6B8A">
      <w:pPr>
        <w:pStyle w:val="Compact"/>
      </w:pPr>
      <w:r w:rsidRPr="007D6B8A">
        <w:t>between "the workload tolerates a 25% reduction" (magnitude, ensemble-dependent) and "the</w:t>
      </w:r>
      <w:r>
        <w:t xml:space="preserve"> </w:t>
      </w:r>
      <w:r w:rsidRPr="007D6B8A">
        <w:t>orchestration delivers that reduction across the window" (reliability, infrastructure</w:t>
      </w:r>
      <w:r>
        <w:t>-</w:t>
      </w:r>
      <w:r w:rsidRPr="007D6B8A">
        <w:t>dependent).</w:t>
      </w:r>
      <w:r>
        <w:t xml:space="preserve"> </w:t>
      </w:r>
      <w:r w:rsidRPr="007D6B8A">
        <w:t>Splitting them makes the framework's epistemic structure more honest: delivery</w:t>
      </w:r>
      <w:r>
        <w:t>-</w:t>
      </w:r>
      <w:r w:rsidRPr="007D6B8A">
        <w:t>reliability</w:t>
      </w:r>
      <w:r>
        <w:t xml:space="preserve"> </w:t>
      </w:r>
      <w:r w:rsidRPr="007D6B8A">
        <w:t>is direct DATA from Colangelo's zero-violation rate, while magnitude is a</w:t>
      </w:r>
      <w:r>
        <w:t xml:space="preserve"> </w:t>
      </w:r>
      <w:r w:rsidRPr="007D6B8A">
        <w:t>composition of DATA (Colangelo 25% anchor) and ensemble-construction scenario.</w:t>
      </w:r>
    </w:p>
    <w:p w14:paraId="6B654893" w14:textId="77777777" w:rsidR="007D6B8A" w:rsidRDefault="007D6B8A" w:rsidP="007D6B8A">
      <w:pPr>
        <w:pStyle w:val="Compact"/>
        <w:rPr>
          <w:b/>
          <w:bCs/>
        </w:rPr>
      </w:pPr>
    </w:p>
    <w:p w14:paraId="6CCE4A43" w14:textId="54D0DAC3" w:rsidR="007D6B8A" w:rsidRPr="007D6B8A" w:rsidRDefault="007D6B8A" w:rsidP="007D6B8A">
      <w:pPr>
        <w:pStyle w:val="Compact"/>
      </w:pPr>
      <w:r w:rsidRPr="007D6B8A">
        <w:rPr>
          <w:b/>
          <w:bCs/>
        </w:rPr>
        <w:t xml:space="preserve">Why the 2% reduction from 1.0. </w:t>
      </w:r>
      <w:r w:rsidRPr="007D6B8A">
        <w:t>Colangelo's zero-violation result is across 33 controlled</w:t>
      </w:r>
    </w:p>
    <w:p w14:paraId="73042668" w14:textId="24D03AA0" w:rsidR="007D6B8A" w:rsidRDefault="007D6B8A" w:rsidP="007D6B8A">
      <w:pPr>
        <w:pStyle w:val="Compact"/>
      </w:pPr>
      <w:r w:rsidRPr="007D6B8A">
        <w:t>experiments. The 2% reduction in central value reflects: (a) Colangelo's experimental scale (256</w:t>
      </w:r>
      <w:r>
        <w:t xml:space="preserve"> </w:t>
      </w:r>
      <w:r w:rsidRPr="007D6B8A">
        <w:t>GPUs at one facility) vs. fleet-scale deployment heterogeneity; (b) edge cases not represented</w:t>
      </w:r>
      <w:r>
        <w:t xml:space="preserve"> </w:t>
      </w:r>
      <w:r w:rsidRPr="007D6B8A">
        <w:t>in the 33-experiment matrix (cold-cluster startup, partial-rack failures during dispatch); (c) the</w:t>
      </w:r>
      <w:r>
        <w:t xml:space="preserve"> </w:t>
      </w:r>
      <w:r w:rsidRPr="007D6B8A">
        <w:t>gap between controlled DR-event execution and continuous-readiness deployment.</w:t>
      </w:r>
    </w:p>
    <w:p w14:paraId="53DB6CF1" w14:textId="77777777" w:rsidR="007D6B8A" w:rsidRPr="007D6B8A" w:rsidRDefault="007D6B8A" w:rsidP="007D6B8A">
      <w:pPr>
        <w:pStyle w:val="Compact"/>
      </w:pPr>
    </w:p>
    <w:p w14:paraId="6972FE31" w14:textId="756B5C8D" w:rsidR="007D6B8A" w:rsidRPr="007D6B8A" w:rsidRDefault="007D6B8A" w:rsidP="007D6B8A">
      <w:pPr>
        <w:pStyle w:val="Compact"/>
      </w:pPr>
      <w:r w:rsidRPr="007D6B8A">
        <w:rPr>
          <w:b/>
          <w:bCs/>
        </w:rPr>
        <w:t xml:space="preserve">Range. </w:t>
      </w:r>
      <w:r w:rsidRPr="007D6B8A">
        <w:t>[0.95, 0.995]. Tight because the Colangelo zero-violation anchor is strong DATA and the</w:t>
      </w:r>
      <w:r>
        <w:t xml:space="preserve"> </w:t>
      </w:r>
      <w:r w:rsidRPr="007D6B8A">
        <w:t>corroborators converge.</w:t>
      </w:r>
    </w:p>
    <w:p w14:paraId="1D83F8A9" w14:textId="77777777" w:rsidR="007D6B8A" w:rsidRDefault="007D6B8A" w:rsidP="007D6B8A">
      <w:pPr>
        <w:pStyle w:val="Compact"/>
        <w:rPr>
          <w:b/>
          <w:bCs/>
        </w:rPr>
      </w:pPr>
    </w:p>
    <w:p w14:paraId="71234BA4" w14:textId="41B1AA80" w:rsidR="007D6B8A" w:rsidRDefault="007D6B8A" w:rsidP="007D6B8A">
      <w:pPr>
        <w:pStyle w:val="Compact"/>
        <w:pBdr>
          <w:bottom w:val="single" w:sz="12" w:space="1" w:color="auto"/>
        </w:pBdr>
      </w:pPr>
      <w:r w:rsidRPr="007D6B8A">
        <w:rPr>
          <w:b/>
          <w:bCs/>
        </w:rPr>
        <w:t xml:space="preserve">CV workbook ties. </w:t>
      </w:r>
      <w:r w:rsidRPr="007D6B8A">
        <w:t>Colangelo direct, CV-023 (Flex), CV-024 (Dynamo), CV-025</w:t>
      </w:r>
      <w:r>
        <w:t xml:space="preserve"> </w:t>
      </w:r>
      <w:r w:rsidRPr="007D6B8A">
        <w:t>(Thunderbolt).</w:t>
      </w:r>
    </w:p>
    <w:p w14:paraId="0D71ABFC" w14:textId="77777777" w:rsidR="00B8415C" w:rsidRDefault="00B8415C" w:rsidP="007D6B8A">
      <w:pPr>
        <w:pStyle w:val="Compact"/>
        <w:pBdr>
          <w:bottom w:val="single" w:sz="12" w:space="1" w:color="auto"/>
        </w:pBdr>
      </w:pPr>
    </w:p>
    <w:p w14:paraId="5BFD2FB3" w14:textId="77777777" w:rsidR="007D6B8A" w:rsidRDefault="007D6B8A" w:rsidP="007D6B8A">
      <w:pPr>
        <w:pStyle w:val="Compact"/>
      </w:pPr>
    </w:p>
    <w:p w14:paraId="3491830C" w14:textId="7CF8A50E" w:rsidR="007D6B8A" w:rsidRDefault="007D6B8A" w:rsidP="007D6B8A">
      <w:pPr>
        <w:rPr>
          <w:b/>
          <w:bCs/>
          <w:sz w:val="28"/>
          <w:szCs w:val="28"/>
        </w:rPr>
      </w:pPr>
      <w:r>
        <w:rPr>
          <w:b/>
          <w:bCs/>
          <w:sz w:val="28"/>
          <w:szCs w:val="28"/>
        </w:rPr>
        <w:t>6</w:t>
      </w:r>
      <w:r>
        <w:rPr>
          <w:b/>
          <w:bCs/>
          <w:sz w:val="28"/>
          <w:szCs w:val="28"/>
        </w:rPr>
        <w:t>.</w:t>
      </w:r>
      <w:r w:rsidRPr="000B2C9D">
        <w:rPr>
          <w:b/>
          <w:bCs/>
          <w:sz w:val="28"/>
          <w:szCs w:val="28"/>
        </w:rPr>
        <w:t xml:space="preserve"> </w:t>
      </w:r>
      <w:r>
        <w:rPr>
          <w:b/>
          <w:bCs/>
          <w:sz w:val="28"/>
          <w:szCs w:val="28"/>
        </w:rPr>
        <w:t>Composition Logic</w:t>
      </w:r>
    </w:p>
    <w:p w14:paraId="7718844A" w14:textId="26A1D798" w:rsidR="007D6B8A" w:rsidRDefault="007D6B8A" w:rsidP="007D6B8A">
      <w:pPr>
        <w:rPr>
          <w:b/>
          <w:bCs/>
        </w:rPr>
      </w:pPr>
      <w:r>
        <w:rPr>
          <w:b/>
          <w:bCs/>
        </w:rPr>
        <w:t>6.1 Within-cascade composition (multiplicative)</w:t>
      </w:r>
    </w:p>
    <w:p w14:paraId="14C6F41B" w14:textId="77777777" w:rsidR="007D6B8A" w:rsidRDefault="007D6B8A" w:rsidP="007D6B8A">
      <w:r w:rsidRPr="007D6B8A">
        <w:t>Within each mini-cascade, parameters compose multiplicatively as independent filters on the</w:t>
      </w:r>
      <w:r>
        <w:t xml:space="preserve"> </w:t>
      </w:r>
      <w:r w:rsidRPr="007D6B8A">
        <w:t>mechanism's contribution. A given MW of inference compute must pass all parameters within</w:t>
      </w:r>
      <w:r>
        <w:t xml:space="preserve"> </w:t>
      </w:r>
      <w:r w:rsidRPr="007D6B8A">
        <w:t>a cascade to contribute to that mechanism's accreditable flexibility.</w:t>
      </w:r>
    </w:p>
    <w:p w14:paraId="29BBB0BE" w14:textId="58CCD618" w:rsidR="007D6B8A" w:rsidRDefault="007D6B8A" w:rsidP="007D6B8A">
      <w:r w:rsidRPr="007D6B8A">
        <w:rPr>
          <w:b/>
          <w:bCs/>
        </w:rPr>
        <w:t xml:space="preserve">Spatial </w:t>
      </w:r>
      <w:proofErr w:type="gramStart"/>
      <w:r w:rsidRPr="007D6B8A">
        <w:rPr>
          <w:b/>
          <w:bCs/>
        </w:rPr>
        <w:t>mini-cascade</w:t>
      </w:r>
      <w:proofErr w:type="gramEnd"/>
      <w:r w:rsidRPr="007D6B8A">
        <w:rPr>
          <w:b/>
          <w:bCs/>
        </w:rPr>
        <w:t xml:space="preserve">. </w:t>
      </w:r>
      <w:r w:rsidRPr="007D6B8A">
        <w:t xml:space="preserve">Six parameters multiply: </w:t>
      </w:r>
      <m:oMath>
        <m:r>
          <w:rPr>
            <w:rFonts w:ascii="Cambria Math" w:hAnsi="Cambria Math"/>
            <w:color w:val="1F497D" w:themeColor="text2"/>
          </w:rPr>
          <m:t xml:space="preserve">MIG_elig x DRAIN_ok </m:t>
        </m:r>
        <m:r>
          <w:rPr>
            <w:rFonts w:ascii="Cambria Math" w:hAnsi="Cambria Math"/>
            <w:color w:val="1F497D" w:themeColor="text2"/>
            <w:sz w:val="20"/>
            <w:szCs w:val="20"/>
          </w:rPr>
          <m:t>×</m:t>
        </m:r>
        <m:r>
          <w:rPr>
            <w:rFonts w:ascii="Cambria Math" w:hAnsi="Cambria Math"/>
            <w:color w:val="1F497D" w:themeColor="text2"/>
          </w:rPr>
          <m:t xml:space="preserve"> DEST _avail </m:t>
        </m:r>
        <m:r>
          <w:rPr>
            <w:rFonts w:ascii="Cambria Math" w:hAnsi="Cambria Math"/>
            <w:color w:val="1F497D" w:themeColor="text2"/>
            <w:sz w:val="20"/>
            <w:szCs w:val="20"/>
          </w:rPr>
          <m:t>×</m:t>
        </m:r>
        <m:r>
          <w:rPr>
            <w:rFonts w:ascii="Cambria Math" w:hAnsi="Cambria Math"/>
            <w:color w:val="1F497D" w:themeColor="text2"/>
          </w:rPr>
          <m:t xml:space="preserve"> DEST _absorb </m:t>
        </m:r>
        <m:r>
          <w:rPr>
            <w:rFonts w:ascii="Cambria Math" w:hAnsi="Cambria Math"/>
            <w:color w:val="1F497D" w:themeColor="text2"/>
            <w:sz w:val="20"/>
            <w:szCs w:val="20"/>
          </w:rPr>
          <m:t>×</m:t>
        </m:r>
        <m:r>
          <w:rPr>
            <w:rFonts w:ascii="Cambria Math" w:hAnsi="Cambria Math"/>
            <w:color w:val="1F497D" w:themeColor="text2"/>
          </w:rPr>
          <m:t xml:space="preserve"> NET _ok </m:t>
        </m:r>
        <m:r>
          <w:rPr>
            <w:rFonts w:ascii="Cambria Math" w:hAnsi="Cambria Math"/>
            <w:color w:val="1F497D" w:themeColor="text2"/>
            <w:sz w:val="20"/>
            <w:szCs w:val="20"/>
          </w:rPr>
          <m:t>×</m:t>
        </m:r>
        <m:r>
          <w:rPr>
            <w:rFonts w:ascii="Cambria Math" w:hAnsi="Cambria Math"/>
            <w:color w:val="1F497D" w:themeColor="text2"/>
          </w:rPr>
          <m:t xml:space="preserve"> ORCH_ok</m:t>
        </m:r>
      </m:oMath>
      <w:r w:rsidRPr="007D6B8A">
        <w:t>. The product is the fraction of source inference compute</w:t>
      </w:r>
      <w:r>
        <w:t xml:space="preserve"> </w:t>
      </w:r>
      <w:r w:rsidRPr="007D6B8A">
        <w:t>that successfully migrates and is absorbed at a non-co-stressed destination during a stress</w:t>
      </w:r>
      <w:r>
        <w:t xml:space="preserve"> </w:t>
      </w:r>
      <w:r w:rsidRPr="007D6B8A">
        <w:t>hour.</w:t>
      </w:r>
    </w:p>
    <w:p w14:paraId="5B3F3F29" w14:textId="12FF29DD" w:rsidR="007D6B8A" w:rsidRDefault="007D6B8A" w:rsidP="007D6B8A">
      <w:r w:rsidRPr="007D6B8A">
        <w:rPr>
          <w:b/>
          <w:bCs/>
        </w:rPr>
        <w:t xml:space="preserve">Deferral </w:t>
      </w:r>
      <w:proofErr w:type="gramStart"/>
      <w:r w:rsidRPr="007D6B8A">
        <w:rPr>
          <w:b/>
          <w:bCs/>
        </w:rPr>
        <w:t>mini-cascade</w:t>
      </w:r>
      <w:proofErr w:type="gramEnd"/>
      <w:r w:rsidRPr="007D6B8A">
        <w:rPr>
          <w:b/>
          <w:bCs/>
        </w:rPr>
        <w:t xml:space="preserve">. </w:t>
      </w:r>
      <w:r w:rsidRPr="007D6B8A">
        <w:t xml:space="preserve">Three parameters multiply: </w:t>
      </w:r>
      <m:oMath>
        <m:r>
          <w:rPr>
            <w:rFonts w:ascii="Cambria Math" w:hAnsi="Cambria Math"/>
            <w:color w:val="1F497D" w:themeColor="text2"/>
          </w:rPr>
          <m:t xml:space="preserve">NIW share  WINDOW_ok </m:t>
        </m:r>
        <m:r>
          <w:rPr>
            <w:rFonts w:ascii="Cambria Math" w:hAnsi="Cambria Math"/>
            <w:color w:val="1F497D" w:themeColor="text2"/>
            <w:sz w:val="20"/>
            <w:szCs w:val="20"/>
          </w:rPr>
          <m:t>×</m:t>
        </m:r>
        <m:r>
          <w:rPr>
            <w:rFonts w:ascii="Cambria Math" w:hAnsi="Cambria Math"/>
            <w:color w:val="1F497D" w:themeColor="text2"/>
          </w:rPr>
          <m:t xml:space="preserve"> QUEUE_ok</m:t>
        </m:r>
      </m:oMath>
      <w:r w:rsidRPr="007D6B8A">
        <w:t>.</w:t>
      </w:r>
      <w:r>
        <w:t xml:space="preserve"> </w:t>
      </w:r>
      <w:r w:rsidRPr="007D6B8A">
        <w:t>Applied to the inference compute remaining at source after spatial migration removes its</w:t>
      </w:r>
      <w:r>
        <w:t xml:space="preserve"> </w:t>
      </w:r>
      <w:r w:rsidRPr="007D6B8A">
        <w:t>share.</w:t>
      </w:r>
    </w:p>
    <w:p w14:paraId="2857B15B" w14:textId="7F14150D" w:rsidR="007D6B8A" w:rsidRDefault="007D6B8A" w:rsidP="007D6B8A">
      <w:r w:rsidRPr="007D6B8A">
        <w:rPr>
          <w:b/>
          <w:bCs/>
        </w:rPr>
        <w:t xml:space="preserve">DVFS </w:t>
      </w:r>
      <w:proofErr w:type="gramStart"/>
      <w:r w:rsidRPr="007D6B8A">
        <w:rPr>
          <w:b/>
          <w:bCs/>
        </w:rPr>
        <w:t>mini-cascade</w:t>
      </w:r>
      <w:proofErr w:type="gramEnd"/>
      <w:r w:rsidRPr="007D6B8A">
        <w:rPr>
          <w:b/>
          <w:bCs/>
        </w:rPr>
        <w:t xml:space="preserve">. </w:t>
      </w:r>
      <w:r w:rsidRPr="007D6B8A">
        <w:t xml:space="preserve">Two parameters multiply: </w:t>
      </w:r>
      <m:oMath>
        <m:r>
          <w:rPr>
            <w:rFonts w:ascii="Cambria Math" w:hAnsi="Cambria Math"/>
            <w:color w:val="1F497D" w:themeColor="text2"/>
          </w:rPr>
          <m:t xml:space="preserve">DVFS_headroom </m:t>
        </m:r>
        <m:r>
          <w:rPr>
            <w:rFonts w:ascii="Cambria Math" w:hAnsi="Cambria Math"/>
            <w:color w:val="1F497D" w:themeColor="text2"/>
            <w:sz w:val="20"/>
            <w:szCs w:val="20"/>
          </w:rPr>
          <m:t>×</m:t>
        </m:r>
        <m:r>
          <w:rPr>
            <w:rFonts w:ascii="Cambria Math" w:hAnsi="Cambria Math"/>
            <w:color w:val="1F497D" w:themeColor="text2"/>
          </w:rPr>
          <m:t xml:space="preserve"> DVFS_reliability</m:t>
        </m:r>
      </m:oMath>
      <w:r w:rsidRPr="007D6B8A">
        <w:t>. Applied</w:t>
      </w:r>
      <w:r>
        <w:t xml:space="preserve"> </w:t>
      </w:r>
      <w:r w:rsidRPr="007D6B8A">
        <w:t>to the inference compute remaining at source after both spatial migration and deferral remove</w:t>
      </w:r>
      <w:r>
        <w:t xml:space="preserve"> </w:t>
      </w:r>
      <w:r w:rsidRPr="007D6B8A">
        <w:t>their shares.</w:t>
      </w:r>
      <w:r>
        <w:t xml:space="preserve"> </w:t>
      </w:r>
    </w:p>
    <w:p w14:paraId="45DDB2ED" w14:textId="77777777" w:rsidR="007D6B8A" w:rsidRDefault="007D6B8A" w:rsidP="007D6B8A">
      <w:pPr>
        <w:rPr>
          <w:b/>
          <w:bCs/>
        </w:rPr>
      </w:pPr>
      <w:r w:rsidRPr="007D6B8A">
        <w:rPr>
          <w:b/>
          <w:bCs/>
        </w:rPr>
        <w:t>Independence assumptions, stated explicitly:</w:t>
      </w:r>
    </w:p>
    <w:p w14:paraId="63C12863" w14:textId="77777777" w:rsidR="007D6B8A" w:rsidRDefault="007D6B8A" w:rsidP="00B8415C">
      <w:pPr>
        <w:pStyle w:val="ListParagraph"/>
        <w:numPr>
          <w:ilvl w:val="0"/>
          <w:numId w:val="19"/>
        </w:numPr>
      </w:pPr>
      <w:r w:rsidRPr="007D6B8A">
        <w:rPr>
          <w:b/>
          <w:bCs/>
        </w:rPr>
        <w:t xml:space="preserve">Within spatial: </w:t>
      </w:r>
      <w:proofErr w:type="spellStart"/>
      <w:r w:rsidRPr="007D6B8A">
        <w:t>MIG_elig</w:t>
      </w:r>
      <w:proofErr w:type="spellEnd"/>
      <w:r w:rsidRPr="007D6B8A">
        <w:t xml:space="preserve"> and </w:t>
      </w:r>
      <w:proofErr w:type="spellStart"/>
      <w:r w:rsidRPr="007D6B8A">
        <w:t>DRAIN_ok</w:t>
      </w:r>
      <w:proofErr w:type="spellEnd"/>
      <w:r w:rsidRPr="007D6B8A">
        <w:t xml:space="preserve"> are conditionally independent given workload</w:t>
      </w:r>
      <w:r>
        <w:t xml:space="preserve"> </w:t>
      </w:r>
      <w:r w:rsidRPr="007D6B8A">
        <w:t xml:space="preserve">(architectural eligibility </w:t>
      </w:r>
      <w:r w:rsidRPr="007D6B8A">
        <w:rPr>
          <w:i/>
          <w:iCs/>
        </w:rPr>
        <w:t xml:space="preserve">1- </w:t>
      </w:r>
      <w:r w:rsidRPr="007D6B8A">
        <w:t>tail-completion behavior). DEST _avail and DEST _absorb are</w:t>
      </w:r>
      <w:r>
        <w:t xml:space="preserve"> </w:t>
      </w:r>
      <w:r w:rsidRPr="007D6B8A">
        <w:t>plausibly favorably correlated (hours of widespread destination availability are also</w:t>
      </w:r>
      <w:r>
        <w:t xml:space="preserve"> </w:t>
      </w:r>
      <w:r w:rsidRPr="007D6B8A">
        <w:t>moderate-utilization hours, where DEST _absorb is also higher). The MC draws</w:t>
      </w:r>
      <w:r>
        <w:t xml:space="preserve"> </w:t>
      </w:r>
      <w:r w:rsidRPr="007D6B8A">
        <w:t xml:space="preserve">DEST _absorb independently per iteration, which is </w:t>
      </w:r>
      <w:r w:rsidRPr="007D6B8A">
        <w:rPr>
          <w:b/>
          <w:bCs/>
        </w:rPr>
        <w:t xml:space="preserve">conservative </w:t>
      </w:r>
      <w:r w:rsidRPr="007D6B8A">
        <w:t>with respect to this</w:t>
      </w:r>
      <w:r>
        <w:t xml:space="preserve"> </w:t>
      </w:r>
      <w:r w:rsidRPr="007D6B8A">
        <w:t xml:space="preserve">correlation. NET _ok and </w:t>
      </w:r>
      <w:proofErr w:type="spellStart"/>
      <w:r w:rsidRPr="007D6B8A">
        <w:t>ORCH_ok</w:t>
      </w:r>
      <w:proofErr w:type="spellEnd"/>
      <w:r w:rsidRPr="007D6B8A">
        <w:t xml:space="preserve"> are essentially independent of destination parameters</w:t>
      </w:r>
      <w:r>
        <w:t xml:space="preserve"> </w:t>
      </w:r>
      <w:r w:rsidRPr="007D6B8A">
        <w:t>(they condition on delivery and execution given destination has capacity).</w:t>
      </w:r>
    </w:p>
    <w:p w14:paraId="4EDE142B" w14:textId="000FF626" w:rsidR="007D6B8A" w:rsidRDefault="007D6B8A" w:rsidP="00B8415C">
      <w:pPr>
        <w:pStyle w:val="ListParagraph"/>
        <w:numPr>
          <w:ilvl w:val="0"/>
          <w:numId w:val="19"/>
        </w:numPr>
      </w:pPr>
      <w:r w:rsidRPr="007D6B8A">
        <w:rPr>
          <w:b/>
          <w:bCs/>
        </w:rPr>
        <w:t xml:space="preserve">Within deferral: </w:t>
      </w:r>
      <w:r w:rsidRPr="007D6B8A">
        <w:t xml:space="preserve">NIW share, </w:t>
      </w:r>
      <w:proofErr w:type="spellStart"/>
      <w:r w:rsidRPr="007D6B8A">
        <w:t>WINDOW</w:t>
      </w:r>
      <w:r w:rsidR="00E55AA8">
        <w:t>_</w:t>
      </w:r>
      <w:r w:rsidRPr="007D6B8A">
        <w:t>ok</w:t>
      </w:r>
      <w:proofErr w:type="spellEnd"/>
      <w:r w:rsidRPr="007D6B8A">
        <w:t xml:space="preserve">, and </w:t>
      </w:r>
      <w:proofErr w:type="spellStart"/>
      <w:r w:rsidRPr="007D6B8A">
        <w:t>QUEUE_ok</w:t>
      </w:r>
      <w:proofErr w:type="spellEnd"/>
      <w:r w:rsidRPr="007D6B8A">
        <w:t xml:space="preserve"> measure operationally</w:t>
      </w:r>
      <w:r>
        <w:t xml:space="preserve"> </w:t>
      </w:r>
      <w:r w:rsidRPr="007D6B8A">
        <w:t>distinct quantities (workload composition, deadline physics, recovery-period absorption)</w:t>
      </w:r>
      <w:r>
        <w:t xml:space="preserve"> </w:t>
      </w:r>
      <w:r w:rsidRPr="007D6B8A">
        <w:t>and are plausibly independent.</w:t>
      </w:r>
    </w:p>
    <w:p w14:paraId="7A90DEAB" w14:textId="7912B811" w:rsidR="007D6B8A" w:rsidRPr="007D6B8A" w:rsidRDefault="007D6B8A" w:rsidP="00B8415C">
      <w:pPr>
        <w:pStyle w:val="ListParagraph"/>
        <w:numPr>
          <w:ilvl w:val="0"/>
          <w:numId w:val="19"/>
        </w:numPr>
      </w:pPr>
      <w:r w:rsidRPr="007D6B8A">
        <w:rPr>
          <w:b/>
          <w:bCs/>
        </w:rPr>
        <w:t xml:space="preserve">Within DVFS: </w:t>
      </w:r>
      <w:proofErr w:type="spellStart"/>
      <w:r w:rsidRPr="007D6B8A">
        <w:t>DVFS_headroom</w:t>
      </w:r>
      <w:proofErr w:type="spellEnd"/>
      <w:r w:rsidRPr="007D6B8A">
        <w:t xml:space="preserve"> and </w:t>
      </w:r>
      <w:proofErr w:type="spellStart"/>
      <w:r w:rsidRPr="007D6B8A">
        <w:t>DVFS_reliability</w:t>
      </w:r>
      <w:proofErr w:type="spellEnd"/>
      <w:r w:rsidRPr="007D6B8A">
        <w:t xml:space="preserve"> are independent by construction-magnitude and delivery-reliability are operationally separate.</w:t>
      </w:r>
    </w:p>
    <w:p w14:paraId="43BC9449" w14:textId="77777777" w:rsidR="007D6B8A" w:rsidRDefault="007D6B8A" w:rsidP="007D6B8A">
      <w:pPr>
        <w:pStyle w:val="Compact"/>
      </w:pPr>
    </w:p>
    <w:p w14:paraId="2FFF3D7C" w14:textId="355A7DA0" w:rsidR="007D6B8A" w:rsidRPr="007D6B8A" w:rsidRDefault="007D6B8A" w:rsidP="007D6B8A">
      <w:pPr>
        <w:pStyle w:val="Compact"/>
      </w:pPr>
      <w:r w:rsidRPr="007D6B8A">
        <w:rPr>
          <w:b/>
          <w:bCs/>
        </w:rPr>
        <w:t>6.2 Across-cascade composition (additive at MW layer with sequential ordering)</w:t>
      </w:r>
    </w:p>
    <w:p w14:paraId="0BE14494" w14:textId="2C89724C" w:rsidR="007D6B8A" w:rsidRDefault="007D6B8A" w:rsidP="007D6B8A">
      <w:pPr>
        <w:pStyle w:val="Compact"/>
      </w:pPr>
      <w:r w:rsidRPr="007D6B8A">
        <w:t xml:space="preserve">The three </w:t>
      </w:r>
      <w:r w:rsidR="00E55AA8">
        <w:t>sub</w:t>
      </w:r>
      <w:r w:rsidRPr="007D6B8A">
        <w:t xml:space="preserve">-cascades compose </w:t>
      </w:r>
      <w:r w:rsidRPr="007D6B8A">
        <w:rPr>
          <w:b/>
          <w:bCs/>
        </w:rPr>
        <w:t xml:space="preserve">additively </w:t>
      </w:r>
      <w:r w:rsidRPr="007D6B8A">
        <w:t>at the MW layer, with sequential ordering and</w:t>
      </w:r>
      <w:r>
        <w:t xml:space="preserve"> </w:t>
      </w:r>
      <w:r w:rsidRPr="007D6B8A">
        <w:t>explicit overlap correction:</w:t>
      </w:r>
    </w:p>
    <w:p w14:paraId="7E519160" w14:textId="5DEAF985" w:rsidR="007D6B8A" w:rsidRPr="007D6B8A" w:rsidRDefault="007D6B8A" w:rsidP="007D6B8A">
      <w:pPr>
        <w:pStyle w:val="Compact"/>
      </w:pPr>
      <m:oMathPara>
        <m:oMath>
          <m:sSub>
            <m:sSubPr>
              <m:ctrlPr>
                <w:rPr>
                  <w:rFonts w:ascii="Cambria Math" w:hAnsi="Cambria Math"/>
                  <w:i/>
                  <w:color w:val="1F497D" w:themeColor="text2"/>
                </w:rPr>
              </m:ctrlPr>
            </m:sSubPr>
            <m:e>
              <m:r>
                <w:rPr>
                  <w:rFonts w:ascii="Cambria Math" w:hAnsi="Cambria Math"/>
                  <w:color w:val="1F497D" w:themeColor="text2"/>
                </w:rPr>
                <m:t>M</m:t>
              </m:r>
            </m:e>
            <m:sub>
              <m:r>
                <w:rPr>
                  <w:rFonts w:ascii="Cambria Math" w:hAnsi="Cambria Math"/>
                  <w:color w:val="1F497D" w:themeColor="text2"/>
                </w:rPr>
                <m:t>total</m:t>
              </m:r>
            </m:sub>
          </m:sSub>
          <m:r>
            <w:rPr>
              <w:rFonts w:ascii="Cambria Math" w:hAnsi="Cambria Math"/>
              <w:color w:val="1F497D" w:themeColor="text2"/>
            </w:rPr>
            <m:t xml:space="preserve">= </m:t>
          </m:r>
          <m:sSub>
            <m:sSubPr>
              <m:ctrlPr>
                <w:rPr>
                  <w:rFonts w:ascii="Cambria Math" w:hAnsi="Cambria Math"/>
                  <w:i/>
                  <w:color w:val="1F497D" w:themeColor="text2"/>
                </w:rPr>
              </m:ctrlPr>
            </m:sSubPr>
            <m:e>
              <m:r>
                <w:rPr>
                  <w:rFonts w:ascii="Cambria Math" w:hAnsi="Cambria Math"/>
                  <w:color w:val="1F497D" w:themeColor="text2"/>
                </w:rPr>
                <m:t>M</m:t>
              </m:r>
            </m:e>
            <m:sub>
              <m:r>
                <w:rPr>
                  <w:rFonts w:ascii="Cambria Math" w:hAnsi="Cambria Math"/>
                  <w:color w:val="1F497D" w:themeColor="text2"/>
                </w:rPr>
                <m:t>spatial</m:t>
              </m:r>
            </m:sub>
          </m:sSub>
          <m:r>
            <w:rPr>
              <w:rFonts w:ascii="Cambria Math" w:hAnsi="Cambria Math"/>
              <w:color w:val="1F497D" w:themeColor="text2"/>
            </w:rPr>
            <m:t xml:space="preserve">+ </m:t>
          </m:r>
          <m:sSub>
            <m:sSubPr>
              <m:ctrlPr>
                <w:rPr>
                  <w:rFonts w:ascii="Cambria Math" w:hAnsi="Cambria Math"/>
                  <w:i/>
                  <w:color w:val="1F497D" w:themeColor="text2"/>
                </w:rPr>
              </m:ctrlPr>
            </m:sSubPr>
            <m:e>
              <m:r>
                <w:rPr>
                  <w:rFonts w:ascii="Cambria Math" w:hAnsi="Cambria Math"/>
                  <w:color w:val="1F497D" w:themeColor="text2"/>
                </w:rPr>
                <m:t>M</m:t>
              </m:r>
            </m:e>
            <m:sub>
              <m:r>
                <w:rPr>
                  <w:rFonts w:ascii="Cambria Math" w:hAnsi="Cambria Math"/>
                  <w:color w:val="1F497D" w:themeColor="text2"/>
                </w:rPr>
                <m:t>defer</m:t>
              </m:r>
            </m:sub>
          </m:sSub>
          <m:r>
            <w:rPr>
              <w:rFonts w:ascii="Cambria Math" w:hAnsi="Cambria Math"/>
              <w:color w:val="1F497D" w:themeColor="text2"/>
            </w:rPr>
            <m:t xml:space="preserve">+ </m:t>
          </m:r>
          <m:sSub>
            <m:sSubPr>
              <m:ctrlPr>
                <w:rPr>
                  <w:rFonts w:ascii="Cambria Math" w:hAnsi="Cambria Math"/>
                  <w:i/>
                  <w:color w:val="1F497D" w:themeColor="text2"/>
                </w:rPr>
              </m:ctrlPr>
            </m:sSubPr>
            <m:e>
              <m:r>
                <w:rPr>
                  <w:rFonts w:ascii="Cambria Math" w:hAnsi="Cambria Math"/>
                  <w:color w:val="1F497D" w:themeColor="text2"/>
                </w:rPr>
                <m:t>M</m:t>
              </m:r>
            </m:e>
            <m:sub>
              <m:r>
                <w:rPr>
                  <w:rFonts w:ascii="Cambria Math" w:hAnsi="Cambria Math"/>
                  <w:color w:val="1F497D" w:themeColor="text2"/>
                </w:rPr>
                <m:t>DVFS</m:t>
              </m:r>
            </m:sub>
          </m:sSub>
        </m:oMath>
      </m:oMathPara>
    </w:p>
    <w:p w14:paraId="303D7EE8" w14:textId="445B1D36" w:rsidR="007D6B8A" w:rsidRPr="007D6B8A" w:rsidRDefault="007D6B8A" w:rsidP="007D6B8A">
      <w:pPr>
        <w:pStyle w:val="Compact"/>
      </w:pPr>
      <w:r w:rsidRPr="007D6B8A">
        <w:t>Sequential ordering: spatial first (reduces source load by moving compute elsewhere), deferral</w:t>
      </w:r>
      <w:r>
        <w:t xml:space="preserve"> </w:t>
      </w:r>
      <w:r w:rsidRPr="007D6B8A">
        <w:t>second on remaining inference (reduces source load by pushing NIW past the dispatch</w:t>
      </w:r>
      <w:r>
        <w:t xml:space="preserve"> </w:t>
      </w:r>
      <w:r w:rsidRPr="007D6B8A">
        <w:t>window), DVFS third on residual inference (reduces peak power on what is still running at</w:t>
      </w:r>
      <w:r>
        <w:t xml:space="preserve"> </w:t>
      </w:r>
      <w:r w:rsidRPr="007D6B8A">
        <w:t>source).</w:t>
      </w:r>
    </w:p>
    <w:p w14:paraId="1EE03E49" w14:textId="77777777" w:rsidR="007D6B8A" w:rsidRDefault="007D6B8A" w:rsidP="007D6B8A">
      <w:pPr>
        <w:pStyle w:val="Compact"/>
        <w:rPr>
          <w:b/>
          <w:bCs/>
        </w:rPr>
      </w:pPr>
    </w:p>
    <w:p w14:paraId="75135B76" w14:textId="60FE3D7E" w:rsidR="007D6B8A" w:rsidRPr="007D6B8A" w:rsidRDefault="007D6B8A" w:rsidP="007D6B8A">
      <w:pPr>
        <w:pStyle w:val="Compact"/>
      </w:pPr>
      <w:r w:rsidRPr="007D6B8A">
        <w:rPr>
          <w:b/>
          <w:bCs/>
        </w:rPr>
        <w:t xml:space="preserve">Overlap correction. </w:t>
      </w:r>
      <w:r w:rsidRPr="007D6B8A">
        <w:t xml:space="preserve">Colangelo p. </w:t>
      </w:r>
      <w:r w:rsidR="00E55AA8">
        <w:t>5</w:t>
      </w:r>
      <w:r w:rsidRPr="007D6B8A">
        <w:t>'s 5%-energy / 25%-peak-power finding implies DVFS at the</w:t>
      </w:r>
      <w:r>
        <w:t xml:space="preserve"> </w:t>
      </w:r>
      <w:r w:rsidRPr="007D6B8A">
        <w:t>source partially substitutes for deferral when work returns post-event. Sequential ordering</w:t>
      </w:r>
      <w:r>
        <w:t xml:space="preserve"> </w:t>
      </w:r>
      <w:r w:rsidRPr="007D6B8A">
        <w:t xml:space="preserve">handles this if implemented correctly: </w:t>
      </w:r>
      <w:proofErr w:type="spellStart"/>
      <w:r w:rsidRPr="007D6B8A">
        <w:t>DVFS_headroom</w:t>
      </w:r>
      <w:proofErr w:type="spellEnd"/>
      <w:r w:rsidRPr="007D6B8A">
        <w:t xml:space="preserve"> applies to residual inference after</w:t>
      </w:r>
      <w:r w:rsidRPr="007D6B8A">
        <w:t xml:space="preserve"> </w:t>
      </w:r>
      <w:r w:rsidRPr="007D6B8A">
        <w:t>deferral has removed its NIW slice.</w:t>
      </w:r>
      <w:r w:rsidRPr="007D6B8A">
        <w:rPr>
          <w:b/>
          <w:bCs/>
        </w:rPr>
        <w:t xml:space="preserve"> </w:t>
      </w:r>
      <w:r w:rsidRPr="007D6B8A">
        <w:t>The same NIW MW cannot be counted twice - it is either</w:t>
      </w:r>
      <w:r>
        <w:t xml:space="preserve"> </w:t>
      </w:r>
      <w:r w:rsidRPr="007D6B8A">
        <w:t>deferred (work pushed to post-event hours) or DVFS-reduced (work done at lower power</w:t>
      </w:r>
      <w:r>
        <w:t xml:space="preserve"> </w:t>
      </w:r>
      <w:r w:rsidRPr="007D6B8A">
        <w:t>within the dispatch window), not both.</w:t>
      </w:r>
    </w:p>
    <w:p w14:paraId="50A0349D" w14:textId="77777777" w:rsidR="007D6B8A" w:rsidRDefault="007D6B8A" w:rsidP="007D6B8A">
      <w:pPr>
        <w:pStyle w:val="Compact"/>
      </w:pPr>
    </w:p>
    <w:p w14:paraId="02A8AD84" w14:textId="4C2F60C5" w:rsidR="007D6B8A" w:rsidRPr="007D6B8A" w:rsidRDefault="007D6B8A" w:rsidP="007D6B8A">
      <w:pPr>
        <w:pStyle w:val="Compact"/>
      </w:pPr>
      <w:r w:rsidRPr="007D6B8A">
        <w:t>Stated formally:</w:t>
      </w:r>
    </w:p>
    <w:p w14:paraId="3B23C450" w14:textId="77777777" w:rsidR="00E55AA8" w:rsidRPr="00E55AA8" w:rsidRDefault="00E55AA8" w:rsidP="007D6B8A">
      <w:pPr>
        <w:pStyle w:val="Compact"/>
        <w:rPr>
          <w:rFonts w:eastAsiaTheme="minorEastAsia"/>
          <w:color w:val="1F497D" w:themeColor="text2"/>
          <w:sz w:val="20"/>
          <w:szCs w:val="20"/>
        </w:rPr>
      </w:pPr>
    </w:p>
    <w:p w14:paraId="25CA1743" w14:textId="73EF2291" w:rsidR="007D6B8A" w:rsidRPr="007D6B8A" w:rsidRDefault="007D6B8A" w:rsidP="007D6B8A">
      <w:pPr>
        <w:pStyle w:val="Compact"/>
      </w:pPr>
      <m:oMath>
        <m:r>
          <w:rPr>
            <w:rFonts w:ascii="Cambria Math" w:hAnsi="Cambria Math"/>
            <w:color w:val="1F497D" w:themeColor="text2"/>
            <w:sz w:val="20"/>
            <w:szCs w:val="20"/>
          </w:rPr>
          <m:t xml:space="preserve">M_spatial = (facility nameplate × (1/PUE) </m:t>
        </m:r>
        <m:r>
          <w:rPr>
            <w:rFonts w:ascii="Cambria Math" w:hAnsi="Cambria Math"/>
            <w:color w:val="1F497D" w:themeColor="text2"/>
            <w:sz w:val="20"/>
            <w:szCs w:val="20"/>
          </w:rPr>
          <m:t>×</m:t>
        </m:r>
        <m:r>
          <w:rPr>
            <w:rFonts w:ascii="Cambria Math" w:hAnsi="Cambria Math"/>
            <w:color w:val="1F497D" w:themeColor="text2"/>
            <w:sz w:val="20"/>
            <w:szCs w:val="20"/>
          </w:rPr>
          <m:t xml:space="preserve"> </m:t>
        </m:r>
        <m:r>
          <w:rPr>
            <w:rFonts w:ascii="Cambria Math" w:hAnsi="Cambria Math"/>
            <w:color w:val="1F497D" w:themeColor="text2"/>
            <w:sz w:val="20"/>
            <w:szCs w:val="20"/>
          </w:rPr>
          <m:t>φ</m:t>
        </m:r>
        <m:r>
          <w:rPr>
            <w:rFonts w:ascii="Cambria Math" w:hAnsi="Cambria Math"/>
            <w:color w:val="1F497D" w:themeColor="text2"/>
            <w:sz w:val="20"/>
            <w:szCs w:val="20"/>
          </w:rPr>
          <m:t>_inf,scope) × (MI</m:t>
        </m:r>
        <m:sSub>
          <m:sSubPr>
            <m:ctrlPr>
              <w:rPr>
                <w:rFonts w:ascii="Cambria Math" w:hAnsi="Cambria Math"/>
                <w:i/>
                <w:color w:val="1F497D" w:themeColor="text2"/>
                <w:sz w:val="20"/>
                <w:szCs w:val="20"/>
              </w:rPr>
            </m:ctrlPr>
          </m:sSubPr>
          <m:e>
            <m:r>
              <w:rPr>
                <w:rFonts w:ascii="Cambria Math" w:hAnsi="Cambria Math"/>
                <w:color w:val="1F497D" w:themeColor="text2"/>
                <w:sz w:val="20"/>
                <w:szCs w:val="20"/>
              </w:rPr>
              <m:t>G</m:t>
            </m:r>
          </m:e>
          <m:sub>
            <m:r>
              <w:rPr>
                <w:rFonts w:ascii="Cambria Math" w:hAnsi="Cambria Math"/>
                <w:color w:val="1F497D" w:themeColor="text2"/>
                <w:sz w:val="20"/>
                <w:szCs w:val="20"/>
              </w:rPr>
              <m:t>elig</m:t>
            </m:r>
          </m:sub>
        </m:sSub>
        <m:r>
          <w:rPr>
            <w:rFonts w:ascii="Cambria Math" w:hAnsi="Cambria Math"/>
            <w:color w:val="1F497D" w:themeColor="text2"/>
            <w:sz w:val="20"/>
            <w:szCs w:val="20"/>
          </w:rPr>
          <m:t>× DRAI</m:t>
        </m:r>
        <m:sSub>
          <m:sSubPr>
            <m:ctrlPr>
              <w:rPr>
                <w:rFonts w:ascii="Cambria Math" w:hAnsi="Cambria Math"/>
                <w:i/>
                <w:color w:val="1F497D" w:themeColor="text2"/>
                <w:sz w:val="20"/>
                <w:szCs w:val="20"/>
              </w:rPr>
            </m:ctrlPr>
          </m:sSubPr>
          <m:e>
            <m:r>
              <w:rPr>
                <w:rFonts w:ascii="Cambria Math" w:hAnsi="Cambria Math"/>
                <w:color w:val="1F497D" w:themeColor="text2"/>
                <w:sz w:val="20"/>
                <w:szCs w:val="20"/>
              </w:rPr>
              <m:t>N</m:t>
            </m:r>
          </m:e>
          <m:sub>
            <m:r>
              <w:rPr>
                <w:rFonts w:ascii="Cambria Math" w:hAnsi="Cambria Math"/>
                <w:color w:val="1F497D" w:themeColor="text2"/>
                <w:sz w:val="20"/>
                <w:szCs w:val="20"/>
              </w:rPr>
              <m:t>ok</m:t>
            </m:r>
          </m:sub>
        </m:sSub>
        <m:r>
          <w:rPr>
            <w:rFonts w:ascii="Cambria Math" w:hAnsi="Cambria Math"/>
            <w:color w:val="1F497D" w:themeColor="text2"/>
            <w:sz w:val="20"/>
            <w:szCs w:val="20"/>
          </w:rPr>
          <m:t>×</m:t>
        </m:r>
        <m:r>
          <w:rPr>
            <w:rFonts w:ascii="Cambria Math" w:hAnsi="Cambria Math"/>
            <w:color w:val="1F497D" w:themeColor="text2"/>
            <w:sz w:val="20"/>
            <w:szCs w:val="20"/>
          </w:rPr>
          <m:t xml:space="preserve">DEST _avail </m:t>
        </m:r>
        <m:r>
          <w:rPr>
            <w:rFonts w:ascii="Cambria Math" w:hAnsi="Cambria Math"/>
            <w:color w:val="1F497D" w:themeColor="text2"/>
            <w:sz w:val="20"/>
            <w:szCs w:val="20"/>
          </w:rPr>
          <m:t>×</m:t>
        </m:r>
        <m:r>
          <w:rPr>
            <w:rFonts w:ascii="Cambria Math" w:hAnsi="Cambria Math"/>
            <w:color w:val="1F497D" w:themeColor="text2"/>
            <w:sz w:val="20"/>
            <w:szCs w:val="20"/>
          </w:rPr>
          <m:t xml:space="preserve"> DEST _absorb </m:t>
        </m:r>
        <m:r>
          <w:rPr>
            <w:rFonts w:ascii="Cambria Math" w:hAnsi="Cambria Math"/>
            <w:color w:val="1F497D" w:themeColor="text2"/>
            <w:sz w:val="20"/>
            <w:szCs w:val="20"/>
          </w:rPr>
          <m:t>×</m:t>
        </m:r>
        <m:r>
          <w:rPr>
            <w:rFonts w:ascii="Cambria Math" w:hAnsi="Cambria Math"/>
            <w:color w:val="1F497D" w:themeColor="text2"/>
            <w:sz w:val="20"/>
            <w:szCs w:val="20"/>
          </w:rPr>
          <m:t xml:space="preserve"> NET_ok </m:t>
        </m:r>
        <m:r>
          <w:rPr>
            <w:rFonts w:ascii="Cambria Math" w:hAnsi="Cambria Math"/>
            <w:color w:val="1F497D" w:themeColor="text2"/>
            <w:sz w:val="20"/>
            <w:szCs w:val="20"/>
          </w:rPr>
          <m:t>×</m:t>
        </m:r>
        <m:r>
          <w:rPr>
            <w:rFonts w:ascii="Cambria Math" w:hAnsi="Cambria Math"/>
            <w:color w:val="1F497D" w:themeColor="text2"/>
            <w:sz w:val="20"/>
            <w:szCs w:val="20"/>
          </w:rPr>
          <m:t xml:space="preserve"> ORCH_ok)</m:t>
        </m:r>
      </m:oMath>
      <w:r>
        <w:t xml:space="preserve"> </w:t>
      </w:r>
    </w:p>
    <w:p w14:paraId="1C1546F2" w14:textId="54EB3882" w:rsidR="007D6B8A" w:rsidRPr="007D6B8A" w:rsidRDefault="007D6B8A" w:rsidP="007D6B8A">
      <w:pPr>
        <w:pStyle w:val="Compact"/>
        <w:rPr>
          <w:rFonts w:ascii="Cambria Math" w:hAnsi="Cambria Math"/>
          <w:oMath/>
        </w:rPr>
      </w:pPr>
    </w:p>
    <w:p w14:paraId="3C78AFED" w14:textId="0BC2F5D7" w:rsidR="007D6B8A" w:rsidRPr="007D6B8A" w:rsidRDefault="007D6B8A" w:rsidP="007D6B8A">
      <w:pPr>
        <w:pStyle w:val="Compact"/>
      </w:pPr>
      <m:oMath>
        <m:sSub>
          <m:sSubPr>
            <m:ctrlPr>
              <w:rPr>
                <w:rFonts w:ascii="Cambria Math" w:hAnsi="Cambria Math"/>
                <w:i/>
                <w:color w:val="1F497D" w:themeColor="text2"/>
                <w:sz w:val="20"/>
                <w:szCs w:val="20"/>
              </w:rPr>
            </m:ctrlPr>
          </m:sSubPr>
          <m:e>
            <m:r>
              <w:rPr>
                <w:rFonts w:ascii="Cambria Math" w:hAnsi="Cambria Math"/>
                <w:color w:val="1F497D" w:themeColor="text2"/>
                <w:sz w:val="20"/>
                <w:szCs w:val="20"/>
              </w:rPr>
              <m:t>M</m:t>
            </m:r>
          </m:e>
          <m:sub>
            <m:r>
              <w:rPr>
                <w:rFonts w:ascii="Cambria Math" w:hAnsi="Cambria Math"/>
                <w:color w:val="1F497D" w:themeColor="text2"/>
                <w:sz w:val="20"/>
                <w:szCs w:val="20"/>
              </w:rPr>
              <m:t>defer</m:t>
            </m:r>
          </m:sub>
        </m:sSub>
        <m:r>
          <w:rPr>
            <w:rFonts w:ascii="Cambria Math" w:hAnsi="Cambria Math"/>
            <w:color w:val="1F497D" w:themeColor="text2"/>
            <w:sz w:val="20"/>
            <w:szCs w:val="20"/>
          </w:rPr>
          <m:t xml:space="preserve">= </m:t>
        </m:r>
        <m:d>
          <m:dPr>
            <m:ctrlPr>
              <w:rPr>
                <w:rFonts w:ascii="Cambria Math" w:hAnsi="Cambria Math"/>
                <w:i/>
                <w:color w:val="1F497D" w:themeColor="text2"/>
                <w:sz w:val="20"/>
                <w:szCs w:val="20"/>
              </w:rPr>
            </m:ctrlPr>
          </m:dPr>
          <m:e>
            <m:r>
              <w:rPr>
                <w:rFonts w:ascii="Cambria Math" w:hAnsi="Cambria Math"/>
                <w:color w:val="1F497D" w:themeColor="text2"/>
                <w:sz w:val="20"/>
                <w:szCs w:val="20"/>
              </w:rPr>
              <m:t xml:space="preserve">facility inference MW - </m:t>
            </m:r>
            <m:sSub>
              <m:sSubPr>
                <m:ctrlPr>
                  <w:rPr>
                    <w:rFonts w:ascii="Cambria Math" w:hAnsi="Cambria Math"/>
                    <w:i/>
                    <w:color w:val="1F497D" w:themeColor="text2"/>
                    <w:sz w:val="20"/>
                    <w:szCs w:val="20"/>
                  </w:rPr>
                </m:ctrlPr>
              </m:sSubPr>
              <m:e>
                <m:r>
                  <w:rPr>
                    <w:rFonts w:ascii="Cambria Math" w:hAnsi="Cambria Math"/>
                    <w:color w:val="1F497D" w:themeColor="text2"/>
                    <w:sz w:val="20"/>
                    <w:szCs w:val="20"/>
                  </w:rPr>
                  <m:t>M</m:t>
                </m:r>
              </m:e>
              <m:sub>
                <m:r>
                  <w:rPr>
                    <w:rFonts w:ascii="Cambria Math" w:hAnsi="Cambria Math"/>
                    <w:color w:val="1F497D" w:themeColor="text2"/>
                    <w:sz w:val="20"/>
                    <w:szCs w:val="20"/>
                  </w:rPr>
                  <m:t>spatial</m:t>
                </m:r>
              </m:sub>
            </m:sSub>
          </m:e>
        </m:d>
        <m:r>
          <w:rPr>
            <w:rFonts w:ascii="Cambria Math" w:hAnsi="Cambria Math"/>
            <w:color w:val="1F497D" w:themeColor="text2"/>
            <w:sz w:val="20"/>
            <w:szCs w:val="20"/>
          </w:rPr>
          <m:t xml:space="preserve">× </m:t>
        </m:r>
        <m:d>
          <m:dPr>
            <m:ctrlPr>
              <w:rPr>
                <w:rFonts w:ascii="Cambria Math" w:hAnsi="Cambria Math"/>
                <w:i/>
                <w:color w:val="1F497D" w:themeColor="text2"/>
                <w:sz w:val="20"/>
                <w:szCs w:val="20"/>
              </w:rPr>
            </m:ctrlPr>
          </m:dPr>
          <m:e>
            <m:r>
              <w:rPr>
                <w:rFonts w:ascii="Cambria Math" w:hAnsi="Cambria Math"/>
                <w:color w:val="1F497D" w:themeColor="text2"/>
                <w:sz w:val="20"/>
                <w:szCs w:val="20"/>
              </w:rPr>
              <m:t>NIW share × WINDOW</m:t>
            </m:r>
            <m:r>
              <w:rPr>
                <w:rFonts w:ascii="Cambria Math" w:hAnsi="Cambria Math"/>
                <w:color w:val="1F497D" w:themeColor="text2"/>
                <w:sz w:val="20"/>
                <w:szCs w:val="20"/>
              </w:rPr>
              <m:t>_</m:t>
            </m:r>
            <m:r>
              <w:rPr>
                <w:rFonts w:ascii="Cambria Math" w:hAnsi="Cambria Math"/>
                <w:color w:val="1F497D" w:themeColor="text2"/>
                <w:sz w:val="20"/>
                <w:szCs w:val="20"/>
              </w:rPr>
              <m:t>ok × QUEU</m:t>
            </m:r>
            <m:sSub>
              <m:sSubPr>
                <m:ctrlPr>
                  <w:rPr>
                    <w:rFonts w:ascii="Cambria Math" w:hAnsi="Cambria Math"/>
                    <w:i/>
                    <w:color w:val="1F497D" w:themeColor="text2"/>
                    <w:sz w:val="20"/>
                    <w:szCs w:val="20"/>
                  </w:rPr>
                </m:ctrlPr>
              </m:sSubPr>
              <m:e>
                <m:r>
                  <w:rPr>
                    <w:rFonts w:ascii="Cambria Math" w:hAnsi="Cambria Math"/>
                    <w:color w:val="1F497D" w:themeColor="text2"/>
                    <w:sz w:val="20"/>
                    <w:szCs w:val="20"/>
                  </w:rPr>
                  <m:t>E</m:t>
                </m:r>
              </m:e>
              <m:sub>
                <m:r>
                  <w:rPr>
                    <w:rFonts w:ascii="Cambria Math" w:hAnsi="Cambria Math"/>
                    <w:color w:val="1F497D" w:themeColor="text2"/>
                    <w:sz w:val="20"/>
                    <w:szCs w:val="20"/>
                  </w:rPr>
                  <m:t>ok</m:t>
                </m:r>
              </m:sub>
            </m:sSub>
          </m:e>
        </m:d>
      </m:oMath>
      <w:r>
        <w:t xml:space="preserve"> </w:t>
      </w:r>
    </w:p>
    <w:p w14:paraId="01894649" w14:textId="77777777" w:rsidR="00E55AA8" w:rsidRDefault="00E55AA8" w:rsidP="00E55AA8">
      <w:pPr>
        <w:pStyle w:val="Compact"/>
        <w:rPr>
          <w:rFonts w:eastAsiaTheme="minorEastAsia"/>
          <w:color w:val="1F497D" w:themeColor="text2"/>
          <w:sz w:val="20"/>
          <w:szCs w:val="20"/>
        </w:rPr>
      </w:pPr>
    </w:p>
    <w:p w14:paraId="1A6B01C8" w14:textId="7ADCBE9B" w:rsidR="00E55AA8" w:rsidRPr="007D6B8A" w:rsidRDefault="00E55AA8" w:rsidP="00E55AA8">
      <w:pPr>
        <w:pStyle w:val="Compact"/>
      </w:pPr>
      <m:oMath>
        <m:r>
          <w:rPr>
            <w:rFonts w:ascii="Cambria Math" w:hAnsi="Cambria Math"/>
            <w:color w:val="1F497D" w:themeColor="text2"/>
            <w:sz w:val="20"/>
            <w:szCs w:val="20"/>
          </w:rPr>
          <m:t>M_DVFS = (facility inference MW-M_spatial-M_defer) × (DVF</m:t>
        </m:r>
        <m:sSub>
          <m:sSubPr>
            <m:ctrlPr>
              <w:rPr>
                <w:rFonts w:ascii="Cambria Math" w:hAnsi="Cambria Math"/>
                <w:i/>
                <w:color w:val="1F497D" w:themeColor="text2"/>
                <w:sz w:val="20"/>
                <w:szCs w:val="20"/>
              </w:rPr>
            </m:ctrlPr>
          </m:sSubPr>
          <m:e>
            <m:r>
              <w:rPr>
                <w:rFonts w:ascii="Cambria Math" w:hAnsi="Cambria Math"/>
                <w:color w:val="1F497D" w:themeColor="text2"/>
                <w:sz w:val="20"/>
                <w:szCs w:val="20"/>
              </w:rPr>
              <m:t>S</m:t>
            </m:r>
          </m:e>
          <m:sub>
            <m:r>
              <w:rPr>
                <w:rFonts w:ascii="Cambria Math" w:hAnsi="Cambria Math"/>
                <w:color w:val="1F497D" w:themeColor="text2"/>
                <w:sz w:val="20"/>
                <w:szCs w:val="20"/>
              </w:rPr>
              <m:t>headroom</m:t>
            </m:r>
          </m:sub>
        </m:sSub>
        <m:r>
          <w:rPr>
            <w:rFonts w:ascii="Cambria Math" w:hAnsi="Cambria Math"/>
            <w:color w:val="1F497D" w:themeColor="text2"/>
            <w:sz w:val="20"/>
            <w:szCs w:val="20"/>
          </w:rPr>
          <m:t>×</m:t>
        </m:r>
        <m:r>
          <w:rPr>
            <w:rFonts w:ascii="Cambria Math" w:hAnsi="Cambria Math"/>
            <w:color w:val="1F497D" w:themeColor="text2"/>
            <w:sz w:val="20"/>
            <w:szCs w:val="20"/>
          </w:rPr>
          <m:t>DVFS_reliability)</m:t>
        </m:r>
      </m:oMath>
      <w:r>
        <w:t xml:space="preserve"> </w:t>
      </w:r>
    </w:p>
    <w:p w14:paraId="4CD00C84" w14:textId="16302169" w:rsidR="007D6B8A" w:rsidRPr="007D6B8A" w:rsidRDefault="007D6B8A" w:rsidP="007D6B8A">
      <w:pPr>
        <w:pStyle w:val="Compact"/>
        <w:rPr>
          <w:rFonts w:ascii="Cambria Math" w:hAnsi="Cambria Math"/>
          <w:oMath/>
        </w:rPr>
      </w:pPr>
    </w:p>
    <w:p w14:paraId="01FEDA68" w14:textId="7CBF5329" w:rsidR="007D6B8A" w:rsidRDefault="007D6B8A" w:rsidP="007D6B8A">
      <w:pPr>
        <w:pStyle w:val="Compact"/>
      </w:pPr>
      <w:r w:rsidRPr="007D6B8A">
        <w:rPr>
          <w:b/>
          <w:bCs/>
        </w:rPr>
        <w:t xml:space="preserve">Across-cascade independence. </w:t>
      </w:r>
      <w:r w:rsidRPr="007D6B8A">
        <w:t>Spatial and deferral draw from largely disjoint effective pools</w:t>
      </w:r>
      <w:r w:rsidR="00E55AA8">
        <w:t xml:space="preserve"> </w:t>
      </w:r>
      <w:r w:rsidRPr="007D6B8A">
        <w:t>at Ensemble B: spatial preferentially migrates IW workloads (latency-budget-tolerant,</w:t>
      </w:r>
      <w:r w:rsidR="00E55AA8">
        <w:t xml:space="preserve"> </w:t>
      </w:r>
      <w:r w:rsidRPr="007D6B8A">
        <w:t>statelessness amenable), and deferral targets NIW. The approximation is reasonable but not</w:t>
      </w:r>
      <w:r w:rsidR="00E55AA8">
        <w:t xml:space="preserve"> </w:t>
      </w:r>
      <w:r w:rsidRPr="007D6B8A">
        <w:t>exact; sensitivity to this assumption is reported in Methods. DVFS operates on residual</w:t>
      </w:r>
      <w:r w:rsidR="00E55AA8">
        <w:t xml:space="preserve"> </w:t>
      </w:r>
      <w:r w:rsidRPr="007D6B8A">
        <w:t>inference at source after both spatial and deferral, so substitution is handled by the sequential</w:t>
      </w:r>
      <w:r w:rsidR="00E55AA8">
        <w:t xml:space="preserve"> </w:t>
      </w:r>
      <w:r w:rsidRPr="007D6B8A">
        <w:t>ordering rather than by an across-cascade independence assumption.</w:t>
      </w:r>
    </w:p>
    <w:p w14:paraId="684729B9" w14:textId="77777777" w:rsidR="00E55AA8" w:rsidRPr="007D6B8A" w:rsidRDefault="00E55AA8" w:rsidP="007D6B8A">
      <w:pPr>
        <w:pStyle w:val="Compact"/>
      </w:pPr>
    </w:p>
    <w:p w14:paraId="02292ED9" w14:textId="297A244D" w:rsidR="00E55AA8" w:rsidRDefault="007D6B8A" w:rsidP="007D6B8A">
      <w:pPr>
        <w:pStyle w:val="Compact"/>
        <w:rPr>
          <w:b/>
          <w:bCs/>
        </w:rPr>
      </w:pPr>
      <w:r w:rsidRPr="007D6B8A">
        <w:rPr>
          <w:b/>
          <w:bCs/>
        </w:rPr>
        <w:t>6.3 Commitment depth definitions</w:t>
      </w:r>
    </w:p>
    <w:p w14:paraId="02DFDFF1" w14:textId="0D188EC1" w:rsidR="007D6B8A" w:rsidRPr="007D6B8A" w:rsidRDefault="007D6B8A" w:rsidP="007D6B8A">
      <w:pPr>
        <w:pStyle w:val="Compact"/>
      </w:pPr>
      <w:r w:rsidRPr="007D6B8A">
        <w:rPr>
          <w:b/>
          <w:bCs/>
        </w:rPr>
        <w:t xml:space="preserve">Per facility MW </w:t>
      </w:r>
      <w:r w:rsidRPr="007D6B8A">
        <w:t>(the headline metric):</w:t>
      </w:r>
    </w:p>
    <w:p w14:paraId="619EDDC4" w14:textId="7C779FD7" w:rsidR="007D6B8A" w:rsidRPr="007D6B8A" w:rsidRDefault="00E55AA8" w:rsidP="007D6B8A">
      <w:pPr>
        <w:pStyle w:val="Compact"/>
      </w:pPr>
      <m:oMathPara>
        <m:oMath>
          <m:r>
            <w:rPr>
              <w:rFonts w:ascii="Cambria Math" w:hAnsi="Cambria Math"/>
              <w:color w:val="1F497D" w:themeColor="text2"/>
            </w:rPr>
            <m:t xml:space="preserve">Commitment depth </m:t>
          </m:r>
          <m:d>
            <m:dPr>
              <m:ctrlPr>
                <w:rPr>
                  <w:rFonts w:ascii="Cambria Math" w:hAnsi="Cambria Math"/>
                  <w:i/>
                  <w:color w:val="1F497D" w:themeColor="text2"/>
                </w:rPr>
              </m:ctrlPr>
            </m:dPr>
            <m:e>
              <m:r>
                <w:rPr>
                  <w:rFonts w:ascii="Cambria Math" w:hAnsi="Cambria Math"/>
                  <w:color w:val="1F497D" w:themeColor="text2"/>
                </w:rPr>
                <m:t>per facility MW</m:t>
              </m:r>
            </m:e>
          </m:d>
          <m:r>
            <w:rPr>
              <w:rFonts w:ascii="Cambria Math" w:hAnsi="Cambria Math"/>
              <w:color w:val="1F497D" w:themeColor="text2"/>
            </w:rPr>
            <m:t>=</m:t>
          </m:r>
          <m:f>
            <m:fPr>
              <m:ctrlPr>
                <w:rPr>
                  <w:rFonts w:ascii="Cambria Math" w:hAnsi="Cambria Math"/>
                  <w:i/>
                  <w:color w:val="1F497D" w:themeColor="text2"/>
                </w:rPr>
              </m:ctrlPr>
            </m:fPr>
            <m:num>
              <m:sSub>
                <m:sSubPr>
                  <m:ctrlPr>
                    <w:rPr>
                      <w:rFonts w:ascii="Cambria Math" w:hAnsi="Cambria Math"/>
                      <w:i/>
                      <w:color w:val="1F497D" w:themeColor="text2"/>
                    </w:rPr>
                  </m:ctrlPr>
                </m:sSubPr>
                <m:e>
                  <m:r>
                    <w:rPr>
                      <w:rFonts w:ascii="Cambria Math" w:hAnsi="Cambria Math"/>
                      <w:color w:val="1F497D" w:themeColor="text2"/>
                    </w:rPr>
                    <m:t>M</m:t>
                  </m:r>
                </m:e>
                <m:sub>
                  <m:r>
                    <w:rPr>
                      <w:rFonts w:ascii="Cambria Math" w:hAnsi="Cambria Math"/>
                      <w:color w:val="1F497D" w:themeColor="text2"/>
                    </w:rPr>
                    <m:t>total</m:t>
                  </m:r>
                </m:sub>
              </m:sSub>
            </m:num>
            <m:den>
              <m:r>
                <w:rPr>
                  <w:rFonts w:ascii="Cambria Math" w:hAnsi="Cambria Math"/>
                  <w:color w:val="1F497D" w:themeColor="text2"/>
                </w:rPr>
                <m:t>nameplate</m:t>
              </m:r>
            </m:den>
          </m:f>
        </m:oMath>
      </m:oMathPara>
    </w:p>
    <w:p w14:paraId="5D0ACD19" w14:textId="77777777" w:rsidR="00E55AA8" w:rsidRDefault="00E55AA8" w:rsidP="007D6B8A">
      <w:pPr>
        <w:pStyle w:val="Compact"/>
        <w:rPr>
          <w:b/>
          <w:bCs/>
        </w:rPr>
      </w:pPr>
    </w:p>
    <w:p w14:paraId="26AE9168" w14:textId="143C014E" w:rsidR="007D6B8A" w:rsidRPr="007D6B8A" w:rsidRDefault="007D6B8A" w:rsidP="007D6B8A">
      <w:pPr>
        <w:pStyle w:val="Compact"/>
      </w:pPr>
      <w:r w:rsidRPr="007D6B8A">
        <w:rPr>
          <w:b/>
          <w:bCs/>
        </w:rPr>
        <w:t xml:space="preserve">Per inference MW </w:t>
      </w:r>
      <w:r w:rsidRPr="007D6B8A">
        <w:t>(scope-invariant intermediate quantity, useful for separating cascade</w:t>
      </w:r>
    </w:p>
    <w:p w14:paraId="120D0E2A" w14:textId="77777777" w:rsidR="007D6B8A" w:rsidRPr="007D6B8A" w:rsidRDefault="007D6B8A" w:rsidP="007D6B8A">
      <w:pPr>
        <w:pStyle w:val="Compact"/>
      </w:pPr>
      <w:r w:rsidRPr="007D6B8A">
        <w:t>mechanics from scope-scenario reporting):</w:t>
      </w:r>
    </w:p>
    <w:p w14:paraId="04F85254" w14:textId="1BF42009" w:rsidR="00E55AA8" w:rsidRDefault="00E55AA8" w:rsidP="007D6B8A">
      <w:pPr>
        <w:pStyle w:val="Compact"/>
        <w:rPr>
          <w:rFonts w:eastAsiaTheme="minorEastAsia"/>
        </w:rPr>
      </w:pPr>
      <m:oMathPara>
        <m:oMath>
          <m:r>
            <w:rPr>
              <w:rFonts w:ascii="Cambria Math" w:hAnsi="Cambria Math"/>
            </w:rPr>
            <m:t xml:space="preserve">Commitment depth </m:t>
          </m:r>
          <m:d>
            <m:dPr>
              <m:ctrlPr>
                <w:rPr>
                  <w:rFonts w:ascii="Cambria Math" w:hAnsi="Cambria Math"/>
                  <w:i/>
                </w:rPr>
              </m:ctrlPr>
            </m:dPr>
            <m:e>
              <m:r>
                <w:rPr>
                  <w:rFonts w:ascii="Cambria Math" w:hAnsi="Cambria Math"/>
                </w:rPr>
                <m:t xml:space="preserve">per inference </m:t>
              </m:r>
              <m:r>
                <w:rPr>
                  <w:rFonts w:ascii="Cambria Math" w:hAnsi="Cambria Math"/>
                </w:rPr>
                <m:t>MW</m:t>
              </m:r>
              <m:ctrlPr>
                <w:rPr>
                  <w:rFonts w:ascii="Cambria Math" w:hAnsi="Cambria Math"/>
                  <w:b/>
                  <w:bCs/>
                  <w:i/>
                </w:rPr>
              </m:ctrlPr>
            </m:e>
          </m:d>
          <m:r>
            <m:rPr>
              <m:sty m:val="bi"/>
            </m:rP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ctrlPr>
                    <w:rPr>
                      <w:rFonts w:ascii="Cambria Math" w:hAnsi="Cambria Math"/>
                      <w:b/>
                      <w:bCs/>
                      <w:i/>
                    </w:rPr>
                  </m:ctrlPr>
                </m:e>
                <m:sub>
                  <m:r>
                    <w:rPr>
                      <w:rFonts w:ascii="Cambria Math" w:hAnsi="Cambria Math"/>
                    </w:rPr>
                    <m:t>total</m:t>
                  </m:r>
                </m:sub>
              </m:sSub>
              <m:ctrlPr>
                <w:rPr>
                  <w:rFonts w:ascii="Cambria Math" w:hAnsi="Cambria Math"/>
                  <w:b/>
                  <w:bCs/>
                  <w:i/>
                </w:rPr>
              </m:ctrlPr>
            </m:num>
            <m:den>
              <m:d>
                <m:dPr>
                  <m:begChr m:val="["/>
                  <m:endChr m:val="]"/>
                  <m:ctrlPr>
                    <w:rPr>
                      <w:rFonts w:ascii="Cambria Math" w:hAnsi="Cambria Math"/>
                      <w:i/>
                    </w:rPr>
                  </m:ctrlPr>
                </m:dPr>
                <m:e>
                  <m:r>
                    <w:rPr>
                      <w:rFonts w:ascii="Cambria Math" w:hAnsi="Cambria Math"/>
                    </w:rPr>
                    <m:t xml:space="preserve">nameplate </m:t>
                  </m:r>
                  <m:r>
                    <w:rPr>
                      <w:rFonts w:ascii="Cambria Math" w:hAnsi="Cambria Math"/>
                      <w:color w:val="1F497D" w:themeColor="text2"/>
                      <w:sz w:val="20"/>
                      <w:szCs w:val="20"/>
                    </w:rPr>
                    <m:t>×</m:t>
                  </m:r>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PUE</m:t>
                          </m:r>
                        </m:den>
                      </m:f>
                    </m:e>
                  </m:d>
                  <m:r>
                    <w:rPr>
                      <w:rFonts w:ascii="Cambria Math" w:hAnsi="Cambria Math"/>
                      <w:color w:val="1F497D" w:themeColor="text2"/>
                      <w:sz w:val="20"/>
                      <w:szCs w:val="20"/>
                    </w:rPr>
                    <m:t>×</m:t>
                  </m:r>
                  <m:r>
                    <w:rPr>
                      <w:rFonts w:ascii="Cambria Math" w:hAnsi="Cambria Math"/>
                    </w:rPr>
                    <m:t xml:space="preserve"> </m:t>
                  </m:r>
                  <m:sSub>
                    <m:sSubPr>
                      <m:ctrlPr>
                        <w:rPr>
                          <w:rFonts w:ascii="Cambria Math" w:hAnsi="Cambria Math"/>
                          <w:i/>
                        </w:rPr>
                      </m:ctrlPr>
                    </m:sSubPr>
                    <m:e>
                      <m:r>
                        <w:rPr>
                          <w:rFonts w:ascii="Cambria Math" w:hAnsi="Cambria Math"/>
                        </w:rPr>
                        <m:t>φ</m:t>
                      </m:r>
                    </m:e>
                    <m:sub>
                      <m:r>
                        <w:rPr>
                          <w:rFonts w:ascii="Cambria Math" w:hAnsi="Cambria Math"/>
                        </w:rPr>
                        <m:t>inf</m:t>
                      </m:r>
                    </m:sub>
                  </m:sSub>
                </m:e>
              </m:d>
            </m:den>
          </m:f>
        </m:oMath>
      </m:oMathPara>
    </w:p>
    <w:p w14:paraId="02CC93D2" w14:textId="75307635" w:rsidR="007D6B8A" w:rsidRPr="007D6B8A" w:rsidRDefault="00E55AA8" w:rsidP="007D6B8A">
      <w:pPr>
        <w:pStyle w:val="Compact"/>
      </w:pPr>
      <w:r>
        <w:t>Th</w:t>
      </w:r>
      <w:r w:rsidR="007D6B8A" w:rsidRPr="007D6B8A">
        <w:t>e per-inference-MW quantity is identical across the two scope scenarios (since cp_inf</w:t>
      </w:r>
    </w:p>
    <w:p w14:paraId="26197423" w14:textId="0CD4F5CE" w:rsidR="007D6B8A" w:rsidRDefault="007D6B8A" w:rsidP="007D6B8A">
      <w:pPr>
        <w:pStyle w:val="Compact"/>
      </w:pPr>
      <w:r w:rsidRPr="007D6B8A">
        <w:t xml:space="preserve">cancels); the per-facility-MW quantity differs by the ratio of </w:t>
      </w:r>
      <w:r w:rsidR="00E55AA8" w:rsidRPr="00E55AA8">
        <w:t>φ</w:t>
      </w:r>
      <w:r w:rsidR="00E55AA8" w:rsidRPr="00E55AA8">
        <w:t xml:space="preserve"> </w:t>
      </w:r>
      <w:r w:rsidRPr="007D6B8A">
        <w:t>_inf,</w:t>
      </w:r>
      <w:r w:rsidR="00E55AA8">
        <w:t xml:space="preserve"> </w:t>
      </w:r>
      <w:r w:rsidRPr="007D6B8A">
        <w:t xml:space="preserve">dominant to </w:t>
      </w:r>
      <w:proofErr w:type="spellStart"/>
      <w:r w:rsidR="00E55AA8" w:rsidRPr="00E55AA8">
        <w:t>φ</w:t>
      </w:r>
      <w:r w:rsidRPr="007D6B8A">
        <w:t>_</w:t>
      </w:r>
      <w:proofErr w:type="gramStart"/>
      <w:r w:rsidRPr="007D6B8A">
        <w:t>inf,mixed</w:t>
      </w:r>
      <w:proofErr w:type="spellEnd"/>
      <w:proofErr w:type="gramEnd"/>
      <w:r w:rsidRPr="007D6B8A">
        <w:t>. This</w:t>
      </w:r>
      <w:r w:rsidR="00E55AA8">
        <w:t xml:space="preserve"> </w:t>
      </w:r>
      <w:r w:rsidRPr="007D6B8A">
        <w:t>is the structural reason the two-scope reporting produces different headline numbers from the</w:t>
      </w:r>
      <w:r w:rsidR="00E55AA8">
        <w:t xml:space="preserve"> </w:t>
      </w:r>
      <w:r w:rsidRPr="007D6B8A">
        <w:t>same underlying mechanism cascades.</w:t>
      </w:r>
    </w:p>
    <w:p w14:paraId="521311BD" w14:textId="77777777" w:rsidR="00B8415C" w:rsidRDefault="00B8415C" w:rsidP="007D6B8A">
      <w:pPr>
        <w:pStyle w:val="Compact"/>
        <w:pBdr>
          <w:bottom w:val="single" w:sz="12" w:space="1" w:color="auto"/>
        </w:pBdr>
      </w:pPr>
    </w:p>
    <w:p w14:paraId="43B537B3" w14:textId="77777777" w:rsidR="00B8415C" w:rsidRDefault="00B8415C" w:rsidP="007D6B8A">
      <w:pPr>
        <w:pStyle w:val="Compact"/>
      </w:pPr>
    </w:p>
    <w:p w14:paraId="35DC1BBB" w14:textId="5630664B" w:rsidR="00B8415C" w:rsidRDefault="00B8415C" w:rsidP="007D6B8A">
      <w:pPr>
        <w:pStyle w:val="Compact"/>
        <w:rPr>
          <w:b/>
          <w:bCs/>
          <w:sz w:val="28"/>
          <w:szCs w:val="28"/>
        </w:rPr>
      </w:pPr>
      <w:r>
        <w:rPr>
          <w:b/>
          <w:bCs/>
          <w:sz w:val="28"/>
          <w:szCs w:val="28"/>
        </w:rPr>
        <w:t>7</w:t>
      </w:r>
      <w:r>
        <w:rPr>
          <w:b/>
          <w:bCs/>
          <w:sz w:val="28"/>
          <w:szCs w:val="28"/>
        </w:rPr>
        <w:t>.</w:t>
      </w:r>
      <w:r w:rsidRPr="000B2C9D">
        <w:rPr>
          <w:b/>
          <w:bCs/>
          <w:sz w:val="28"/>
          <w:szCs w:val="28"/>
        </w:rPr>
        <w:t xml:space="preserve"> </w:t>
      </w:r>
      <w:r>
        <w:rPr>
          <w:b/>
          <w:bCs/>
          <w:sz w:val="28"/>
          <w:szCs w:val="28"/>
        </w:rPr>
        <w:t>Limitations</w:t>
      </w:r>
    </w:p>
    <w:p w14:paraId="06DEF64C" w14:textId="77777777" w:rsidR="00B8415C" w:rsidRDefault="00B8415C" w:rsidP="007D6B8A">
      <w:pPr>
        <w:pStyle w:val="Compact"/>
        <w:rPr>
          <w:b/>
          <w:bCs/>
          <w:sz w:val="28"/>
          <w:szCs w:val="28"/>
        </w:rPr>
      </w:pPr>
    </w:p>
    <w:p w14:paraId="62F5732D" w14:textId="77777777" w:rsidR="00B8415C" w:rsidRDefault="00B8415C" w:rsidP="00B8415C">
      <w:pPr>
        <w:pStyle w:val="Compact"/>
        <w:numPr>
          <w:ilvl w:val="0"/>
          <w:numId w:val="20"/>
        </w:numPr>
      </w:pPr>
      <w:r w:rsidRPr="00B8415C">
        <w:rPr>
          <w:b/>
          <w:bCs/>
        </w:rPr>
        <w:t>Scope limited to Inference; CONUS only; PJM emergency DR profile as worked example.</w:t>
      </w:r>
      <w:r w:rsidRPr="00B8415C">
        <w:rPr>
          <w:b/>
          <w:bCs/>
        </w:rPr>
        <w:t xml:space="preserve"> </w:t>
      </w:r>
      <w:r w:rsidRPr="00B8415C">
        <w:t>The framework is rigorously bounded to inference workloads in the U.S. context, with the</w:t>
      </w:r>
      <w:r>
        <w:t xml:space="preserve"> </w:t>
      </w:r>
      <w:r w:rsidRPr="00B8415C">
        <w:t>6-hour PJM emergency DR profile as the dispatch worked example. Training, fine-tuning</w:t>
      </w:r>
      <w:r>
        <w:t xml:space="preserve"> </w:t>
      </w:r>
      <w:r w:rsidRPr="00B8415C">
        <w:t>and stateful workloads are excluded from the spatial pathway and participate only</w:t>
      </w:r>
      <w:r>
        <w:t xml:space="preserve"> </w:t>
      </w:r>
      <w:r w:rsidRPr="00B8415C">
        <w:t>through DVFS. International applicability requires re-evaluation of MIG _</w:t>
      </w:r>
      <w:proofErr w:type="spellStart"/>
      <w:r w:rsidRPr="00B8415C">
        <w:t>elig</w:t>
      </w:r>
      <w:proofErr w:type="spellEnd"/>
      <w:r w:rsidRPr="00B8415C">
        <w:t xml:space="preserve"> (data</w:t>
      </w:r>
      <w:r>
        <w:t xml:space="preserve"> </w:t>
      </w:r>
      <w:r w:rsidRPr="00B8415C">
        <w:t>residency varies internationally) and DEST _avail (interconnection topology differs).</w:t>
      </w:r>
      <w:r>
        <w:t xml:space="preserve"> </w:t>
      </w:r>
      <w:r w:rsidRPr="00B8415C">
        <w:t xml:space="preserve">Longer-duration dispatch profiles require re-evaluation of WINDOW ok and </w:t>
      </w:r>
      <w:proofErr w:type="spellStart"/>
      <w:r w:rsidRPr="00B8415C">
        <w:t>QUEUE_ok</w:t>
      </w:r>
      <w:proofErr w:type="spellEnd"/>
      <w:r>
        <w:t xml:space="preserve"> </w:t>
      </w:r>
      <w:r w:rsidRPr="00B8415C">
        <w:t>(deadline-physics functions of event duration).</w:t>
      </w:r>
    </w:p>
    <w:p w14:paraId="709D23A2" w14:textId="77777777" w:rsidR="00B8415C" w:rsidRDefault="00B8415C" w:rsidP="00B8415C">
      <w:pPr>
        <w:pStyle w:val="Compact"/>
        <w:numPr>
          <w:ilvl w:val="0"/>
          <w:numId w:val="20"/>
        </w:numPr>
      </w:pPr>
      <w:r w:rsidRPr="00B8415C">
        <w:rPr>
          <w:b/>
          <w:bCs/>
        </w:rPr>
        <w:t xml:space="preserve">DEST absorb is the dominant uncertainty. </w:t>
      </w:r>
      <w:r w:rsidRPr="00B8415C">
        <w:t>The literature genuinely disputes destination</w:t>
      </w:r>
      <w:r>
        <w:t xml:space="preserve"> </w:t>
      </w:r>
      <w:r w:rsidRPr="00B8415C">
        <w:t xml:space="preserve">utilization rates by a factor </w:t>
      </w:r>
      <w:proofErr w:type="gramStart"/>
      <w:r w:rsidRPr="00B8415C">
        <w:t>of2</w:t>
      </w:r>
      <w:proofErr w:type="gramEnd"/>
      <w:r w:rsidRPr="00B8415C">
        <w:t xml:space="preserve"> (40% to 90%); no direct measurement of GPU-level</w:t>
      </w:r>
      <w:r>
        <w:t xml:space="preserve"> </w:t>
      </w:r>
      <w:r w:rsidRPr="00B8415C">
        <w:t>utilization at production AI inference facilities during grid stress hours exists. The range</w:t>
      </w:r>
      <w:r>
        <w:t xml:space="preserve"> </w:t>
      </w:r>
      <w:r w:rsidRPr="00B8415C">
        <w:t>[0.15, 0.55] reflects this dispute rather than collapsing it; the honest framework defense is</w:t>
      </w:r>
      <w:r>
        <w:t xml:space="preserve"> </w:t>
      </w:r>
      <w:r w:rsidRPr="00B8415C">
        <w:t xml:space="preserve">the dispute itself, not a point estimate. GPU-level power </w:t>
      </w:r>
      <w:proofErr w:type="gramStart"/>
      <w:r w:rsidRPr="00B8415C">
        <w:t>draw</w:t>
      </w:r>
      <w:proofErr w:type="gramEnd"/>
      <w:r w:rsidRPr="00B8415C">
        <w:t xml:space="preserve"> or utilization telemetry from</w:t>
      </w:r>
      <w:r>
        <w:t xml:space="preserve"> </w:t>
      </w:r>
      <w:r w:rsidRPr="00B8415C">
        <w:t>production inference facilities, time-series-aligned to grid stress hours in the source</w:t>
      </w:r>
      <w:r>
        <w:t xml:space="preserve"> </w:t>
      </w:r>
      <w:r w:rsidRPr="00B8415C">
        <w:t>interconnection, is the single most valuable empirical contribution that hyperscale</w:t>
      </w:r>
      <w:r>
        <w:t xml:space="preserve"> </w:t>
      </w:r>
      <w:r w:rsidRPr="00B8415C">
        <w:t>operators could make to tighten the framework.</w:t>
      </w:r>
    </w:p>
    <w:p w14:paraId="0E5D6321" w14:textId="77777777" w:rsidR="00B8415C" w:rsidRDefault="00B8415C" w:rsidP="00B8415C">
      <w:pPr>
        <w:pStyle w:val="Compact"/>
        <w:numPr>
          <w:ilvl w:val="0"/>
          <w:numId w:val="20"/>
        </w:numPr>
      </w:pPr>
      <w:proofErr w:type="spellStart"/>
      <w:r w:rsidRPr="00B8415C">
        <w:rPr>
          <w:b/>
          <w:bCs/>
        </w:rPr>
        <w:t>MIG_elig</w:t>
      </w:r>
      <w:proofErr w:type="spellEnd"/>
      <w:r w:rsidRPr="00B8415C">
        <w:rPr>
          <w:b/>
          <w:bCs/>
        </w:rPr>
        <w:t xml:space="preserve"> Component B (unpinned) has no published measurement. </w:t>
      </w:r>
      <w:r w:rsidRPr="00B8415C">
        <w:t>The fraction of</w:t>
      </w:r>
      <w:r>
        <w:t xml:space="preserve"> </w:t>
      </w:r>
      <w:r w:rsidRPr="00B8415C">
        <w:t xml:space="preserve">inference workloads subject to contractual or operational pinning is </w:t>
      </w:r>
      <w:proofErr w:type="gramStart"/>
      <w:r w:rsidRPr="00B8415C">
        <w:t>bounded</w:t>
      </w:r>
      <w:proofErr w:type="gramEnd"/>
      <w:r w:rsidRPr="00B8415C">
        <w:t xml:space="preserve"> at [0.55,</w:t>
      </w:r>
      <w:r>
        <w:t xml:space="preserve"> </w:t>
      </w:r>
      <w:r w:rsidRPr="00B8415C">
        <w:t>0.95] based on industry analysis, not direct measurement. Cross-region inference is</w:t>
      </w:r>
      <w:r>
        <w:t xml:space="preserve"> </w:t>
      </w:r>
      <w:r w:rsidRPr="00B8415C">
        <w:t>demonstrably production-ready (Amazon Bedrock, Google carbon-aware scheduling,</w:t>
      </w:r>
      <w:r>
        <w:t xml:space="preserve"> </w:t>
      </w:r>
      <w:r w:rsidRPr="00B8415C">
        <w:t>Sky LB), but the precise prevalence of pinning remains undocumented. Production data on</w:t>
      </w:r>
      <w:r>
        <w:t xml:space="preserve"> </w:t>
      </w:r>
      <w:proofErr w:type="spellStart"/>
      <w:r w:rsidRPr="00B8415C">
        <w:t>hyperscaler</w:t>
      </w:r>
      <w:proofErr w:type="spellEnd"/>
      <w:r w:rsidRPr="00B8415C">
        <w:t xml:space="preserve"> cross-region inference traffic - specifically, the fraction executed under</w:t>
      </w:r>
      <w:r>
        <w:t xml:space="preserve"> </w:t>
      </w:r>
      <w:r w:rsidRPr="00B8415C">
        <w:t>region-locked contracts versus flexible dispatch - would substantially narrow the range.</w:t>
      </w:r>
    </w:p>
    <w:p w14:paraId="38455FE5" w14:textId="77777777" w:rsidR="00B8415C" w:rsidRPr="00B8415C" w:rsidRDefault="00B8415C" w:rsidP="00B8415C">
      <w:pPr>
        <w:pStyle w:val="Compact"/>
        <w:numPr>
          <w:ilvl w:val="0"/>
          <w:numId w:val="20"/>
        </w:numPr>
      </w:pPr>
      <w:proofErr w:type="spellStart"/>
      <w:r w:rsidRPr="00B8415C">
        <w:rPr>
          <w:b/>
          <w:bCs/>
        </w:rPr>
        <w:t>QUEUE_ok</w:t>
      </w:r>
      <w:proofErr w:type="spellEnd"/>
      <w:r w:rsidRPr="00B8415C">
        <w:rPr>
          <w:b/>
          <w:bCs/>
        </w:rPr>
        <w:t xml:space="preserve"> fleet-scale extrapolation is novel. </w:t>
      </w:r>
      <w:r w:rsidRPr="00B8415C">
        <w:t>Single-facility post-stress queue absorption</w:t>
      </w:r>
      <w:r>
        <w:t xml:space="preserve"> </w:t>
      </w:r>
      <w:r w:rsidRPr="00B8415C">
        <w:t xml:space="preserve">is grounded in </w:t>
      </w:r>
      <w:proofErr w:type="spellStart"/>
      <w:r w:rsidRPr="00B8415C">
        <w:t>DynamoLLM</w:t>
      </w:r>
      <w:proofErr w:type="spellEnd"/>
      <w:r w:rsidRPr="00B8415C">
        <w:t xml:space="preserve"> peak-to-valley dynamics. Fleet-scale saturation when many</w:t>
      </w:r>
      <w:r>
        <w:t xml:space="preserve"> </w:t>
      </w:r>
      <w:r w:rsidRPr="00B8415C">
        <w:t>facilities defer simultaneously into the same recovery window is reasoned from</w:t>
      </w:r>
      <w:r>
        <w:t xml:space="preserve"> </w:t>
      </w:r>
      <w:r w:rsidRPr="00B8415C">
        <w:t xml:space="preserve">coordination arguments without direct measurement. The 0.85 central </w:t>
      </w:r>
      <w:proofErr w:type="gramStart"/>
      <w:r w:rsidRPr="00B8415C">
        <w:t>with [0.65, 0.98]</w:t>
      </w:r>
      <w:r>
        <w:t xml:space="preserve"> </w:t>
      </w:r>
      <w:r w:rsidRPr="00B8415C">
        <w:t>range</w:t>
      </w:r>
      <w:proofErr w:type="gramEnd"/>
      <w:r w:rsidRPr="00B8415C">
        <w:t xml:space="preserve"> reflects genuine uncertainty.</w:t>
      </w:r>
    </w:p>
    <w:p w14:paraId="4069435A" w14:textId="77777777" w:rsidR="00B8415C" w:rsidRDefault="00B8415C" w:rsidP="00B8415C">
      <w:pPr>
        <w:pStyle w:val="Compact"/>
        <w:numPr>
          <w:ilvl w:val="0"/>
          <w:numId w:val="20"/>
        </w:numPr>
      </w:pPr>
      <w:r w:rsidRPr="00B8415C">
        <w:rPr>
          <w:b/>
          <w:bCs/>
        </w:rPr>
        <w:t xml:space="preserve">Climate and reflexivity reduce DEST avail forward applicability. </w:t>
      </w:r>
      <w:r w:rsidRPr="00B8415C">
        <w:t>DEST _avail is grounded</w:t>
      </w:r>
      <w:r>
        <w:t xml:space="preserve"> </w:t>
      </w:r>
      <w:r w:rsidRPr="00B8415C">
        <w:t>in 2022-2025 historical pricing. Climate change may shift the frequency and geographic</w:t>
      </w:r>
      <w:r>
        <w:t xml:space="preserve"> </w:t>
      </w:r>
      <w:r w:rsidRPr="00B8415C">
        <w:t>scope of extreme weather events; the January 2024 Arctic Blast continental-scale cold</w:t>
      </w:r>
      <w:r>
        <w:t xml:space="preserve"> </w:t>
      </w:r>
      <w:r w:rsidRPr="00B8415C">
        <w:t>event may become more common. Additionally, widespread spatial migration adoption</w:t>
      </w:r>
      <w:r>
        <w:t xml:space="preserve"> </w:t>
      </w:r>
      <w:r w:rsidRPr="00B8415C">
        <w:t>could stress destinations during source events (a Goodhart's Law dynamic). The 94.5%</w:t>
      </w:r>
      <w:r>
        <w:t xml:space="preserve"> </w:t>
      </w:r>
      <w:r w:rsidRPr="00B8415C">
        <w:t>capacity-weighted central availability should be treated as a recent-history observation,</w:t>
      </w:r>
      <w:r>
        <w:t xml:space="preserve"> </w:t>
      </w:r>
      <w:r w:rsidRPr="00B8415C">
        <w:t>not a forward guarantee.</w:t>
      </w:r>
    </w:p>
    <w:p w14:paraId="46857F14" w14:textId="77777777" w:rsidR="00B8415C" w:rsidRDefault="00B8415C" w:rsidP="00B8415C">
      <w:pPr>
        <w:pStyle w:val="Compact"/>
        <w:numPr>
          <w:ilvl w:val="0"/>
          <w:numId w:val="20"/>
        </w:numPr>
      </w:pPr>
      <w:r w:rsidRPr="00B8415C">
        <w:rPr>
          <w:b/>
          <w:bCs/>
        </w:rPr>
        <w:t xml:space="preserve">The cross-facility grid-dispatch orchestration layer does not exist. </w:t>
      </w:r>
      <w:proofErr w:type="spellStart"/>
      <w:r w:rsidRPr="00B8415C">
        <w:t>ORCH_ok</w:t>
      </w:r>
      <w:proofErr w:type="spellEnd"/>
      <w:r w:rsidRPr="00B8415C">
        <w:t xml:space="preserve"> at 0.95</w:t>
      </w:r>
      <w:r>
        <w:t xml:space="preserve"> </w:t>
      </w:r>
      <w:r w:rsidRPr="00B8415C">
        <w:t xml:space="preserve">reflects within-facility production precedent across three </w:t>
      </w:r>
      <w:proofErr w:type="spellStart"/>
      <w:r w:rsidRPr="00B8415C">
        <w:t>hyperscalers</w:t>
      </w:r>
      <w:proofErr w:type="spellEnd"/>
      <w:r w:rsidRPr="00B8415C">
        <w:t xml:space="preserve"> (Flex, Dynamo,</w:t>
      </w:r>
      <w:r>
        <w:t xml:space="preserve"> </w:t>
      </w:r>
      <w:r w:rsidRPr="00B8415C">
        <w:t>Thunderbolt) with a 5% residual for the cross-facility-grid-dispatch interface that is novel.</w:t>
      </w:r>
      <w:r>
        <w:t xml:space="preserve"> </w:t>
      </w:r>
      <w:r w:rsidRPr="00B8415C">
        <w:t>The framework quantifies the economic incentive to build this orchestration; it does not</w:t>
      </w:r>
      <w:r>
        <w:t xml:space="preserve"> </w:t>
      </w:r>
      <w:r w:rsidRPr="00B8415C">
        <w:t>assume it exists.</w:t>
      </w:r>
    </w:p>
    <w:p w14:paraId="28C0CF2E" w14:textId="77777777" w:rsidR="00B8415C" w:rsidRDefault="00B8415C" w:rsidP="00B8415C">
      <w:pPr>
        <w:pStyle w:val="Compact"/>
        <w:numPr>
          <w:ilvl w:val="0"/>
          <w:numId w:val="20"/>
        </w:numPr>
      </w:pPr>
      <w:r w:rsidRPr="00B8415C">
        <w:rPr>
          <w:b/>
          <w:bCs/>
        </w:rPr>
        <w:t>DVFS-deferral substitution at source is handled by sequential ordering, not by</w:t>
      </w:r>
      <w:r>
        <w:t xml:space="preserve"> </w:t>
      </w:r>
      <w:r w:rsidRPr="00B8415C">
        <w:rPr>
          <w:b/>
          <w:bCs/>
        </w:rPr>
        <w:t xml:space="preserve">independence assumption. </w:t>
      </w:r>
      <w:r w:rsidRPr="00B8415C">
        <w:t>The Colangelo 5%-energy / 25%-peak-power finding requires</w:t>
      </w:r>
      <w:r>
        <w:t xml:space="preserve"> </w:t>
      </w:r>
      <w:r w:rsidRPr="00B8415C">
        <w:t>explicit sequential composition: DVFS applies only to residual inference after deferral has</w:t>
      </w:r>
      <w:r>
        <w:t xml:space="preserve"> </w:t>
      </w:r>
      <w:r w:rsidRPr="00B8415C">
        <w:t>removed its NIW slice, preventing double-counting. The framework's commitment depth</w:t>
      </w:r>
      <w:r>
        <w:t xml:space="preserve"> </w:t>
      </w:r>
      <w:r w:rsidRPr="00B8415C">
        <w:t xml:space="preserve">depends on this </w:t>
      </w:r>
      <w:proofErr w:type="gramStart"/>
      <w:r w:rsidRPr="00B8415C">
        <w:t>ordering</w:t>
      </w:r>
      <w:proofErr w:type="gramEnd"/>
      <w:r w:rsidRPr="00B8415C">
        <w:t xml:space="preserve"> being implemented correctly in the MC.</w:t>
      </w:r>
    </w:p>
    <w:p w14:paraId="7D5A917E" w14:textId="77777777" w:rsidR="00B8415C" w:rsidRDefault="00B8415C" w:rsidP="00B8415C">
      <w:pPr>
        <w:pStyle w:val="Compact"/>
        <w:numPr>
          <w:ilvl w:val="0"/>
          <w:numId w:val="20"/>
        </w:numPr>
      </w:pPr>
      <w:proofErr w:type="spellStart"/>
      <w:r w:rsidRPr="00B8415C">
        <w:rPr>
          <w:b/>
          <w:bCs/>
        </w:rPr>
        <w:t>DVFS_headroom</w:t>
      </w:r>
      <w:proofErr w:type="spellEnd"/>
      <w:r w:rsidRPr="00B8415C">
        <w:rPr>
          <w:b/>
          <w:bCs/>
        </w:rPr>
        <w:t xml:space="preserve"> ensemble slope (0.18 </w:t>
      </w:r>
      <w:r w:rsidRPr="00B8415C">
        <w:t xml:space="preserve">/ </w:t>
      </w:r>
      <w:r w:rsidRPr="00B8415C">
        <w:rPr>
          <w:b/>
          <w:bCs/>
        </w:rPr>
        <w:t xml:space="preserve">0.25 </w:t>
      </w:r>
      <w:r w:rsidRPr="00B8415C">
        <w:t xml:space="preserve">/ </w:t>
      </w:r>
      <w:r w:rsidRPr="00B8415C">
        <w:rPr>
          <w:b/>
          <w:bCs/>
        </w:rPr>
        <w:t xml:space="preserve">0.32 across A/ B </w:t>
      </w:r>
      <w:r w:rsidRPr="00B8415C">
        <w:t xml:space="preserve">/ </w:t>
      </w:r>
      <w:r w:rsidRPr="00B8415C">
        <w:rPr>
          <w:b/>
          <w:bCs/>
        </w:rPr>
        <w:t>C) is scenario</w:t>
      </w:r>
      <w:r>
        <w:t xml:space="preserve"> </w:t>
      </w:r>
      <w:r w:rsidRPr="00B8415C">
        <w:rPr>
          <w:b/>
          <w:bCs/>
        </w:rPr>
        <w:t xml:space="preserve">construction. </w:t>
      </w:r>
      <w:r w:rsidRPr="00B8415C">
        <w:t>Anchored on Colangelo's measured 25% at the balanced (Ensemble B) case</w:t>
      </w:r>
      <w:r>
        <w:t xml:space="preserve"> </w:t>
      </w:r>
      <w:r w:rsidRPr="00B8415C">
        <w:t xml:space="preserve">with </w:t>
      </w:r>
      <w:proofErr w:type="spellStart"/>
      <w:r w:rsidRPr="00B8415C">
        <w:t>Kakolyris</w:t>
      </w:r>
      <w:proofErr w:type="spellEnd"/>
      <w:r w:rsidRPr="00B8415C">
        <w:t xml:space="preserve"> directional support for the SLO-tightness slope; the slope itself is not</w:t>
      </w:r>
      <w:r>
        <w:t xml:space="preserve"> </w:t>
      </w:r>
      <w:r w:rsidRPr="00B8415C">
        <w:t>directly measured.</w:t>
      </w:r>
    </w:p>
    <w:p w14:paraId="041A1E89" w14:textId="77777777" w:rsidR="00B8415C" w:rsidRDefault="00B8415C" w:rsidP="00B8415C">
      <w:pPr>
        <w:pStyle w:val="Compact"/>
        <w:numPr>
          <w:ilvl w:val="0"/>
          <w:numId w:val="20"/>
        </w:numPr>
      </w:pPr>
      <w:proofErr w:type="spellStart"/>
      <w:r w:rsidRPr="00B8415C">
        <w:rPr>
          <w:b/>
          <w:bCs/>
        </w:rPr>
        <w:t>MIG_elig</w:t>
      </w:r>
      <w:proofErr w:type="spellEnd"/>
      <w:r w:rsidRPr="00B8415C">
        <w:rPr>
          <w:b/>
          <w:bCs/>
        </w:rPr>
        <w:t xml:space="preserve"> is held fixed across ensembles. </w:t>
      </w:r>
      <w:r w:rsidRPr="00B8415C">
        <w:t>An earlier draft proposed ensemble-dependent</w:t>
      </w:r>
      <w:r>
        <w:t xml:space="preserve"> </w:t>
      </w:r>
      <w:r w:rsidRPr="00B8415C">
        <w:t>variation; withdrawn because no source supports ensemble variation in eligibility itself. If</w:t>
      </w:r>
      <w:r>
        <w:t xml:space="preserve"> </w:t>
      </w:r>
      <w:r w:rsidRPr="00B8415C">
        <w:t xml:space="preserve">a reviewer pushes back arguing IW-F-heavy ensembles should have lower </w:t>
      </w:r>
      <w:proofErr w:type="spellStart"/>
      <w:r w:rsidRPr="00B8415C">
        <w:t>migratability</w:t>
      </w:r>
      <w:proofErr w:type="spellEnd"/>
      <w:r w:rsidRPr="00B8415C">
        <w:t>,</w:t>
      </w:r>
      <w:r>
        <w:t xml:space="preserve"> </w:t>
      </w:r>
      <w:r w:rsidRPr="00B8415C">
        <w:t xml:space="preserve">the response is that latency-sensitivity is captured in NET ok and </w:t>
      </w:r>
      <w:proofErr w:type="spellStart"/>
      <w:r w:rsidRPr="00B8415C">
        <w:t>ORCH_ok</w:t>
      </w:r>
      <w:proofErr w:type="spellEnd"/>
      <w:r w:rsidRPr="00B8415C">
        <w:t xml:space="preserve"> at execution</w:t>
      </w:r>
      <w:r>
        <w:t xml:space="preserve"> </w:t>
      </w:r>
      <w:r w:rsidRPr="00B8415C">
        <w:t xml:space="preserve">time, not in </w:t>
      </w:r>
      <w:proofErr w:type="spellStart"/>
      <w:r w:rsidRPr="00B8415C">
        <w:t>MIG_elig</w:t>
      </w:r>
      <w:proofErr w:type="spellEnd"/>
      <w:r w:rsidRPr="00B8415C">
        <w:t>. Defensible but may require explicit argumentation.</w:t>
      </w:r>
    </w:p>
    <w:p w14:paraId="12C7A912" w14:textId="49014DAA" w:rsidR="00B8415C" w:rsidRDefault="00B8415C" w:rsidP="00B8415C">
      <w:pPr>
        <w:pStyle w:val="Compact"/>
        <w:numPr>
          <w:ilvl w:val="0"/>
          <w:numId w:val="20"/>
        </w:numPr>
      </w:pPr>
      <w:r w:rsidRPr="00B8415C">
        <w:rPr>
          <w:b/>
          <w:bCs/>
        </w:rPr>
        <w:t>Two-scope reporting treats q&gt;_</w:t>
      </w:r>
      <w:proofErr w:type="spellStart"/>
      <w:r w:rsidRPr="00B8415C">
        <w:rPr>
          <w:b/>
          <w:bCs/>
        </w:rPr>
        <w:t>in~mixed</w:t>
      </w:r>
      <w:proofErr w:type="spellEnd"/>
      <w:r w:rsidRPr="00B8415C">
        <w:rPr>
          <w:b/>
          <w:bCs/>
        </w:rPr>
        <w:t xml:space="preserve"> and q&gt;_</w:t>
      </w:r>
      <w:proofErr w:type="spellStart"/>
      <w:proofErr w:type="gramStart"/>
      <w:r w:rsidRPr="00B8415C">
        <w:rPr>
          <w:b/>
          <w:bCs/>
        </w:rPr>
        <w:t>inf,dominant</w:t>
      </w:r>
      <w:proofErr w:type="spellEnd"/>
      <w:proofErr w:type="gramEnd"/>
      <w:r w:rsidRPr="00B8415C">
        <w:rPr>
          <w:b/>
          <w:bCs/>
        </w:rPr>
        <w:t xml:space="preserve"> as parallel</w:t>
      </w:r>
      <w:r>
        <w:rPr>
          <w:b/>
          <w:bCs/>
        </w:rPr>
        <w:t xml:space="preserve"> </w:t>
      </w:r>
      <w:r w:rsidRPr="00B8415C">
        <w:rPr>
          <w:b/>
          <w:bCs/>
        </w:rPr>
        <w:t>realizations.</w:t>
      </w:r>
      <w:r>
        <w:rPr>
          <w:b/>
          <w:bCs/>
        </w:rPr>
        <w:t xml:space="preserve"> </w:t>
      </w:r>
      <w:r w:rsidRPr="00B8415C">
        <w:t>The</w:t>
      </w:r>
      <w:r>
        <w:t xml:space="preserve"> </w:t>
      </w:r>
      <w:r w:rsidRPr="00B8415C">
        <w:t>actual 2030 fleet will include both classes; reporting both is more honest than collapsing to</w:t>
      </w:r>
      <w:r>
        <w:t xml:space="preserve"> </w:t>
      </w:r>
      <w:r w:rsidRPr="00B8415C">
        <w:t>a single scope. However, the visualization burden in §5 doubles relative to single-scope</w:t>
      </w:r>
      <w:r>
        <w:t xml:space="preserve"> </w:t>
      </w:r>
      <w:r w:rsidRPr="00B8415C">
        <w:t>reporting. If visualization clutter becomes intolerable, the fallback is leading with</w:t>
      </w:r>
      <w:r>
        <w:t xml:space="preserve"> </w:t>
      </w:r>
      <w:r w:rsidRPr="00B8415C">
        <w:t>inference-dominant (Scope B) as the headline scenario and treating mixed-use (Scope A)</w:t>
      </w:r>
      <w:r>
        <w:t xml:space="preserve"> </w:t>
      </w:r>
      <w:r w:rsidRPr="00B8415C">
        <w:t>as a sensitivity in Methods.</w:t>
      </w:r>
    </w:p>
    <w:p w14:paraId="64099233" w14:textId="77777777" w:rsidR="00B8415C" w:rsidRDefault="00B8415C" w:rsidP="00B8415C">
      <w:pPr>
        <w:pStyle w:val="Compact"/>
        <w:pBdr>
          <w:bottom w:val="single" w:sz="12" w:space="1" w:color="auto"/>
        </w:pBdr>
      </w:pPr>
    </w:p>
    <w:p w14:paraId="6472A0C1" w14:textId="77777777" w:rsidR="00B8415C" w:rsidRDefault="00B8415C" w:rsidP="00B8415C">
      <w:pPr>
        <w:pStyle w:val="Compact"/>
      </w:pPr>
    </w:p>
    <w:p w14:paraId="5E6A4E76" w14:textId="66CDC41B" w:rsidR="00B8415C" w:rsidRPr="00B8415C" w:rsidRDefault="002D0B64" w:rsidP="00B8415C">
      <w:pPr>
        <w:pStyle w:val="Compact"/>
        <w:rPr>
          <w:b/>
          <w:bCs/>
          <w:sz w:val="28"/>
          <w:szCs w:val="28"/>
        </w:rPr>
      </w:pPr>
      <w:r>
        <w:rPr>
          <w:b/>
          <w:bCs/>
          <w:sz w:val="28"/>
          <w:szCs w:val="28"/>
        </w:rPr>
        <w:t>8</w:t>
      </w:r>
      <w:r w:rsidR="00B8415C" w:rsidRPr="00B8415C">
        <w:rPr>
          <w:b/>
          <w:bCs/>
          <w:sz w:val="28"/>
          <w:szCs w:val="28"/>
        </w:rPr>
        <w:t>. Evolution from the Ten-Parameter Cascade</w:t>
      </w:r>
    </w:p>
    <w:p w14:paraId="2F50F8DC" w14:textId="77777777" w:rsidR="00B8415C" w:rsidRPr="00B8415C" w:rsidRDefault="00B8415C" w:rsidP="00B8415C">
      <w:pPr>
        <w:pStyle w:val="Compact"/>
      </w:pPr>
      <w:r w:rsidRPr="00B8415C">
        <w:t>This appendix supersedes the ten-parameter spatial-migration cascade documented in</w:t>
      </w:r>
    </w:p>
    <w:p w14:paraId="5DE6CA15" w14:textId="5067CA4A" w:rsidR="00B8415C" w:rsidRDefault="00B8415C" w:rsidP="00B8415C">
      <w:pPr>
        <w:pStyle w:val="Compact"/>
      </w:pPr>
      <w:r w:rsidRPr="00B8415C">
        <w:t>Pillar1.docx and the v18 reconciliation. The reform is structural rather than incremental.</w:t>
      </w:r>
    </w:p>
    <w:p w14:paraId="691EC4AC" w14:textId="77777777" w:rsidR="00B8415C" w:rsidRDefault="00B8415C" w:rsidP="00B8415C">
      <w:pPr>
        <w:pStyle w:val="Compact"/>
      </w:pPr>
    </w:p>
    <w:p w14:paraId="34942E16" w14:textId="182382D2" w:rsidR="00B8415C" w:rsidRDefault="002D0B64" w:rsidP="00B8415C">
      <w:pPr>
        <w:pStyle w:val="Compact"/>
        <w:rPr>
          <w:b/>
          <w:bCs/>
        </w:rPr>
      </w:pPr>
      <w:r>
        <w:rPr>
          <w:b/>
          <w:bCs/>
        </w:rPr>
        <w:t>8</w:t>
      </w:r>
      <w:r w:rsidR="00B8415C">
        <w:rPr>
          <w:b/>
          <w:bCs/>
        </w:rPr>
        <w:t>.1 Structural changes</w:t>
      </w:r>
    </w:p>
    <w:tbl>
      <w:tblPr>
        <w:tblStyle w:val="TableGrid"/>
        <w:tblW w:w="0" w:type="auto"/>
        <w:tblLook w:val="04A0" w:firstRow="1" w:lastRow="0" w:firstColumn="1" w:lastColumn="0" w:noHBand="0" w:noVBand="1"/>
      </w:tblPr>
      <w:tblGrid>
        <w:gridCol w:w="3116"/>
        <w:gridCol w:w="3117"/>
        <w:gridCol w:w="3117"/>
      </w:tblGrid>
      <w:tr w:rsidR="00B8415C" w14:paraId="1ADFF695" w14:textId="77777777" w:rsidTr="00B8415C">
        <w:tc>
          <w:tcPr>
            <w:tcW w:w="3116" w:type="dxa"/>
            <w:shd w:val="clear" w:color="auto" w:fill="D9D9D9" w:themeFill="background1" w:themeFillShade="D9"/>
          </w:tcPr>
          <w:p w14:paraId="6B9CFDA4" w14:textId="1F743E15" w:rsidR="00B8415C" w:rsidRPr="00B8415C" w:rsidRDefault="00B8415C" w:rsidP="00B8415C">
            <w:pPr>
              <w:pStyle w:val="Compact"/>
              <w:rPr>
                <w:b/>
                <w:bCs/>
              </w:rPr>
            </w:pPr>
            <w:r>
              <w:rPr>
                <w:b/>
                <w:bCs/>
              </w:rPr>
              <w:t>Aspect</w:t>
            </w:r>
          </w:p>
        </w:tc>
        <w:tc>
          <w:tcPr>
            <w:tcW w:w="3117" w:type="dxa"/>
            <w:shd w:val="clear" w:color="auto" w:fill="D9D9D9" w:themeFill="background1" w:themeFillShade="D9"/>
          </w:tcPr>
          <w:p w14:paraId="00BB664E" w14:textId="559B4901" w:rsidR="00B8415C" w:rsidRDefault="00B8415C" w:rsidP="00B8415C">
            <w:pPr>
              <w:pStyle w:val="Compact"/>
              <w:rPr>
                <w:b/>
                <w:bCs/>
              </w:rPr>
            </w:pPr>
            <w:r>
              <w:rPr>
                <w:b/>
                <w:bCs/>
              </w:rPr>
              <w:t xml:space="preserve">Prior </w:t>
            </w:r>
            <w:r w:rsidRPr="00B8415C">
              <w:rPr>
                <w:b/>
                <w:bCs/>
                <w:sz w:val="20"/>
                <w:szCs w:val="20"/>
              </w:rPr>
              <w:t>(10-parameter cascade + FLEX_FRAC + DEFER_FRAC)</w:t>
            </w:r>
          </w:p>
        </w:tc>
        <w:tc>
          <w:tcPr>
            <w:tcW w:w="3117" w:type="dxa"/>
            <w:shd w:val="clear" w:color="auto" w:fill="D9D9D9" w:themeFill="background1" w:themeFillShade="D9"/>
          </w:tcPr>
          <w:p w14:paraId="30507D34" w14:textId="72E0AB7E" w:rsidR="00B8415C" w:rsidRDefault="00B8415C" w:rsidP="00B8415C">
            <w:pPr>
              <w:pStyle w:val="Compact"/>
              <w:rPr>
                <w:b/>
                <w:bCs/>
              </w:rPr>
            </w:pPr>
            <w:r>
              <w:rPr>
                <w:b/>
                <w:bCs/>
              </w:rPr>
              <w:t xml:space="preserve">Reformed </w:t>
            </w:r>
            <w:r w:rsidRPr="00B8415C">
              <w:rPr>
                <w:b/>
                <w:bCs/>
                <w:sz w:val="20"/>
                <w:szCs w:val="20"/>
              </w:rPr>
              <w:t>(eleven-parameter framework, three sub-cascades)</w:t>
            </w:r>
          </w:p>
        </w:tc>
      </w:tr>
      <w:tr w:rsidR="00B8415C" w14:paraId="0DC3E379" w14:textId="77777777" w:rsidTr="00B8415C">
        <w:tc>
          <w:tcPr>
            <w:tcW w:w="3116" w:type="dxa"/>
          </w:tcPr>
          <w:p w14:paraId="1D036412" w14:textId="60314F13" w:rsidR="00B8415C" w:rsidRPr="002D2B52" w:rsidRDefault="00B8415C" w:rsidP="00B8415C">
            <w:pPr>
              <w:pStyle w:val="Compact"/>
              <w:rPr>
                <w:sz w:val="20"/>
                <w:szCs w:val="20"/>
              </w:rPr>
            </w:pPr>
            <w:r w:rsidRPr="002D2B52">
              <w:rPr>
                <w:sz w:val="20"/>
                <w:szCs w:val="20"/>
              </w:rPr>
              <w:t>Unit of analysis</w:t>
            </w:r>
          </w:p>
        </w:tc>
        <w:tc>
          <w:tcPr>
            <w:tcW w:w="3117" w:type="dxa"/>
          </w:tcPr>
          <w:p w14:paraId="2622CFA2" w14:textId="1BC58764" w:rsidR="00B8415C" w:rsidRPr="002D2B52" w:rsidRDefault="00B8415C" w:rsidP="00447292">
            <w:pPr>
              <w:pStyle w:val="Compact"/>
              <w:rPr>
                <w:sz w:val="20"/>
                <w:szCs w:val="20"/>
              </w:rPr>
            </w:pPr>
            <w:r w:rsidRPr="00B8415C">
              <w:rPr>
                <w:sz w:val="20"/>
                <w:szCs w:val="20"/>
              </w:rPr>
              <w:t>Spatial migration as the worked</w:t>
            </w:r>
            <w:r w:rsidRPr="002D2B52">
              <w:rPr>
                <w:sz w:val="20"/>
                <w:szCs w:val="20"/>
              </w:rPr>
              <w:t>-</w:t>
            </w:r>
            <w:r w:rsidRPr="00B8415C">
              <w:rPr>
                <w:sz w:val="20"/>
                <w:szCs w:val="20"/>
              </w:rPr>
              <w:t>example</w:t>
            </w:r>
            <w:r w:rsidR="00447292" w:rsidRPr="002D2B52">
              <w:rPr>
                <w:sz w:val="20"/>
                <w:szCs w:val="20"/>
              </w:rPr>
              <w:t xml:space="preserve"> </w:t>
            </w:r>
            <w:r w:rsidRPr="002D2B52">
              <w:rPr>
                <w:sz w:val="20"/>
                <w:szCs w:val="20"/>
              </w:rPr>
              <w:t>contribution</w:t>
            </w:r>
          </w:p>
        </w:tc>
        <w:tc>
          <w:tcPr>
            <w:tcW w:w="3117" w:type="dxa"/>
          </w:tcPr>
          <w:p w14:paraId="57B62E1F" w14:textId="064DD3BD" w:rsidR="00447292" w:rsidRPr="00447292" w:rsidRDefault="00447292" w:rsidP="00447292">
            <w:pPr>
              <w:pStyle w:val="Compact"/>
              <w:rPr>
                <w:sz w:val="20"/>
                <w:szCs w:val="20"/>
              </w:rPr>
            </w:pPr>
            <w:r w:rsidRPr="00447292">
              <w:rPr>
                <w:sz w:val="20"/>
                <w:szCs w:val="20"/>
              </w:rPr>
              <w:t>System slack: composed operational</w:t>
            </w:r>
            <w:r w:rsidR="002D2B52">
              <w:rPr>
                <w:sz w:val="20"/>
                <w:szCs w:val="20"/>
              </w:rPr>
              <w:t xml:space="preserve"> </w:t>
            </w:r>
            <w:r w:rsidRPr="00447292">
              <w:rPr>
                <w:sz w:val="20"/>
                <w:szCs w:val="20"/>
              </w:rPr>
              <w:t>flexibility expressed in capacity</w:t>
            </w:r>
            <w:r w:rsidR="002D2B52">
              <w:rPr>
                <w:sz w:val="20"/>
                <w:szCs w:val="20"/>
              </w:rPr>
              <w:t>-</w:t>
            </w:r>
            <w:r w:rsidRPr="00447292">
              <w:rPr>
                <w:sz w:val="20"/>
                <w:szCs w:val="20"/>
              </w:rPr>
              <w:t>accreditation</w:t>
            </w:r>
          </w:p>
          <w:p w14:paraId="208447D1" w14:textId="03145014" w:rsidR="00B8415C" w:rsidRPr="002D2B52" w:rsidRDefault="00447292" w:rsidP="00447292">
            <w:pPr>
              <w:pStyle w:val="Compact"/>
              <w:rPr>
                <w:sz w:val="20"/>
                <w:szCs w:val="20"/>
              </w:rPr>
            </w:pPr>
            <w:r w:rsidRPr="002D2B52">
              <w:rPr>
                <w:sz w:val="20"/>
                <w:szCs w:val="20"/>
              </w:rPr>
              <w:t>terms</w:t>
            </w:r>
          </w:p>
        </w:tc>
      </w:tr>
      <w:tr w:rsidR="00B8415C" w14:paraId="2550FF3D" w14:textId="77777777" w:rsidTr="00B8415C">
        <w:tc>
          <w:tcPr>
            <w:tcW w:w="3116" w:type="dxa"/>
          </w:tcPr>
          <w:p w14:paraId="2EFA602E" w14:textId="0869F7DD" w:rsidR="00B8415C" w:rsidRPr="002D2B52" w:rsidRDefault="00B8415C" w:rsidP="00B8415C">
            <w:pPr>
              <w:pStyle w:val="Compact"/>
              <w:rPr>
                <w:sz w:val="20"/>
                <w:szCs w:val="20"/>
              </w:rPr>
            </w:pPr>
            <w:r w:rsidRPr="002D2B52">
              <w:rPr>
                <w:sz w:val="20"/>
                <w:szCs w:val="20"/>
              </w:rPr>
              <w:t>Decomposition</w:t>
            </w:r>
          </w:p>
        </w:tc>
        <w:tc>
          <w:tcPr>
            <w:tcW w:w="3117" w:type="dxa"/>
          </w:tcPr>
          <w:p w14:paraId="56487DEB" w14:textId="22A2B313" w:rsidR="00B8415C" w:rsidRPr="002D2B52" w:rsidRDefault="00B8415C" w:rsidP="00447292">
            <w:pPr>
              <w:pStyle w:val="Compact"/>
              <w:rPr>
                <w:sz w:val="20"/>
                <w:szCs w:val="20"/>
              </w:rPr>
            </w:pPr>
            <w:r w:rsidRPr="00B8415C">
              <w:rPr>
                <w:sz w:val="20"/>
                <w:szCs w:val="20"/>
              </w:rPr>
              <w:t>Single multiplicative cascade with</w:t>
            </w:r>
            <w:r w:rsidR="00447292" w:rsidRPr="002D2B52">
              <w:rPr>
                <w:sz w:val="20"/>
                <w:szCs w:val="20"/>
              </w:rPr>
              <w:t xml:space="preserve"> </w:t>
            </w:r>
            <w:r w:rsidRPr="002D2B52">
              <w:rPr>
                <w:sz w:val="20"/>
                <w:szCs w:val="20"/>
              </w:rPr>
              <w:t>S/D/E</w:t>
            </w:r>
            <w:r w:rsidRPr="002D2B52">
              <w:rPr>
                <w:sz w:val="20"/>
                <w:szCs w:val="20"/>
              </w:rPr>
              <w:t xml:space="preserve"> </w:t>
            </w:r>
            <w:r w:rsidRPr="002D2B52">
              <w:rPr>
                <w:sz w:val="20"/>
                <w:szCs w:val="20"/>
              </w:rPr>
              <w:t>axes</w:t>
            </w:r>
          </w:p>
        </w:tc>
        <w:tc>
          <w:tcPr>
            <w:tcW w:w="3117" w:type="dxa"/>
          </w:tcPr>
          <w:p w14:paraId="36138138" w14:textId="0679B7E3" w:rsidR="00B8415C" w:rsidRPr="002D2B52" w:rsidRDefault="00447292" w:rsidP="002D2B52">
            <w:pPr>
              <w:pStyle w:val="Compact"/>
              <w:rPr>
                <w:sz w:val="20"/>
                <w:szCs w:val="20"/>
              </w:rPr>
            </w:pPr>
            <w:r w:rsidRPr="00447292">
              <w:rPr>
                <w:sz w:val="20"/>
                <w:szCs w:val="20"/>
              </w:rPr>
              <w:t>Three per-mechanism mini-cascades</w:t>
            </w:r>
            <w:r w:rsidR="002D2B52">
              <w:rPr>
                <w:sz w:val="20"/>
                <w:szCs w:val="20"/>
              </w:rPr>
              <w:t xml:space="preserve"> </w:t>
            </w:r>
            <w:r w:rsidRPr="002D2B52">
              <w:rPr>
                <w:sz w:val="20"/>
                <w:szCs w:val="20"/>
              </w:rPr>
              <w:t>composed additively at the MW layer</w:t>
            </w:r>
          </w:p>
        </w:tc>
      </w:tr>
      <w:tr w:rsidR="00B8415C" w14:paraId="76819C6E" w14:textId="77777777" w:rsidTr="00B8415C">
        <w:tc>
          <w:tcPr>
            <w:tcW w:w="3116" w:type="dxa"/>
          </w:tcPr>
          <w:p w14:paraId="2F5C7BFC" w14:textId="791D4C8D" w:rsidR="00B8415C" w:rsidRPr="002D2B52" w:rsidRDefault="00B8415C" w:rsidP="00B8415C">
            <w:pPr>
              <w:pStyle w:val="Compact"/>
              <w:rPr>
                <w:sz w:val="20"/>
                <w:szCs w:val="20"/>
              </w:rPr>
            </w:pPr>
            <w:r w:rsidRPr="002D2B52">
              <w:rPr>
                <w:sz w:val="20"/>
                <w:szCs w:val="20"/>
              </w:rPr>
              <w:t>Mechanism integration</w:t>
            </w:r>
          </w:p>
        </w:tc>
        <w:tc>
          <w:tcPr>
            <w:tcW w:w="3117" w:type="dxa"/>
          </w:tcPr>
          <w:p w14:paraId="7F70A439" w14:textId="77777777" w:rsidR="00B8415C" w:rsidRPr="00B8415C" w:rsidRDefault="00B8415C" w:rsidP="00B8415C">
            <w:pPr>
              <w:pStyle w:val="Compact"/>
              <w:rPr>
                <w:sz w:val="20"/>
                <w:szCs w:val="20"/>
              </w:rPr>
            </w:pPr>
            <w:r w:rsidRPr="00B8415C">
              <w:rPr>
                <w:sz w:val="20"/>
                <w:szCs w:val="20"/>
              </w:rPr>
              <w:t>FLEX_FRAC and DEFER_FRAC</w:t>
            </w:r>
          </w:p>
          <w:p w14:paraId="0A0D4E90" w14:textId="1F591D3A" w:rsidR="00B8415C" w:rsidRPr="002D2B52" w:rsidRDefault="00B8415C" w:rsidP="00B8415C">
            <w:pPr>
              <w:pStyle w:val="Compact"/>
              <w:rPr>
                <w:sz w:val="20"/>
                <w:szCs w:val="20"/>
              </w:rPr>
            </w:pPr>
            <w:r w:rsidRPr="002D2B52">
              <w:rPr>
                <w:sz w:val="20"/>
                <w:szCs w:val="20"/>
              </w:rPr>
              <w:t>bolted on to spatial cascade</w:t>
            </w:r>
          </w:p>
        </w:tc>
        <w:tc>
          <w:tcPr>
            <w:tcW w:w="3117" w:type="dxa"/>
          </w:tcPr>
          <w:p w14:paraId="3B8B9FE3" w14:textId="370F3963" w:rsidR="00B8415C" w:rsidRPr="002D2B52" w:rsidRDefault="002D2B52" w:rsidP="002D2B52">
            <w:pPr>
              <w:pStyle w:val="Compact"/>
              <w:rPr>
                <w:sz w:val="20"/>
                <w:szCs w:val="20"/>
              </w:rPr>
            </w:pPr>
            <w:r w:rsidRPr="002D2B52">
              <w:rPr>
                <w:sz w:val="20"/>
                <w:szCs w:val="20"/>
              </w:rPr>
              <w:t>Three mechanisms (spatial, deferral, DVFS)</w:t>
            </w:r>
            <w:r>
              <w:rPr>
                <w:sz w:val="20"/>
                <w:szCs w:val="20"/>
              </w:rPr>
              <w:t xml:space="preserve"> </w:t>
            </w:r>
            <w:r w:rsidRPr="002D2B52">
              <w:rPr>
                <w:sz w:val="20"/>
                <w:szCs w:val="20"/>
              </w:rPr>
              <w:t>treated as parallel decompositions</w:t>
            </w:r>
          </w:p>
        </w:tc>
      </w:tr>
      <w:tr w:rsidR="00B8415C" w14:paraId="683F1C48" w14:textId="77777777" w:rsidTr="00B8415C">
        <w:tc>
          <w:tcPr>
            <w:tcW w:w="3116" w:type="dxa"/>
          </w:tcPr>
          <w:p w14:paraId="655B2769" w14:textId="625B10EA" w:rsidR="00B8415C" w:rsidRPr="002D2B52" w:rsidRDefault="00B8415C" w:rsidP="00B8415C">
            <w:pPr>
              <w:pStyle w:val="Compact"/>
              <w:rPr>
                <w:sz w:val="20"/>
                <w:szCs w:val="20"/>
              </w:rPr>
            </w:pPr>
            <w:r w:rsidRPr="002D2B52">
              <w:rPr>
                <w:sz w:val="20"/>
                <w:szCs w:val="20"/>
              </w:rPr>
              <w:t>Scope handling</w:t>
            </w:r>
          </w:p>
        </w:tc>
        <w:tc>
          <w:tcPr>
            <w:tcW w:w="3117" w:type="dxa"/>
          </w:tcPr>
          <w:p w14:paraId="7503E64C" w14:textId="667D3C42" w:rsidR="00B8415C" w:rsidRPr="002D2B52" w:rsidRDefault="00B8415C" w:rsidP="00B8415C">
            <w:pPr>
              <w:pStyle w:val="Compact"/>
              <w:rPr>
                <w:sz w:val="20"/>
                <w:szCs w:val="20"/>
              </w:rPr>
            </w:pPr>
            <w:r w:rsidRPr="00B8415C">
              <w:rPr>
                <w:sz w:val="20"/>
                <w:szCs w:val="20"/>
              </w:rPr>
              <w:t>Single scope (S1 = 0.70 implicit in</w:t>
            </w:r>
            <w:r w:rsidRPr="002D2B52">
              <w:rPr>
                <w:sz w:val="20"/>
                <w:szCs w:val="20"/>
              </w:rPr>
              <w:t xml:space="preserve"> </w:t>
            </w:r>
            <w:r w:rsidRPr="002D2B52">
              <w:rPr>
                <w:sz w:val="20"/>
                <w:szCs w:val="20"/>
              </w:rPr>
              <w:t>cascade structure)</w:t>
            </w:r>
          </w:p>
        </w:tc>
        <w:tc>
          <w:tcPr>
            <w:tcW w:w="3117" w:type="dxa"/>
          </w:tcPr>
          <w:p w14:paraId="31A6D4D1" w14:textId="3D80F15B" w:rsidR="00B8415C" w:rsidRPr="002D2B52" w:rsidRDefault="002D2B52" w:rsidP="002D2B52">
            <w:pPr>
              <w:pStyle w:val="Compact"/>
              <w:rPr>
                <w:sz w:val="20"/>
                <w:szCs w:val="20"/>
              </w:rPr>
            </w:pPr>
            <w:r w:rsidRPr="002D2B52">
              <w:rPr>
                <w:sz w:val="20"/>
                <w:szCs w:val="20"/>
              </w:rPr>
              <w:t>Two scope scenarios (</w:t>
            </w:r>
            <m:oMath>
              <m:r>
                <w:rPr>
                  <w:rFonts w:ascii="Cambria Math" w:hAnsi="Cambria Math"/>
                  <w:sz w:val="20"/>
                  <w:szCs w:val="20"/>
                </w:rPr>
                <m:t>φ</m:t>
              </m:r>
            </m:oMath>
            <w:r w:rsidRPr="002D2B52">
              <w:rPr>
                <w:sz w:val="20"/>
                <w:szCs w:val="20"/>
              </w:rPr>
              <w:t>_</w:t>
            </w:r>
            <w:proofErr w:type="gramStart"/>
            <w:r w:rsidRPr="002D2B52">
              <w:rPr>
                <w:sz w:val="20"/>
                <w:szCs w:val="20"/>
              </w:rPr>
              <w:t>inf,mixed</w:t>
            </w:r>
            <w:proofErr w:type="gramEnd"/>
            <w:r w:rsidRPr="002D2B52">
              <w:rPr>
                <w:sz w:val="20"/>
                <w:szCs w:val="20"/>
              </w:rPr>
              <w:t xml:space="preserve"> = 0.43;</w:t>
            </w:r>
            <w:r>
              <w:rPr>
                <w:sz w:val="20"/>
                <w:szCs w:val="20"/>
              </w:rPr>
              <w:t xml:space="preserve"> </w:t>
            </w:r>
            <m:oMath>
              <m:r>
                <w:rPr>
                  <w:rFonts w:ascii="Cambria Math" w:hAnsi="Cambria Math"/>
                  <w:sz w:val="20"/>
                  <w:szCs w:val="20"/>
                </w:rPr>
                <m:t>φ</m:t>
              </m:r>
            </m:oMath>
            <w:r w:rsidRPr="002D2B52">
              <w:rPr>
                <w:sz w:val="20"/>
                <w:szCs w:val="20"/>
              </w:rPr>
              <w:t>_</w:t>
            </w:r>
            <w:proofErr w:type="gramStart"/>
            <w:r w:rsidRPr="002D2B52">
              <w:rPr>
                <w:sz w:val="20"/>
                <w:szCs w:val="20"/>
              </w:rPr>
              <w:t>inf,dominant</w:t>
            </w:r>
            <w:proofErr w:type="gramEnd"/>
            <w:r w:rsidRPr="002D2B52">
              <w:rPr>
                <w:sz w:val="20"/>
                <w:szCs w:val="20"/>
              </w:rPr>
              <w:t xml:space="preserve"> = 0.70) reported in parallel</w:t>
            </w:r>
          </w:p>
        </w:tc>
      </w:tr>
      <w:tr w:rsidR="00B8415C" w14:paraId="27476DC7" w14:textId="77777777" w:rsidTr="00B8415C">
        <w:tc>
          <w:tcPr>
            <w:tcW w:w="3116" w:type="dxa"/>
          </w:tcPr>
          <w:p w14:paraId="582CE580" w14:textId="5D8DB5AC" w:rsidR="00B8415C" w:rsidRPr="002D2B52" w:rsidRDefault="00B8415C" w:rsidP="00B8415C">
            <w:pPr>
              <w:pStyle w:val="Compact"/>
              <w:rPr>
                <w:sz w:val="20"/>
                <w:szCs w:val="20"/>
              </w:rPr>
            </w:pPr>
            <w:r w:rsidRPr="002D2B52">
              <w:rPr>
                <w:sz w:val="20"/>
                <w:szCs w:val="20"/>
              </w:rPr>
              <w:t>Total parameters</w:t>
            </w:r>
          </w:p>
        </w:tc>
        <w:tc>
          <w:tcPr>
            <w:tcW w:w="3117" w:type="dxa"/>
          </w:tcPr>
          <w:p w14:paraId="4D6D3631" w14:textId="66B9A37C" w:rsidR="00B8415C" w:rsidRPr="002D2B52" w:rsidRDefault="00B8415C" w:rsidP="00B8415C">
            <w:pPr>
              <w:pStyle w:val="Compact"/>
              <w:rPr>
                <w:sz w:val="20"/>
                <w:szCs w:val="20"/>
              </w:rPr>
            </w:pPr>
            <w:r w:rsidRPr="00B8415C">
              <w:rPr>
                <w:sz w:val="20"/>
                <w:szCs w:val="20"/>
              </w:rPr>
              <w:t xml:space="preserve">10 + FLEX_FRAC + </w:t>
            </w:r>
            <w:r w:rsidR="00447292" w:rsidRPr="002D2B52">
              <w:rPr>
                <w:sz w:val="20"/>
                <w:szCs w:val="20"/>
              </w:rPr>
              <w:t>D</w:t>
            </w:r>
            <w:r w:rsidRPr="00B8415C">
              <w:rPr>
                <w:sz w:val="20"/>
                <w:szCs w:val="20"/>
              </w:rPr>
              <w:t>EFER_FRAC</w:t>
            </w:r>
            <w:r w:rsidRPr="002D2B52">
              <w:rPr>
                <w:sz w:val="20"/>
                <w:szCs w:val="20"/>
              </w:rPr>
              <w:t xml:space="preserve"> </w:t>
            </w:r>
            <w:r w:rsidRPr="002D2B52">
              <w:rPr>
                <w:sz w:val="20"/>
                <w:szCs w:val="20"/>
              </w:rPr>
              <w:t>= 12 effective</w:t>
            </w:r>
          </w:p>
        </w:tc>
        <w:tc>
          <w:tcPr>
            <w:tcW w:w="3117" w:type="dxa"/>
          </w:tcPr>
          <w:p w14:paraId="71C4D5B5" w14:textId="23A9BEC9" w:rsidR="00B8415C" w:rsidRPr="002D2B52" w:rsidRDefault="002D2B52" w:rsidP="002D2B52">
            <w:pPr>
              <w:pStyle w:val="Compact"/>
              <w:rPr>
                <w:sz w:val="20"/>
                <w:szCs w:val="20"/>
              </w:rPr>
            </w:pPr>
            <w:r w:rsidRPr="002D2B52">
              <w:rPr>
                <w:sz w:val="20"/>
                <w:szCs w:val="20"/>
              </w:rPr>
              <w:t>11 explicit (1 scope+ 6 spatial+ 3 deferral+ 2</w:t>
            </w:r>
            <w:r>
              <w:rPr>
                <w:sz w:val="20"/>
                <w:szCs w:val="20"/>
              </w:rPr>
              <w:t xml:space="preserve"> </w:t>
            </w:r>
            <w:r w:rsidRPr="002D2B52">
              <w:rPr>
                <w:sz w:val="20"/>
                <w:szCs w:val="20"/>
              </w:rPr>
              <w:t>DVFS), 6 multiplying in any one cascade</w:t>
            </w:r>
          </w:p>
        </w:tc>
      </w:tr>
    </w:tbl>
    <w:p w14:paraId="6D33F0F5" w14:textId="77777777" w:rsidR="00B8415C" w:rsidRDefault="00B8415C" w:rsidP="00B8415C">
      <w:pPr>
        <w:pStyle w:val="Compact"/>
        <w:rPr>
          <w:b/>
          <w:bCs/>
        </w:rPr>
      </w:pPr>
    </w:p>
    <w:p w14:paraId="14FAD3F3" w14:textId="6D74B922" w:rsidR="002D2B52" w:rsidRPr="002D2B52" w:rsidRDefault="002D0B64" w:rsidP="002D2B52">
      <w:pPr>
        <w:pStyle w:val="Compact"/>
        <w:rPr>
          <w:b/>
          <w:bCs/>
        </w:rPr>
      </w:pPr>
      <w:r>
        <w:rPr>
          <w:b/>
          <w:bCs/>
        </w:rPr>
        <w:t>8</w:t>
      </w:r>
      <w:r w:rsidR="002D2B52" w:rsidRPr="002D2B52">
        <w:rPr>
          <w:b/>
          <w:bCs/>
        </w:rPr>
        <w:t>.2 Parameter-level mapping</w:t>
      </w:r>
    </w:p>
    <w:p w14:paraId="2EBDBAF0" w14:textId="44DB3E8C" w:rsidR="002D2B52" w:rsidRDefault="002D2B52" w:rsidP="002D2B52">
      <w:pPr>
        <w:pStyle w:val="Compact"/>
        <w:rPr>
          <w:b/>
          <w:bCs/>
        </w:rPr>
      </w:pPr>
    </w:p>
    <w:tbl>
      <w:tblPr>
        <w:tblStyle w:val="TableGrid"/>
        <w:tblW w:w="0" w:type="auto"/>
        <w:tblLook w:val="04A0" w:firstRow="1" w:lastRow="0" w:firstColumn="1" w:lastColumn="0" w:noHBand="0" w:noVBand="1"/>
      </w:tblPr>
      <w:tblGrid>
        <w:gridCol w:w="3116"/>
        <w:gridCol w:w="3117"/>
        <w:gridCol w:w="3117"/>
      </w:tblGrid>
      <w:tr w:rsidR="00AC3DF2" w14:paraId="5070FD2B" w14:textId="77777777" w:rsidTr="008B4284">
        <w:tc>
          <w:tcPr>
            <w:tcW w:w="3116" w:type="dxa"/>
            <w:shd w:val="clear" w:color="auto" w:fill="D9D9D9" w:themeFill="background1" w:themeFillShade="D9"/>
          </w:tcPr>
          <w:p w14:paraId="624A6394" w14:textId="6E6FF660" w:rsidR="00AC3DF2" w:rsidRPr="00B8415C" w:rsidRDefault="00AC3DF2" w:rsidP="008B4284">
            <w:pPr>
              <w:pStyle w:val="Compact"/>
              <w:rPr>
                <w:b/>
                <w:bCs/>
              </w:rPr>
            </w:pPr>
            <w:r>
              <w:rPr>
                <w:b/>
                <w:bCs/>
              </w:rPr>
              <w:t>Prior parameter</w:t>
            </w:r>
          </w:p>
        </w:tc>
        <w:tc>
          <w:tcPr>
            <w:tcW w:w="3117" w:type="dxa"/>
            <w:shd w:val="clear" w:color="auto" w:fill="D9D9D9" w:themeFill="background1" w:themeFillShade="D9"/>
          </w:tcPr>
          <w:p w14:paraId="5ADB0040" w14:textId="7AF892B3" w:rsidR="00AC3DF2" w:rsidRDefault="00AC3DF2" w:rsidP="008B4284">
            <w:pPr>
              <w:pStyle w:val="Compact"/>
              <w:rPr>
                <w:b/>
                <w:bCs/>
              </w:rPr>
            </w:pPr>
            <w:r>
              <w:rPr>
                <w:b/>
                <w:bCs/>
              </w:rPr>
              <w:t>Reformed structure</w:t>
            </w:r>
          </w:p>
        </w:tc>
        <w:tc>
          <w:tcPr>
            <w:tcW w:w="3117" w:type="dxa"/>
            <w:shd w:val="clear" w:color="auto" w:fill="D9D9D9" w:themeFill="background1" w:themeFillShade="D9"/>
          </w:tcPr>
          <w:p w14:paraId="1EA58F23" w14:textId="2893F9A6" w:rsidR="00AC3DF2" w:rsidRDefault="00AC3DF2" w:rsidP="008B4284">
            <w:pPr>
              <w:pStyle w:val="Compact"/>
              <w:rPr>
                <w:b/>
                <w:bCs/>
              </w:rPr>
            </w:pPr>
            <w:r>
              <w:rPr>
                <w:b/>
                <w:bCs/>
              </w:rPr>
              <w:t>Notes</w:t>
            </w:r>
          </w:p>
        </w:tc>
      </w:tr>
      <w:tr w:rsidR="00AC3DF2" w:rsidRPr="002D2B52" w14:paraId="7651C180" w14:textId="77777777" w:rsidTr="008B4284">
        <w:tc>
          <w:tcPr>
            <w:tcW w:w="3116" w:type="dxa"/>
          </w:tcPr>
          <w:p w14:paraId="19AD3117" w14:textId="3F5F8E99" w:rsidR="00AC3DF2" w:rsidRPr="002D2B52" w:rsidRDefault="00AC3DF2" w:rsidP="008B4284">
            <w:pPr>
              <w:pStyle w:val="Compact"/>
              <w:rPr>
                <w:sz w:val="20"/>
                <w:szCs w:val="20"/>
              </w:rPr>
            </w:pPr>
            <w:r>
              <w:rPr>
                <w:sz w:val="20"/>
                <w:szCs w:val="20"/>
              </w:rPr>
              <w:t>S1 (workload candidacy, 0.70)</w:t>
            </w:r>
          </w:p>
        </w:tc>
        <w:tc>
          <w:tcPr>
            <w:tcW w:w="3117" w:type="dxa"/>
          </w:tcPr>
          <w:p w14:paraId="24410A5C" w14:textId="23222244" w:rsidR="00AC3DF2" w:rsidRPr="002D2B52" w:rsidRDefault="00AC3DF2" w:rsidP="008B4284">
            <w:pPr>
              <w:pStyle w:val="Compact"/>
              <w:rPr>
                <w:sz w:val="20"/>
                <w:szCs w:val="20"/>
              </w:rPr>
            </w:pPr>
            <w:r>
              <w:rPr>
                <w:sz w:val="20"/>
                <w:szCs w:val="20"/>
              </w:rPr>
              <w:t xml:space="preserve">Split into </w:t>
            </w:r>
            <m:oMath>
              <m:r>
                <w:rPr>
                  <w:rFonts w:ascii="Cambria Math" w:hAnsi="Cambria Math"/>
                  <w:sz w:val="20"/>
                  <w:szCs w:val="20"/>
                </w:rPr>
                <m:t>φ</m:t>
              </m:r>
              <m:r>
                <w:rPr>
                  <w:rFonts w:ascii="Cambria Math" w:hAnsi="Cambria Math"/>
                  <w:sz w:val="20"/>
                  <w:szCs w:val="20"/>
                </w:rPr>
                <m:t>_inf</m:t>
              </m:r>
            </m:oMath>
            <w:r>
              <w:rPr>
                <w:rFonts w:eastAsiaTheme="minorEastAsia"/>
                <w:sz w:val="20"/>
                <w:szCs w:val="20"/>
              </w:rPr>
              <w:t xml:space="preserve"> (scope scalar, two scenarios) + </w:t>
            </w:r>
            <w:proofErr w:type="spellStart"/>
            <w:r>
              <w:rPr>
                <w:rFonts w:eastAsiaTheme="minorEastAsia"/>
                <w:sz w:val="20"/>
                <w:szCs w:val="20"/>
              </w:rPr>
              <w:t>MIG_elig</w:t>
            </w:r>
            <w:proofErr w:type="spellEnd"/>
            <w:r>
              <w:rPr>
                <w:rFonts w:eastAsiaTheme="minorEastAsia"/>
                <w:sz w:val="20"/>
                <w:szCs w:val="20"/>
              </w:rPr>
              <w:t xml:space="preserve"> (architectural portability = unpinned)</w:t>
            </w:r>
          </w:p>
        </w:tc>
        <w:tc>
          <w:tcPr>
            <w:tcW w:w="3117" w:type="dxa"/>
          </w:tcPr>
          <w:p w14:paraId="586358C7" w14:textId="41017EFB" w:rsidR="00AC3DF2" w:rsidRPr="002D2B52" w:rsidRDefault="00AC3DF2" w:rsidP="008B4284">
            <w:pPr>
              <w:pStyle w:val="Compact"/>
              <w:rPr>
                <w:sz w:val="20"/>
                <w:szCs w:val="20"/>
              </w:rPr>
            </w:pPr>
            <w:r>
              <w:rPr>
                <w:sz w:val="20"/>
                <w:szCs w:val="20"/>
              </w:rPr>
              <w:t>S1 conflated scope and mechanism; reform separates them</w:t>
            </w:r>
          </w:p>
        </w:tc>
      </w:tr>
      <w:tr w:rsidR="00AC3DF2" w:rsidRPr="002D2B52" w14:paraId="5A1B9908" w14:textId="77777777" w:rsidTr="008B4284">
        <w:tc>
          <w:tcPr>
            <w:tcW w:w="3116" w:type="dxa"/>
          </w:tcPr>
          <w:p w14:paraId="39794B54" w14:textId="4CE79EDE" w:rsidR="00AC3DF2" w:rsidRPr="002D2B52" w:rsidRDefault="00AC3DF2" w:rsidP="008B4284">
            <w:pPr>
              <w:pStyle w:val="Compact"/>
              <w:rPr>
                <w:sz w:val="20"/>
                <w:szCs w:val="20"/>
              </w:rPr>
            </w:pPr>
            <w:r>
              <w:rPr>
                <w:sz w:val="20"/>
                <w:szCs w:val="20"/>
              </w:rPr>
              <w:t>S2 (data locality, 0.70)</w:t>
            </w:r>
          </w:p>
        </w:tc>
        <w:tc>
          <w:tcPr>
            <w:tcW w:w="3117" w:type="dxa"/>
          </w:tcPr>
          <w:p w14:paraId="7D4BAADB" w14:textId="7C8A6483" w:rsidR="00AC3DF2" w:rsidRPr="002D2B52" w:rsidRDefault="00AC3DF2" w:rsidP="008B4284">
            <w:pPr>
              <w:pStyle w:val="Compact"/>
              <w:rPr>
                <w:sz w:val="20"/>
                <w:szCs w:val="20"/>
              </w:rPr>
            </w:pPr>
            <w:r>
              <w:rPr>
                <w:sz w:val="20"/>
                <w:szCs w:val="20"/>
              </w:rPr>
              <w:t xml:space="preserve">Folded into </w:t>
            </w:r>
            <w:proofErr w:type="spellStart"/>
            <w:r>
              <w:rPr>
                <w:sz w:val="20"/>
                <w:szCs w:val="20"/>
              </w:rPr>
              <w:t>MIG_elig</w:t>
            </w:r>
            <w:proofErr w:type="spellEnd"/>
            <w:r>
              <w:rPr>
                <w:sz w:val="20"/>
                <w:szCs w:val="20"/>
              </w:rPr>
              <w:t xml:space="preserve"> Component B (unpinned)</w:t>
            </w:r>
          </w:p>
        </w:tc>
        <w:tc>
          <w:tcPr>
            <w:tcW w:w="3117" w:type="dxa"/>
          </w:tcPr>
          <w:p w14:paraId="5AE68F7D" w14:textId="1B29B746" w:rsidR="00AC3DF2" w:rsidRPr="002D2B52" w:rsidRDefault="00AC3DF2" w:rsidP="008B4284">
            <w:pPr>
              <w:pStyle w:val="Compact"/>
              <w:rPr>
                <w:sz w:val="20"/>
                <w:szCs w:val="20"/>
              </w:rPr>
            </w:pPr>
            <w:r>
              <w:rPr>
                <w:sz w:val="20"/>
                <w:szCs w:val="20"/>
              </w:rPr>
              <w:t>The “data locality” framing carried operational pinning risk; consolidated</w:t>
            </w:r>
          </w:p>
        </w:tc>
      </w:tr>
      <w:tr w:rsidR="00AC3DF2" w:rsidRPr="002D2B52" w14:paraId="24290D31" w14:textId="77777777" w:rsidTr="008B4284">
        <w:tc>
          <w:tcPr>
            <w:tcW w:w="3116" w:type="dxa"/>
          </w:tcPr>
          <w:p w14:paraId="6FCAB3F3" w14:textId="0C1ACABA" w:rsidR="00AC3DF2" w:rsidRPr="002D2B52" w:rsidRDefault="00AC3DF2" w:rsidP="008B4284">
            <w:pPr>
              <w:pStyle w:val="Compact"/>
              <w:rPr>
                <w:sz w:val="20"/>
                <w:szCs w:val="20"/>
              </w:rPr>
            </w:pPr>
            <w:r>
              <w:rPr>
                <w:sz w:val="20"/>
                <w:szCs w:val="20"/>
              </w:rPr>
              <w:t>S3 (operational timing, 0.90)</w:t>
            </w:r>
          </w:p>
        </w:tc>
        <w:tc>
          <w:tcPr>
            <w:tcW w:w="3117" w:type="dxa"/>
          </w:tcPr>
          <w:p w14:paraId="4AAF1258" w14:textId="26E49EDD" w:rsidR="00AC3DF2" w:rsidRPr="002D2B52" w:rsidRDefault="00AC3DF2" w:rsidP="008B4284">
            <w:pPr>
              <w:pStyle w:val="Compact"/>
              <w:rPr>
                <w:sz w:val="20"/>
                <w:szCs w:val="20"/>
              </w:rPr>
            </w:pPr>
            <w:proofErr w:type="spellStart"/>
            <w:r>
              <w:rPr>
                <w:sz w:val="20"/>
                <w:szCs w:val="20"/>
              </w:rPr>
              <w:t>DRAIN_ok</w:t>
            </w:r>
            <w:proofErr w:type="spellEnd"/>
            <w:r>
              <w:rPr>
                <w:sz w:val="20"/>
                <w:szCs w:val="20"/>
              </w:rPr>
              <w:t xml:space="preserve"> (renamed; functionally identical)</w:t>
            </w:r>
          </w:p>
        </w:tc>
        <w:tc>
          <w:tcPr>
            <w:tcW w:w="3117" w:type="dxa"/>
          </w:tcPr>
          <w:p w14:paraId="395F9D79" w14:textId="73B8D09E" w:rsidR="00AC3DF2" w:rsidRPr="002D2B52" w:rsidRDefault="00AC3DF2" w:rsidP="008B4284">
            <w:pPr>
              <w:pStyle w:val="Compact"/>
              <w:rPr>
                <w:sz w:val="20"/>
                <w:szCs w:val="20"/>
              </w:rPr>
            </w:pPr>
            <w:r>
              <w:rPr>
                <w:sz w:val="20"/>
                <w:szCs w:val="20"/>
              </w:rPr>
              <w:t>Direct rename for taxonomy clarity</w:t>
            </w:r>
          </w:p>
        </w:tc>
      </w:tr>
      <w:tr w:rsidR="00AC3DF2" w:rsidRPr="002D2B52" w14:paraId="2C9D8693" w14:textId="77777777" w:rsidTr="008B4284">
        <w:tc>
          <w:tcPr>
            <w:tcW w:w="3116" w:type="dxa"/>
          </w:tcPr>
          <w:p w14:paraId="55EBC94C" w14:textId="7CF57167" w:rsidR="00AC3DF2" w:rsidRPr="002D2B52" w:rsidRDefault="00AC3DF2" w:rsidP="008B4284">
            <w:pPr>
              <w:pStyle w:val="Compact"/>
              <w:rPr>
                <w:sz w:val="20"/>
                <w:szCs w:val="20"/>
              </w:rPr>
            </w:pPr>
            <w:r>
              <w:rPr>
                <w:sz w:val="20"/>
                <w:szCs w:val="20"/>
              </w:rPr>
              <w:t>D1 (cross-region availability, 0.99)</w:t>
            </w:r>
          </w:p>
        </w:tc>
        <w:tc>
          <w:tcPr>
            <w:tcW w:w="3117" w:type="dxa"/>
          </w:tcPr>
          <w:p w14:paraId="519640CD" w14:textId="6D236111" w:rsidR="00AC3DF2" w:rsidRPr="002D2B52" w:rsidRDefault="00AC3DF2" w:rsidP="008B4284">
            <w:pPr>
              <w:pStyle w:val="Compact"/>
              <w:rPr>
                <w:sz w:val="20"/>
                <w:szCs w:val="20"/>
              </w:rPr>
            </w:pPr>
            <w:proofErr w:type="spellStart"/>
            <w:r>
              <w:rPr>
                <w:sz w:val="20"/>
                <w:szCs w:val="20"/>
              </w:rPr>
              <w:t>DEST_avail</w:t>
            </w:r>
            <w:proofErr w:type="spellEnd"/>
            <w:r>
              <w:rPr>
                <w:sz w:val="20"/>
                <w:szCs w:val="20"/>
              </w:rPr>
              <w:t xml:space="preserve"> (renamed; central pulled to 0.945)</w:t>
            </w:r>
          </w:p>
        </w:tc>
        <w:tc>
          <w:tcPr>
            <w:tcW w:w="3117" w:type="dxa"/>
          </w:tcPr>
          <w:p w14:paraId="0C40CA4C" w14:textId="42930D51" w:rsidR="00AC3DF2" w:rsidRPr="002D2B52" w:rsidRDefault="00AC3DF2" w:rsidP="008B4284">
            <w:pPr>
              <w:pStyle w:val="Compact"/>
              <w:rPr>
                <w:sz w:val="20"/>
                <w:szCs w:val="20"/>
              </w:rPr>
            </w:pPr>
            <w:r>
              <w:rPr>
                <w:sz w:val="20"/>
                <w:szCs w:val="20"/>
              </w:rPr>
              <w:t>Pull to capacity-weighted central; conditional MC unchanged</w:t>
            </w:r>
          </w:p>
        </w:tc>
      </w:tr>
      <w:tr w:rsidR="00AC3DF2" w:rsidRPr="002D2B52" w14:paraId="4F737214" w14:textId="77777777" w:rsidTr="008B4284">
        <w:tc>
          <w:tcPr>
            <w:tcW w:w="3116" w:type="dxa"/>
          </w:tcPr>
          <w:p w14:paraId="32407B63" w14:textId="46F91593" w:rsidR="00AC3DF2" w:rsidRPr="002D2B52" w:rsidRDefault="00AC3DF2" w:rsidP="008B4284">
            <w:pPr>
              <w:pStyle w:val="Compact"/>
              <w:rPr>
                <w:sz w:val="20"/>
                <w:szCs w:val="20"/>
              </w:rPr>
            </w:pPr>
            <w:r>
              <w:rPr>
                <w:sz w:val="20"/>
                <w:szCs w:val="20"/>
              </w:rPr>
              <w:t>D2 (utilization headroom, 0.35)</w:t>
            </w:r>
          </w:p>
        </w:tc>
        <w:tc>
          <w:tcPr>
            <w:tcW w:w="3117" w:type="dxa"/>
          </w:tcPr>
          <w:p w14:paraId="6ECA5177" w14:textId="56354419" w:rsidR="00AC3DF2" w:rsidRPr="002D2B52" w:rsidRDefault="00AC3DF2" w:rsidP="008B4284">
            <w:pPr>
              <w:pStyle w:val="Compact"/>
              <w:rPr>
                <w:sz w:val="20"/>
                <w:szCs w:val="20"/>
              </w:rPr>
            </w:pPr>
            <w:r>
              <w:rPr>
                <w:sz w:val="20"/>
                <w:szCs w:val="20"/>
              </w:rPr>
              <w:t xml:space="preserve">Collapsed into </w:t>
            </w:r>
            <w:proofErr w:type="spellStart"/>
            <w:r>
              <w:rPr>
                <w:sz w:val="20"/>
                <w:szCs w:val="20"/>
              </w:rPr>
              <w:t>DEST_absorb</w:t>
            </w:r>
            <w:proofErr w:type="spellEnd"/>
          </w:p>
        </w:tc>
        <w:tc>
          <w:tcPr>
            <w:tcW w:w="3117" w:type="dxa"/>
          </w:tcPr>
          <w:p w14:paraId="62A42D87" w14:textId="289877B7" w:rsidR="00AC3DF2" w:rsidRPr="002D2B52" w:rsidRDefault="00AC3DF2" w:rsidP="008B4284">
            <w:pPr>
              <w:pStyle w:val="Compact"/>
              <w:rPr>
                <w:sz w:val="20"/>
                <w:szCs w:val="20"/>
              </w:rPr>
            </w:pPr>
            <w:r>
              <w:rPr>
                <w:sz w:val="20"/>
                <w:szCs w:val="20"/>
              </w:rPr>
              <w:t>One of three lenses on one underlying physical condition</w:t>
            </w:r>
          </w:p>
        </w:tc>
      </w:tr>
      <w:tr w:rsidR="00AC3DF2" w:rsidRPr="002D2B52" w14:paraId="7E951448" w14:textId="77777777" w:rsidTr="008B4284">
        <w:tc>
          <w:tcPr>
            <w:tcW w:w="3116" w:type="dxa"/>
          </w:tcPr>
          <w:p w14:paraId="76530E31" w14:textId="6293B982" w:rsidR="00AC3DF2" w:rsidRDefault="00AC3DF2" w:rsidP="008B4284">
            <w:pPr>
              <w:pStyle w:val="Compact"/>
              <w:rPr>
                <w:sz w:val="20"/>
                <w:szCs w:val="20"/>
              </w:rPr>
            </w:pPr>
            <w:r>
              <w:rPr>
                <w:sz w:val="20"/>
                <w:szCs w:val="20"/>
              </w:rPr>
              <w:t>D3 (hardware compatibility, 0.88)</w:t>
            </w:r>
          </w:p>
        </w:tc>
        <w:tc>
          <w:tcPr>
            <w:tcW w:w="3117" w:type="dxa"/>
          </w:tcPr>
          <w:p w14:paraId="6B546084" w14:textId="3477BCFF" w:rsidR="00AC3DF2" w:rsidRPr="002D2B52" w:rsidRDefault="00AC3DF2" w:rsidP="008B4284">
            <w:pPr>
              <w:pStyle w:val="Compact"/>
              <w:rPr>
                <w:sz w:val="20"/>
                <w:szCs w:val="20"/>
              </w:rPr>
            </w:pPr>
            <w:r>
              <w:rPr>
                <w:sz w:val="20"/>
                <w:szCs w:val="20"/>
              </w:rPr>
              <w:t xml:space="preserve">Collapsed into </w:t>
            </w:r>
            <w:proofErr w:type="spellStart"/>
            <w:r>
              <w:rPr>
                <w:sz w:val="20"/>
                <w:szCs w:val="20"/>
              </w:rPr>
              <w:t>DEST_absorb</w:t>
            </w:r>
            <w:proofErr w:type="spellEnd"/>
          </w:p>
        </w:tc>
        <w:tc>
          <w:tcPr>
            <w:tcW w:w="3117" w:type="dxa"/>
          </w:tcPr>
          <w:p w14:paraId="1F078564" w14:textId="238D714E" w:rsidR="00AC3DF2" w:rsidRPr="002D2B52" w:rsidRDefault="00AC3DF2" w:rsidP="008B4284">
            <w:pPr>
              <w:pStyle w:val="Compact"/>
              <w:rPr>
                <w:sz w:val="20"/>
                <w:szCs w:val="20"/>
              </w:rPr>
            </w:pPr>
            <w:r>
              <w:rPr>
                <w:sz w:val="20"/>
                <w:szCs w:val="20"/>
              </w:rPr>
              <w:t>One of three lenses on one underlying physical condition</w:t>
            </w:r>
          </w:p>
        </w:tc>
      </w:tr>
      <w:tr w:rsidR="00AC3DF2" w:rsidRPr="002D2B52" w14:paraId="6291405C" w14:textId="77777777" w:rsidTr="008B4284">
        <w:tc>
          <w:tcPr>
            <w:tcW w:w="3116" w:type="dxa"/>
          </w:tcPr>
          <w:p w14:paraId="4D87EFCB" w14:textId="7CEA4967" w:rsidR="00AC3DF2" w:rsidRDefault="00AC3DF2" w:rsidP="008B4284">
            <w:pPr>
              <w:pStyle w:val="Compact"/>
              <w:rPr>
                <w:sz w:val="20"/>
                <w:szCs w:val="20"/>
              </w:rPr>
            </w:pPr>
            <w:r>
              <w:rPr>
                <w:sz w:val="20"/>
                <w:szCs w:val="20"/>
              </w:rPr>
              <w:t>D4 (inference share at destination, 0.50)</w:t>
            </w:r>
          </w:p>
        </w:tc>
        <w:tc>
          <w:tcPr>
            <w:tcW w:w="3117" w:type="dxa"/>
          </w:tcPr>
          <w:p w14:paraId="730718E2" w14:textId="0E560EE2" w:rsidR="00AC3DF2" w:rsidRPr="002D2B52" w:rsidRDefault="00AC3DF2" w:rsidP="008B4284">
            <w:pPr>
              <w:pStyle w:val="Compact"/>
              <w:rPr>
                <w:sz w:val="20"/>
                <w:szCs w:val="20"/>
              </w:rPr>
            </w:pPr>
            <w:r>
              <w:rPr>
                <w:sz w:val="20"/>
                <w:szCs w:val="20"/>
              </w:rPr>
              <w:t>Dropped</w:t>
            </w:r>
          </w:p>
        </w:tc>
        <w:tc>
          <w:tcPr>
            <w:tcW w:w="3117" w:type="dxa"/>
          </w:tcPr>
          <w:p w14:paraId="725283A5" w14:textId="551520E2" w:rsidR="00AC3DF2" w:rsidRPr="002D2B52" w:rsidRDefault="00AC3DF2" w:rsidP="008B4284">
            <w:pPr>
              <w:pStyle w:val="Compact"/>
              <w:rPr>
                <w:sz w:val="20"/>
                <w:szCs w:val="20"/>
              </w:rPr>
            </w:pPr>
            <w:r>
              <w:rPr>
                <w:sz w:val="20"/>
                <w:szCs w:val="20"/>
              </w:rPr>
              <w:t xml:space="preserve">Redundant with </w:t>
            </w:r>
            <m:oMath>
              <m:r>
                <w:rPr>
                  <w:rFonts w:ascii="Cambria Math" w:hAnsi="Cambria Math"/>
                  <w:sz w:val="20"/>
                  <w:szCs w:val="20"/>
                </w:rPr>
                <m:t>φ</m:t>
              </m:r>
              <m:r>
                <w:rPr>
                  <w:rFonts w:ascii="Cambria Math" w:hAnsi="Cambria Math"/>
                  <w:sz w:val="20"/>
                  <w:szCs w:val="20"/>
                </w:rPr>
                <m:t>_inf</m:t>
              </m:r>
            </m:oMath>
            <w:r w:rsidR="002D0B64">
              <w:rPr>
                <w:rFonts w:eastAsiaTheme="minorEastAsia"/>
                <w:sz w:val="20"/>
                <w:szCs w:val="20"/>
              </w:rPr>
              <w:t xml:space="preserve"> under unified scope reading</w:t>
            </w:r>
          </w:p>
        </w:tc>
      </w:tr>
      <w:tr w:rsidR="00AC3DF2" w:rsidRPr="002D2B52" w14:paraId="13022711" w14:textId="77777777" w:rsidTr="008B4284">
        <w:tc>
          <w:tcPr>
            <w:tcW w:w="3116" w:type="dxa"/>
          </w:tcPr>
          <w:p w14:paraId="7DE4C08C" w14:textId="18EC883F" w:rsidR="00AC3DF2" w:rsidRDefault="00AC3DF2" w:rsidP="008B4284">
            <w:pPr>
              <w:pStyle w:val="Compact"/>
              <w:rPr>
                <w:sz w:val="20"/>
                <w:szCs w:val="20"/>
              </w:rPr>
            </w:pPr>
            <w:r>
              <w:rPr>
                <w:sz w:val="20"/>
                <w:szCs w:val="20"/>
              </w:rPr>
              <w:t>D5 (pre-staging readiness, 0.65)</w:t>
            </w:r>
          </w:p>
        </w:tc>
        <w:tc>
          <w:tcPr>
            <w:tcW w:w="3117" w:type="dxa"/>
          </w:tcPr>
          <w:p w14:paraId="4BBBC507" w14:textId="2F4119A4" w:rsidR="00AC3DF2" w:rsidRPr="002D2B52" w:rsidRDefault="00AC3DF2" w:rsidP="008B4284">
            <w:pPr>
              <w:pStyle w:val="Compact"/>
              <w:rPr>
                <w:sz w:val="20"/>
                <w:szCs w:val="20"/>
              </w:rPr>
            </w:pPr>
            <w:r>
              <w:rPr>
                <w:sz w:val="20"/>
                <w:szCs w:val="20"/>
              </w:rPr>
              <w:t xml:space="preserve">Collapsed into </w:t>
            </w:r>
            <w:proofErr w:type="spellStart"/>
            <w:r>
              <w:rPr>
                <w:sz w:val="20"/>
                <w:szCs w:val="20"/>
              </w:rPr>
              <w:t>DEST_absorb</w:t>
            </w:r>
            <w:proofErr w:type="spellEnd"/>
          </w:p>
        </w:tc>
        <w:tc>
          <w:tcPr>
            <w:tcW w:w="3117" w:type="dxa"/>
          </w:tcPr>
          <w:p w14:paraId="7D8283AB" w14:textId="5D7EDD91" w:rsidR="00AC3DF2" w:rsidRPr="002D2B52" w:rsidRDefault="002D0B64" w:rsidP="008B4284">
            <w:pPr>
              <w:pStyle w:val="Compact"/>
              <w:rPr>
                <w:sz w:val="20"/>
                <w:szCs w:val="20"/>
              </w:rPr>
            </w:pPr>
            <w:r>
              <w:rPr>
                <w:sz w:val="20"/>
                <w:szCs w:val="20"/>
              </w:rPr>
              <w:t>One of three lenses on one underlying physical condition</w:t>
            </w:r>
          </w:p>
        </w:tc>
      </w:tr>
      <w:tr w:rsidR="00AC3DF2" w:rsidRPr="002D2B52" w14:paraId="70B0E338" w14:textId="77777777" w:rsidTr="008B4284">
        <w:tc>
          <w:tcPr>
            <w:tcW w:w="3116" w:type="dxa"/>
          </w:tcPr>
          <w:p w14:paraId="59184572" w14:textId="7242CC41" w:rsidR="00AC3DF2" w:rsidRDefault="00AC3DF2" w:rsidP="008B4284">
            <w:pPr>
              <w:pStyle w:val="Compact"/>
              <w:rPr>
                <w:sz w:val="20"/>
                <w:szCs w:val="20"/>
              </w:rPr>
            </w:pPr>
            <w:r>
              <w:rPr>
                <w:sz w:val="20"/>
                <w:szCs w:val="20"/>
              </w:rPr>
              <w:t>E1 (routing completion, 0.95)</w:t>
            </w:r>
          </w:p>
        </w:tc>
        <w:tc>
          <w:tcPr>
            <w:tcW w:w="3117" w:type="dxa"/>
          </w:tcPr>
          <w:p w14:paraId="132D1B75" w14:textId="6F08BF7C" w:rsidR="00AC3DF2" w:rsidRPr="002D2B52" w:rsidRDefault="00AC3DF2" w:rsidP="008B4284">
            <w:pPr>
              <w:pStyle w:val="Compact"/>
              <w:rPr>
                <w:sz w:val="20"/>
                <w:szCs w:val="20"/>
              </w:rPr>
            </w:pPr>
            <w:proofErr w:type="spellStart"/>
            <w:r>
              <w:rPr>
                <w:sz w:val="20"/>
                <w:szCs w:val="20"/>
              </w:rPr>
              <w:t>ORCH_ok</w:t>
            </w:r>
            <w:proofErr w:type="spellEnd"/>
            <w:r>
              <w:rPr>
                <w:sz w:val="20"/>
                <w:szCs w:val="20"/>
              </w:rPr>
              <w:t xml:space="preserve"> (renamed; central unchanged)</w:t>
            </w:r>
          </w:p>
        </w:tc>
        <w:tc>
          <w:tcPr>
            <w:tcW w:w="3117" w:type="dxa"/>
          </w:tcPr>
          <w:p w14:paraId="44830057" w14:textId="2C4980CC" w:rsidR="00AC3DF2" w:rsidRPr="002D2B52" w:rsidRDefault="002D0B64" w:rsidP="008B4284">
            <w:pPr>
              <w:pStyle w:val="Compact"/>
              <w:rPr>
                <w:sz w:val="20"/>
                <w:szCs w:val="20"/>
              </w:rPr>
            </w:pPr>
            <w:r>
              <w:rPr>
                <w:sz w:val="20"/>
                <w:szCs w:val="20"/>
              </w:rPr>
              <w:t>Direct rename</w:t>
            </w:r>
          </w:p>
        </w:tc>
      </w:tr>
      <w:tr w:rsidR="00AC3DF2" w:rsidRPr="002D2B52" w14:paraId="5450D793" w14:textId="77777777" w:rsidTr="008B4284">
        <w:tc>
          <w:tcPr>
            <w:tcW w:w="3116" w:type="dxa"/>
          </w:tcPr>
          <w:p w14:paraId="3E313B45" w14:textId="0A878DCB" w:rsidR="00AC3DF2" w:rsidRDefault="00AC3DF2" w:rsidP="008B4284">
            <w:pPr>
              <w:pStyle w:val="Compact"/>
              <w:rPr>
                <w:sz w:val="20"/>
                <w:szCs w:val="20"/>
              </w:rPr>
            </w:pPr>
            <w:r>
              <w:rPr>
                <w:sz w:val="20"/>
                <w:szCs w:val="20"/>
              </w:rPr>
              <w:t>E2 (bandwidth adequacy, 0.98)</w:t>
            </w:r>
          </w:p>
        </w:tc>
        <w:tc>
          <w:tcPr>
            <w:tcW w:w="3117" w:type="dxa"/>
          </w:tcPr>
          <w:p w14:paraId="01BB9ABD" w14:textId="78CEFFA4" w:rsidR="00AC3DF2" w:rsidRPr="002D2B52" w:rsidRDefault="00AC3DF2" w:rsidP="008B4284">
            <w:pPr>
              <w:pStyle w:val="Compact"/>
              <w:rPr>
                <w:sz w:val="20"/>
                <w:szCs w:val="20"/>
              </w:rPr>
            </w:pPr>
            <w:proofErr w:type="spellStart"/>
            <w:r>
              <w:rPr>
                <w:sz w:val="20"/>
                <w:szCs w:val="20"/>
              </w:rPr>
              <w:t>NET_ok</w:t>
            </w:r>
            <w:proofErr w:type="spellEnd"/>
            <w:r>
              <w:rPr>
                <w:sz w:val="20"/>
                <w:szCs w:val="20"/>
              </w:rPr>
              <w:t xml:space="preserve"> (renamed; central unchanged)</w:t>
            </w:r>
          </w:p>
        </w:tc>
        <w:tc>
          <w:tcPr>
            <w:tcW w:w="3117" w:type="dxa"/>
          </w:tcPr>
          <w:p w14:paraId="152C01E1" w14:textId="3CC2FCAE" w:rsidR="00AC3DF2" w:rsidRPr="002D2B52" w:rsidRDefault="002D0B64" w:rsidP="008B4284">
            <w:pPr>
              <w:pStyle w:val="Compact"/>
              <w:rPr>
                <w:sz w:val="20"/>
                <w:szCs w:val="20"/>
              </w:rPr>
            </w:pPr>
            <w:r>
              <w:rPr>
                <w:sz w:val="20"/>
                <w:szCs w:val="20"/>
              </w:rPr>
              <w:t>Direct rename</w:t>
            </w:r>
          </w:p>
        </w:tc>
      </w:tr>
      <w:tr w:rsidR="00AC3DF2" w:rsidRPr="002D2B52" w14:paraId="688AAC15" w14:textId="77777777" w:rsidTr="008B4284">
        <w:tc>
          <w:tcPr>
            <w:tcW w:w="3116" w:type="dxa"/>
          </w:tcPr>
          <w:p w14:paraId="6901BFF0" w14:textId="1542F687" w:rsidR="00AC3DF2" w:rsidRDefault="00AC3DF2" w:rsidP="008B4284">
            <w:pPr>
              <w:pStyle w:val="Compact"/>
              <w:rPr>
                <w:sz w:val="20"/>
                <w:szCs w:val="20"/>
              </w:rPr>
            </w:pPr>
            <w:r>
              <w:rPr>
                <w:sz w:val="20"/>
                <w:szCs w:val="20"/>
              </w:rPr>
              <w:t>FLEX_FRAC (single coefficient, 0.25)</w:t>
            </w:r>
          </w:p>
        </w:tc>
        <w:tc>
          <w:tcPr>
            <w:tcW w:w="3117" w:type="dxa"/>
          </w:tcPr>
          <w:p w14:paraId="032D43FE" w14:textId="162F25DD" w:rsidR="00AC3DF2" w:rsidRPr="002D2B52" w:rsidRDefault="00AC3DF2" w:rsidP="008B4284">
            <w:pPr>
              <w:pStyle w:val="Compact"/>
              <w:rPr>
                <w:sz w:val="20"/>
                <w:szCs w:val="20"/>
              </w:rPr>
            </w:pPr>
            <w:r>
              <w:rPr>
                <w:sz w:val="20"/>
                <w:szCs w:val="20"/>
              </w:rPr>
              <w:t xml:space="preserve">Split into </w:t>
            </w:r>
            <w:proofErr w:type="spellStart"/>
            <w:r>
              <w:rPr>
                <w:sz w:val="20"/>
                <w:szCs w:val="20"/>
              </w:rPr>
              <w:t>DVFS_headroom</w:t>
            </w:r>
            <w:proofErr w:type="spellEnd"/>
            <w:r>
              <w:rPr>
                <w:sz w:val="20"/>
                <w:szCs w:val="20"/>
              </w:rPr>
              <w:t xml:space="preserve"> (ensemble-dependent) </w:t>
            </w:r>
            <m:oMath>
              <m:r>
                <w:rPr>
                  <w:rFonts w:ascii="Cambria Math" w:hAnsi="Cambria Math"/>
                  <w:color w:val="1F497D" w:themeColor="text2"/>
                  <w:sz w:val="20"/>
                  <w:szCs w:val="20"/>
                </w:rPr>
                <m:t>×</m:t>
              </m:r>
            </m:oMath>
            <w:r>
              <w:rPr>
                <w:rFonts w:eastAsiaTheme="minorEastAsia"/>
                <w:color w:val="1F497D" w:themeColor="text2"/>
                <w:sz w:val="20"/>
                <w:szCs w:val="20"/>
              </w:rPr>
              <w:t xml:space="preserve"> DVFS_reliatbility (0.98)</w:t>
            </w:r>
          </w:p>
        </w:tc>
        <w:tc>
          <w:tcPr>
            <w:tcW w:w="3117" w:type="dxa"/>
          </w:tcPr>
          <w:p w14:paraId="7A9606AA" w14:textId="1DE1FB3A" w:rsidR="00AC3DF2" w:rsidRPr="002D2B52" w:rsidRDefault="002D0B64" w:rsidP="008B4284">
            <w:pPr>
              <w:pStyle w:val="Compact"/>
              <w:rPr>
                <w:sz w:val="20"/>
                <w:szCs w:val="20"/>
              </w:rPr>
            </w:pPr>
            <w:r>
              <w:rPr>
                <w:sz w:val="20"/>
                <w:szCs w:val="20"/>
              </w:rPr>
              <w:t>Splits magnitude from delivery-reliability; corrects Flex tier coefficient category error</w:t>
            </w:r>
          </w:p>
        </w:tc>
      </w:tr>
      <w:tr w:rsidR="00AC3DF2" w:rsidRPr="002D2B52" w14:paraId="4D7A34EE" w14:textId="77777777" w:rsidTr="008B4284">
        <w:tc>
          <w:tcPr>
            <w:tcW w:w="3116" w:type="dxa"/>
          </w:tcPr>
          <w:p w14:paraId="313A2C48" w14:textId="12D987A8" w:rsidR="00AC3DF2" w:rsidRDefault="00AC3DF2" w:rsidP="008B4284">
            <w:pPr>
              <w:pStyle w:val="Compact"/>
              <w:rPr>
                <w:sz w:val="20"/>
                <w:szCs w:val="20"/>
              </w:rPr>
            </w:pPr>
            <w:r>
              <w:rPr>
                <w:sz w:val="20"/>
                <w:szCs w:val="20"/>
              </w:rPr>
              <w:t>DEFER_FRAC (implicit)</w:t>
            </w:r>
          </w:p>
        </w:tc>
        <w:tc>
          <w:tcPr>
            <w:tcW w:w="3117" w:type="dxa"/>
          </w:tcPr>
          <w:p w14:paraId="1FC19941" w14:textId="60B841F2" w:rsidR="00AC3DF2" w:rsidRPr="002D2B52" w:rsidRDefault="00AC3DF2" w:rsidP="008B4284">
            <w:pPr>
              <w:pStyle w:val="Compact"/>
              <w:rPr>
                <w:sz w:val="20"/>
                <w:szCs w:val="20"/>
              </w:rPr>
            </w:pPr>
            <w:r>
              <w:rPr>
                <w:sz w:val="20"/>
                <w:szCs w:val="20"/>
              </w:rPr>
              <w:t xml:space="preserve">Split into </w:t>
            </w:r>
            <w:proofErr w:type="spellStart"/>
            <w:r>
              <w:rPr>
                <w:sz w:val="20"/>
                <w:szCs w:val="20"/>
              </w:rPr>
              <w:t>NIW_share</w:t>
            </w:r>
            <w:proofErr w:type="spellEnd"/>
            <w:r>
              <w:rPr>
                <w:sz w:val="20"/>
                <w:szCs w:val="20"/>
              </w:rPr>
              <w:t xml:space="preserve"> </w:t>
            </w:r>
            <m:oMath>
              <m:r>
                <w:rPr>
                  <w:rFonts w:ascii="Cambria Math" w:hAnsi="Cambria Math"/>
                  <w:color w:val="1F497D" w:themeColor="text2"/>
                  <w:sz w:val="20"/>
                  <w:szCs w:val="20"/>
                </w:rPr>
                <m:t>×</m:t>
              </m:r>
            </m:oMath>
            <w:r>
              <w:rPr>
                <w:rFonts w:eastAsiaTheme="minorEastAsia"/>
                <w:color w:val="1F497D" w:themeColor="text2"/>
                <w:sz w:val="20"/>
                <w:szCs w:val="20"/>
              </w:rPr>
              <w:t xml:space="preserve"> WINDOW_ok </w:t>
            </w:r>
            <m:oMath>
              <m:r>
                <w:rPr>
                  <w:rFonts w:ascii="Cambria Math" w:hAnsi="Cambria Math"/>
                  <w:color w:val="1F497D" w:themeColor="text2"/>
                  <w:sz w:val="20"/>
                  <w:szCs w:val="20"/>
                </w:rPr>
                <m:t>×</m:t>
              </m:r>
            </m:oMath>
            <w:r>
              <w:rPr>
                <w:rFonts w:eastAsiaTheme="minorEastAsia"/>
                <w:color w:val="1F497D" w:themeColor="text2"/>
                <w:sz w:val="20"/>
                <w:szCs w:val="20"/>
              </w:rPr>
              <w:t xml:space="preserve"> </w:t>
            </w:r>
            <w:proofErr w:type="spellStart"/>
            <w:r>
              <w:rPr>
                <w:rFonts w:eastAsiaTheme="minorEastAsia"/>
                <w:color w:val="1F497D" w:themeColor="text2"/>
                <w:sz w:val="20"/>
                <w:szCs w:val="20"/>
              </w:rPr>
              <w:t>QUEUE_ok</w:t>
            </w:r>
            <w:proofErr w:type="spellEnd"/>
          </w:p>
        </w:tc>
        <w:tc>
          <w:tcPr>
            <w:tcW w:w="3117" w:type="dxa"/>
          </w:tcPr>
          <w:p w14:paraId="612116F2" w14:textId="5E33AFC1" w:rsidR="00AC3DF2" w:rsidRPr="002D2B52" w:rsidRDefault="002D0B64" w:rsidP="008B4284">
            <w:pPr>
              <w:pStyle w:val="Compact"/>
              <w:rPr>
                <w:sz w:val="20"/>
                <w:szCs w:val="20"/>
              </w:rPr>
            </w:pPr>
            <w:r>
              <w:rPr>
                <w:sz w:val="20"/>
                <w:szCs w:val="20"/>
              </w:rPr>
              <w:t xml:space="preserve">Surfaces </w:t>
            </w:r>
            <w:proofErr w:type="spellStart"/>
            <w:r>
              <w:rPr>
                <w:sz w:val="20"/>
                <w:szCs w:val="20"/>
              </w:rPr>
              <w:t>NIW_share</w:t>
            </w:r>
            <w:proofErr w:type="spellEnd"/>
            <w:r>
              <w:rPr>
                <w:sz w:val="20"/>
                <w:szCs w:val="20"/>
              </w:rPr>
              <w:t xml:space="preserve">, </w:t>
            </w:r>
            <w:proofErr w:type="spellStart"/>
            <w:r>
              <w:rPr>
                <w:sz w:val="20"/>
                <w:szCs w:val="20"/>
              </w:rPr>
              <w:t>WINDOW_ok</w:t>
            </w:r>
            <w:proofErr w:type="spellEnd"/>
            <w:r>
              <w:rPr>
                <w:sz w:val="20"/>
                <w:szCs w:val="20"/>
              </w:rPr>
              <w:t xml:space="preserve"> deadline physics, and </w:t>
            </w:r>
            <w:proofErr w:type="spellStart"/>
            <w:r>
              <w:rPr>
                <w:sz w:val="20"/>
                <w:szCs w:val="20"/>
              </w:rPr>
              <w:t>QUEUE_ok</w:t>
            </w:r>
            <w:proofErr w:type="spellEnd"/>
            <w:r>
              <w:rPr>
                <w:sz w:val="20"/>
                <w:szCs w:val="20"/>
              </w:rPr>
              <w:t xml:space="preserve"> fleet-scale saturation as separate mechanisms</w:t>
            </w:r>
          </w:p>
        </w:tc>
      </w:tr>
    </w:tbl>
    <w:p w14:paraId="5BB708C5" w14:textId="626ABD7B" w:rsidR="002D0B64" w:rsidRPr="002D0B64" w:rsidRDefault="002D0B64" w:rsidP="002D0B64">
      <w:pPr>
        <w:pStyle w:val="Compact"/>
        <w:rPr>
          <w:b/>
          <w:bCs/>
        </w:rPr>
      </w:pPr>
      <w:r>
        <w:rPr>
          <w:b/>
          <w:bCs/>
        </w:rPr>
        <w:t>8</w:t>
      </w:r>
      <w:r w:rsidRPr="002D0B64">
        <w:rPr>
          <w:b/>
          <w:bCs/>
        </w:rPr>
        <w:t>.3 The three most consequential changes</w:t>
      </w:r>
    </w:p>
    <w:p w14:paraId="39571723" w14:textId="77777777" w:rsidR="002D0B64" w:rsidRDefault="002D0B64" w:rsidP="002D0B64">
      <w:pPr>
        <w:pStyle w:val="Compact"/>
        <w:numPr>
          <w:ilvl w:val="0"/>
          <w:numId w:val="21"/>
        </w:numPr>
      </w:pPr>
      <w:r w:rsidRPr="002D0B64">
        <w:rPr>
          <w:b/>
          <w:bCs/>
        </w:rPr>
        <w:t xml:space="preserve">Mechanism composition: multiplicative single-cascade </w:t>
      </w:r>
      <w:r w:rsidRPr="002D0B64">
        <w:rPr>
          <w:rFonts w:ascii="Segoe UI Symbol" w:hAnsi="Segoe UI Symbol" w:cs="Segoe UI Symbol"/>
          <w:b/>
          <w:bCs/>
        </w:rPr>
        <w:t>➔</w:t>
      </w:r>
      <w:r w:rsidRPr="002D0B64">
        <w:rPr>
          <w:b/>
          <w:bCs/>
        </w:rPr>
        <w:t xml:space="preserve"> additive three-cascade. </w:t>
      </w:r>
      <w:r w:rsidRPr="002D0B64">
        <w:t>The</w:t>
      </w:r>
      <w:r w:rsidRPr="002D0B64">
        <w:t xml:space="preserve"> </w:t>
      </w:r>
      <w:r w:rsidRPr="002D0B64">
        <w:t>prior framework presented spatial migration as the principal contribution with FLEX_FRAC</w:t>
      </w:r>
      <w:r w:rsidRPr="002D0B64">
        <w:t xml:space="preserve"> </w:t>
      </w:r>
      <w:r w:rsidRPr="002D0B64">
        <w:t>and DEFER_FRAC bolted on. The reformed framework treats the three mechanisms as parallel</w:t>
      </w:r>
      <w:r w:rsidRPr="002D0B64">
        <w:t xml:space="preserve"> </w:t>
      </w:r>
      <w:r w:rsidRPr="002D0B64">
        <w:t>decompositions composed additively at the MW layer, with sequential ordering and explicit</w:t>
      </w:r>
      <w:r w:rsidRPr="002D0B64">
        <w:t xml:space="preserve"> </w:t>
      </w:r>
      <w:r w:rsidRPr="002D0B64">
        <w:t>overlap correction. This honors the rescope directive that the unit of analysis is system slack</w:t>
      </w:r>
      <w:r w:rsidRPr="002D0B64">
        <w:t xml:space="preserve"> </w:t>
      </w:r>
      <w:r w:rsidRPr="002D0B64">
        <w:t>rather than spatial migration alone, and it eliminates the source/destination axis asymmetry</w:t>
      </w:r>
      <w:r w:rsidRPr="002D0B64">
        <w:t xml:space="preserve"> </w:t>
      </w:r>
      <w:r w:rsidRPr="002D0B64">
        <w:t>that did not generalize naturally to DVFS or deferral.</w:t>
      </w:r>
    </w:p>
    <w:p w14:paraId="7BE4984C" w14:textId="77777777" w:rsidR="002D0B64" w:rsidRPr="002D0B64" w:rsidRDefault="002D0B64" w:rsidP="002D0B64">
      <w:pPr>
        <w:pStyle w:val="Compact"/>
        <w:numPr>
          <w:ilvl w:val="0"/>
          <w:numId w:val="21"/>
        </w:numPr>
        <w:rPr>
          <w:b/>
          <w:bCs/>
        </w:rPr>
      </w:pPr>
      <w:r w:rsidRPr="002D0B64">
        <w:rPr>
          <w:b/>
          <w:bCs/>
        </w:rPr>
        <w:t xml:space="preserve">Scope handling: single scope </w:t>
      </w:r>
      <w:r w:rsidRPr="002D0B64">
        <w:rPr>
          <w:rFonts w:ascii="Segoe UI Symbol" w:hAnsi="Segoe UI Symbol" w:cs="Segoe UI Symbol"/>
          <w:b/>
          <w:bCs/>
        </w:rPr>
        <w:t>➔</w:t>
      </w:r>
      <w:r w:rsidRPr="002D0B64">
        <w:rPr>
          <w:b/>
          <w:bCs/>
        </w:rPr>
        <w:t xml:space="preserve"> two parallel scenarios. </w:t>
      </w:r>
      <w:r w:rsidRPr="002D0B64">
        <w:t xml:space="preserve">The prior framework's </w:t>
      </w:r>
      <w:proofErr w:type="spellStart"/>
      <w:r w:rsidRPr="002D0B64">
        <w:t>Sl</w:t>
      </w:r>
      <w:proofErr w:type="spellEnd"/>
      <w:r w:rsidRPr="002D0B64">
        <w:t xml:space="preserve"> = 0.70</w:t>
      </w:r>
      <w:r>
        <w:t xml:space="preserve"> </w:t>
      </w:r>
      <w:r w:rsidRPr="002D0B64">
        <w:t>conflated scope (inference-dominant scenario) and mechanism (workload candidacy).</w:t>
      </w:r>
      <w:r>
        <w:t xml:space="preserve"> </w:t>
      </w:r>
      <w:r w:rsidRPr="002D0B64">
        <w:t xml:space="preserve">Separating these into </w:t>
      </w:r>
      <m:oMath>
        <m:r>
          <w:rPr>
            <w:rFonts w:ascii="Cambria Math" w:hAnsi="Cambria Math"/>
            <w:sz w:val="20"/>
            <w:szCs w:val="20"/>
          </w:rPr>
          <m:t>φ_inf</m:t>
        </m:r>
      </m:oMath>
      <w:r w:rsidRPr="002D0B64">
        <w:t xml:space="preserve"> (explicit scope scalar) and MIG_elig (mechanism parameter for</w:t>
      </w:r>
      <w:r>
        <w:t xml:space="preserve"> </w:t>
      </w:r>
      <w:r w:rsidRPr="002D0B64">
        <w:t xml:space="preserve">architectural portability+ unpinned) makes the scope choice visible and forces an </w:t>
      </w:r>
      <w:proofErr w:type="spellStart"/>
      <w:proofErr w:type="gramStart"/>
      <w:r w:rsidRPr="002D0B64">
        <w:t>hones</w:t>
      </w:r>
      <w:proofErr w:type="spellEnd"/>
      <w:proofErr w:type="gramEnd"/>
      <w:r>
        <w:t xml:space="preserve"> </w:t>
      </w:r>
      <w:r w:rsidRPr="002D0B64">
        <w:t>reporting decision. The two-scope reporting (</w:t>
      </w:r>
      <m:oMath>
        <m:r>
          <w:rPr>
            <w:rFonts w:ascii="Cambria Math" w:hAnsi="Cambria Math"/>
            <w:sz w:val="20"/>
            <w:szCs w:val="20"/>
          </w:rPr>
          <m:t>φ_inf</m:t>
        </m:r>
      </m:oMath>
      <w:r w:rsidRPr="002D0B64">
        <w:t xml:space="preserve">,mixed = 0.43 and </w:t>
      </w:r>
      <m:oMath>
        <m:r>
          <w:rPr>
            <w:rFonts w:ascii="Cambria Math" w:hAnsi="Cambria Math"/>
            <w:sz w:val="20"/>
            <w:szCs w:val="20"/>
          </w:rPr>
          <m:t>φ_inf</m:t>
        </m:r>
      </m:oMath>
      <w:r w:rsidRPr="002D0B64">
        <w:t>,dominant = 0.70 in</w:t>
      </w:r>
      <w:r>
        <w:t xml:space="preserve"> </w:t>
      </w:r>
      <w:r w:rsidRPr="002D0B64">
        <w:t>parallel) reflects the bi-modal heterogeneity of the projected 2030 fleet rather than collapsing it</w:t>
      </w:r>
      <w:r>
        <w:t xml:space="preserve"> </w:t>
      </w:r>
      <w:r w:rsidRPr="002D0B64">
        <w:t>to a single scenario. The numerical consequence is that single-facility commitment depth</w:t>
      </w:r>
      <w:r>
        <w:t xml:space="preserve"> </w:t>
      </w:r>
      <w:r w:rsidRPr="002D0B64">
        <w:t>moves from the prior 46.9% to 32.3% (Scope A) or 52.6% (Scope B); fleet-scale 10 GW</w:t>
      </w:r>
      <w:r>
        <w:t xml:space="preserve"> </w:t>
      </w:r>
      <w:r w:rsidRPr="002D0B64">
        <w:t>commitment depth moves from the prior 26.9% to ~24-27% (Scope A) or ~38-43% (Scope B).</w:t>
      </w:r>
      <w:r>
        <w:t xml:space="preserve"> </w:t>
      </w:r>
    </w:p>
    <w:p w14:paraId="4876EDD5" w14:textId="4F5FD39A" w:rsidR="002D0B64" w:rsidRDefault="002D0B64" w:rsidP="002D0B64">
      <w:pPr>
        <w:pStyle w:val="Compact"/>
        <w:numPr>
          <w:ilvl w:val="0"/>
          <w:numId w:val="21"/>
        </w:numPr>
      </w:pPr>
      <w:r w:rsidRPr="002D0B64">
        <w:rPr>
          <w:b/>
          <w:bCs/>
        </w:rPr>
        <w:t xml:space="preserve">Destination collapse: D2 x D3 x </w:t>
      </w:r>
      <w:r w:rsidRPr="002D0B64">
        <w:rPr>
          <w:b/>
          <w:bCs/>
          <w:i/>
          <w:iCs/>
        </w:rPr>
        <w:t xml:space="preserve">DS </w:t>
      </w:r>
      <w:r w:rsidRPr="002D0B64">
        <w:rPr>
          <w:rFonts w:ascii="Segoe UI Symbol" w:hAnsi="Segoe UI Symbol" w:cs="Segoe UI Symbol"/>
          <w:b/>
          <w:bCs/>
        </w:rPr>
        <w:t>➔</w:t>
      </w:r>
      <w:r w:rsidRPr="002D0B64">
        <w:rPr>
          <w:b/>
          <w:bCs/>
        </w:rPr>
        <w:t xml:space="preserve"> DEST absorb. </w:t>
      </w:r>
      <w:r w:rsidRPr="002D0B64">
        <w:t>The prior three destination-side</w:t>
      </w:r>
      <w:r>
        <w:t xml:space="preserve"> </w:t>
      </w:r>
      <w:r w:rsidRPr="002D0B64">
        <w:t>parameters measured one underlying physical condition through three imperfect lenses,</w:t>
      </w:r>
      <w:r>
        <w:t xml:space="preserve"> </w:t>
      </w:r>
      <w:r w:rsidRPr="002D0B64">
        <w:t>creating the illusion of three independent bodies of evidence where one honest ESTIMATED</w:t>
      </w:r>
      <w:r>
        <w:t>_</w:t>
      </w:r>
      <w:r w:rsidRPr="002D0B64">
        <w:t>WEAK</w:t>
      </w:r>
      <w:r>
        <w:t xml:space="preserve"> </w:t>
      </w:r>
      <w:r w:rsidRPr="002D0B64">
        <w:t>body of evidence existed. The collapse to a single parameter with a wider range and a</w:t>
      </w:r>
      <w:r>
        <w:t xml:space="preserve"> </w:t>
      </w:r>
      <w:r w:rsidRPr="002D0B64">
        <w:t>slightly higher central (0.30 vs. the prior product 0.35 x 0.88 x 0.65::::: 0.20) is more faithful to</w:t>
      </w:r>
      <w:r>
        <w:t xml:space="preserve"> </w:t>
      </w:r>
      <w:r w:rsidRPr="002D0B64">
        <w:t>what the evidence supports, and it surfaces the literature dispute on destination utilization</w:t>
      </w:r>
      <w:r>
        <w:t xml:space="preserve"> </w:t>
      </w:r>
      <w:r w:rsidRPr="002D0B64">
        <w:t>(LBNL 40% / Zhou 70-80% / Knittel 80% / Guidi 75% / IEA 90%) as an explicit framework</w:t>
      </w:r>
      <w:r>
        <w:t xml:space="preserve"> </w:t>
      </w:r>
      <w:r w:rsidRPr="002D0B64">
        <w:t>feature rather than a hidden consideration.</w:t>
      </w:r>
    </w:p>
    <w:p w14:paraId="486CEB95" w14:textId="77777777" w:rsidR="002D0B64" w:rsidRPr="002D0B64" w:rsidRDefault="002D0B64" w:rsidP="002D0B64">
      <w:pPr>
        <w:pStyle w:val="Compact"/>
        <w:ind w:left="720"/>
      </w:pPr>
    </w:p>
    <w:p w14:paraId="158ED228" w14:textId="7A38D980" w:rsidR="002D0B64" w:rsidRPr="002D0B64" w:rsidRDefault="002D0B64" w:rsidP="002D0B64">
      <w:pPr>
        <w:pStyle w:val="Compact"/>
        <w:rPr>
          <w:b/>
          <w:bCs/>
        </w:rPr>
      </w:pPr>
      <w:r>
        <w:rPr>
          <w:b/>
          <w:bCs/>
        </w:rPr>
        <w:t>8</w:t>
      </w:r>
      <w:r w:rsidRPr="002D0B64">
        <w:rPr>
          <w:b/>
          <w:bCs/>
        </w:rPr>
        <w:t>.4 Items not changed by the reform</w:t>
      </w:r>
    </w:p>
    <w:p w14:paraId="723076F4" w14:textId="77777777" w:rsidR="002D0B64" w:rsidRDefault="002D0B64" w:rsidP="002D0B64">
      <w:pPr>
        <w:pStyle w:val="Compact"/>
        <w:numPr>
          <w:ilvl w:val="0"/>
          <w:numId w:val="22"/>
        </w:numPr>
      </w:pPr>
      <w:r w:rsidRPr="002D0B64">
        <w:t xml:space="preserve">Section 3 cross-BA decorrelation analysis (35,060 hours </w:t>
      </w:r>
      <w:proofErr w:type="spellStart"/>
      <w:r w:rsidRPr="002D0B64">
        <w:t>ofLMP</w:t>
      </w:r>
      <w:proofErr w:type="spellEnd"/>
      <w:r w:rsidRPr="002D0B64">
        <w:t xml:space="preserve"> data across five RTOs) is</w:t>
      </w:r>
      <w:r>
        <w:t xml:space="preserve"> </w:t>
      </w:r>
      <w:r w:rsidRPr="002D0B64">
        <w:t>preserved intact. DEST _avail IS this finding.</w:t>
      </w:r>
    </w:p>
    <w:p w14:paraId="30F919D7" w14:textId="77777777" w:rsidR="002D0B64" w:rsidRDefault="002D0B64" w:rsidP="002D0B64">
      <w:pPr>
        <w:pStyle w:val="Compact"/>
        <w:numPr>
          <w:ilvl w:val="0"/>
          <w:numId w:val="22"/>
        </w:numPr>
      </w:pPr>
      <w:r w:rsidRPr="002D0B64">
        <w:t>Section 4 drain-time analysis (49.4M production inference requests, P99 &lt; 15 s) is</w:t>
      </w:r>
      <w:r>
        <w:t xml:space="preserve"> </w:t>
      </w:r>
      <w:r w:rsidRPr="002D0B64">
        <w:t xml:space="preserve">preserved intact. </w:t>
      </w:r>
      <w:proofErr w:type="spellStart"/>
      <w:r w:rsidRPr="002D0B64">
        <w:t>DRAIN_ok</w:t>
      </w:r>
      <w:proofErr w:type="spellEnd"/>
      <w:r w:rsidRPr="002D0B64">
        <w:t xml:space="preserve"> IS this finding.</w:t>
      </w:r>
    </w:p>
    <w:p w14:paraId="7115655F" w14:textId="77777777" w:rsidR="002D0B64" w:rsidRDefault="002D0B64" w:rsidP="002D0B64">
      <w:pPr>
        <w:pStyle w:val="Compact"/>
        <w:numPr>
          <w:ilvl w:val="0"/>
          <w:numId w:val="22"/>
        </w:numPr>
      </w:pPr>
      <w:r w:rsidRPr="002D0B64">
        <w:t xml:space="preserve">Section </w:t>
      </w:r>
      <w:r w:rsidRPr="002D0B64">
        <w:rPr>
          <w:i/>
          <w:iCs/>
        </w:rPr>
        <w:t xml:space="preserve">5 </w:t>
      </w:r>
      <w:r w:rsidRPr="002D0B64">
        <w:t>conditional Monte Carlo core logic is preserved (re-parameterizes to new</w:t>
      </w:r>
      <w:r>
        <w:t xml:space="preserve"> </w:t>
      </w:r>
      <w:r w:rsidRPr="002D0B64">
        <w:t>structure but same engine).</w:t>
      </w:r>
    </w:p>
    <w:p w14:paraId="0FB0DAEB" w14:textId="77777777" w:rsidR="002D0B64" w:rsidRDefault="002D0B64" w:rsidP="002D0B64">
      <w:pPr>
        <w:pStyle w:val="Compact"/>
        <w:numPr>
          <w:ilvl w:val="0"/>
          <w:numId w:val="22"/>
        </w:numPr>
      </w:pPr>
      <w:r w:rsidRPr="002D0B64">
        <w:t>Three-ensemble construction (A/ B / C) is preserved.</w:t>
      </w:r>
    </w:p>
    <w:p w14:paraId="29FE7D7B" w14:textId="4EF7847B" w:rsidR="002D0B64" w:rsidRPr="002D0B64" w:rsidRDefault="002D0B64" w:rsidP="002D0B64">
      <w:pPr>
        <w:pStyle w:val="Compact"/>
        <w:numPr>
          <w:ilvl w:val="0"/>
          <w:numId w:val="22"/>
        </w:numPr>
      </w:pPr>
      <w:r w:rsidRPr="002D0B64">
        <w:t xml:space="preserve">Sequential ordering of mechanism composition (spatial </w:t>
      </w:r>
      <w:r w:rsidRPr="002D0B64">
        <w:rPr>
          <w:rFonts w:ascii="Segoe UI Symbol" w:hAnsi="Segoe UI Symbol" w:cs="Segoe UI Symbol"/>
        </w:rPr>
        <w:t>➔</w:t>
      </w:r>
      <w:r w:rsidRPr="002D0B64">
        <w:t xml:space="preserve"> deferral </w:t>
      </w:r>
      <w:r w:rsidRPr="002D0B64">
        <w:rPr>
          <w:rFonts w:ascii="Segoe UI Symbol" w:hAnsi="Segoe UI Symbol" w:cs="Segoe UI Symbol"/>
        </w:rPr>
        <w:t>➔</w:t>
      </w:r>
      <w:r w:rsidRPr="002D0B64">
        <w:t xml:space="preserve"> DVFS on residual) is</w:t>
      </w:r>
      <w:r>
        <w:t xml:space="preserve"> </w:t>
      </w:r>
      <w:r w:rsidRPr="002D0B64">
        <w:t>preserved.</w:t>
      </w:r>
    </w:p>
    <w:p w14:paraId="519A0221" w14:textId="77777777" w:rsidR="002D0B64" w:rsidRDefault="002D0B64" w:rsidP="002D0B64">
      <w:pPr>
        <w:pStyle w:val="Compact"/>
        <w:rPr>
          <w:b/>
          <w:bCs/>
        </w:rPr>
      </w:pPr>
    </w:p>
    <w:p w14:paraId="58B4E17B" w14:textId="77777777" w:rsidR="002D0B64" w:rsidRDefault="002D0B64" w:rsidP="002D0B64">
      <w:pPr>
        <w:pStyle w:val="Compact"/>
        <w:rPr>
          <w:b/>
          <w:bCs/>
        </w:rPr>
      </w:pPr>
    </w:p>
    <w:p w14:paraId="2858827A" w14:textId="77777777" w:rsidR="002D0B64" w:rsidRDefault="002D0B64" w:rsidP="002D0B64">
      <w:pPr>
        <w:pStyle w:val="Compact"/>
        <w:rPr>
          <w:b/>
          <w:bCs/>
        </w:rPr>
      </w:pPr>
    </w:p>
    <w:p w14:paraId="23209DD2" w14:textId="137415C8" w:rsidR="002D0B64" w:rsidRPr="002D0B64" w:rsidRDefault="002D0B64" w:rsidP="002D0B64">
      <w:pPr>
        <w:pStyle w:val="Compact"/>
        <w:rPr>
          <w:b/>
          <w:bCs/>
        </w:rPr>
      </w:pPr>
      <w:r>
        <w:rPr>
          <w:b/>
          <w:bCs/>
        </w:rPr>
        <w:t>8</w:t>
      </w:r>
      <w:r w:rsidRPr="002D0B64">
        <w:rPr>
          <w:b/>
          <w:bCs/>
        </w:rPr>
        <w:t>.5 EPIC companion piece decoupling</w:t>
      </w:r>
    </w:p>
    <w:p w14:paraId="04FF49A6" w14:textId="1B6DCF01" w:rsidR="00AC3DF2" w:rsidRDefault="002D0B64" w:rsidP="002D0B64">
      <w:pPr>
        <w:pStyle w:val="Compact"/>
        <w:pBdr>
          <w:bottom w:val="single" w:sz="12" w:space="1" w:color="auto"/>
        </w:pBdr>
      </w:pPr>
      <w:r w:rsidRPr="002D0B64">
        <w:t>The numerical results of the EPIC companion piece (single-facility 46.9%, fleet 26.9%) were</w:t>
      </w:r>
      <w:r>
        <w:t xml:space="preserve"> </w:t>
      </w:r>
      <w:r w:rsidRPr="002D0B64">
        <w:t>derived under the prior framework. The reformed framework produces different headline</w:t>
      </w:r>
      <w:r>
        <w:t xml:space="preserve"> </w:t>
      </w:r>
      <w:r w:rsidRPr="002D0B64">
        <w:t>numbers (32.3% / 52.6% single-facility, 24-43% fleet-scale across two scopes). The EPIC</w:t>
      </w:r>
      <w:r>
        <w:t xml:space="preserve"> </w:t>
      </w:r>
      <w:r w:rsidRPr="002D0B64">
        <w:t>companion was scoped as an early seed of the policy framing rather than a final quantitative</w:t>
      </w:r>
      <w:r>
        <w:t xml:space="preserve"> </w:t>
      </w:r>
      <w:r w:rsidRPr="002D0B64">
        <w:t>claim; its numerical results are explicitly decoupled from the NE manuscript's reformed</w:t>
      </w:r>
      <w:r>
        <w:t>-</w:t>
      </w:r>
      <w:r w:rsidRPr="002D0B64">
        <w:t>framework</w:t>
      </w:r>
      <w:r>
        <w:t xml:space="preserve"> </w:t>
      </w:r>
      <w:r w:rsidRPr="002D0B64">
        <w:t>results. This decoupling is documented as a deliberate choice rather than a</w:t>
      </w:r>
      <w:r>
        <w:t xml:space="preserve"> </w:t>
      </w:r>
      <w:r w:rsidRPr="002D0B64">
        <w:t>reconciliation effort.</w:t>
      </w:r>
    </w:p>
    <w:p w14:paraId="4283578A" w14:textId="77777777" w:rsidR="002D0B64" w:rsidRDefault="002D0B64" w:rsidP="002D0B64">
      <w:pPr>
        <w:pStyle w:val="Compact"/>
        <w:pBdr>
          <w:bottom w:val="single" w:sz="12" w:space="1" w:color="auto"/>
        </w:pBdr>
      </w:pPr>
    </w:p>
    <w:p w14:paraId="679911EA" w14:textId="77777777" w:rsidR="002D0B64" w:rsidRDefault="002D0B64" w:rsidP="002D0B64">
      <w:pPr>
        <w:pStyle w:val="Compact"/>
      </w:pPr>
    </w:p>
    <w:p w14:paraId="254B151C" w14:textId="2B47E8BC" w:rsidR="002D0B64" w:rsidRDefault="002D0B64" w:rsidP="002D0B64">
      <w:pPr>
        <w:pStyle w:val="Compact"/>
        <w:rPr>
          <w:b/>
          <w:bCs/>
          <w:sz w:val="28"/>
          <w:szCs w:val="28"/>
        </w:rPr>
      </w:pPr>
      <w:r>
        <w:rPr>
          <w:b/>
          <w:bCs/>
          <w:sz w:val="28"/>
          <w:szCs w:val="28"/>
        </w:rPr>
        <w:t>9. References</w:t>
      </w:r>
    </w:p>
    <w:p w14:paraId="3544D84F" w14:textId="77777777" w:rsidR="002D0B64" w:rsidRDefault="002D0B64" w:rsidP="002D0B64">
      <w:pPr>
        <w:pStyle w:val="Compact"/>
        <w:rPr>
          <w:sz w:val="28"/>
          <w:szCs w:val="28"/>
        </w:rPr>
      </w:pPr>
    </w:p>
    <w:p w14:paraId="00C726B0" w14:textId="12CF4E06" w:rsidR="002D0B64" w:rsidRPr="002D0B64" w:rsidRDefault="002D0B64" w:rsidP="002D0B64">
      <w:pPr>
        <w:pStyle w:val="Compact"/>
        <w:rPr>
          <w:i/>
          <w:iCs/>
          <w:sz w:val="28"/>
          <w:szCs w:val="28"/>
        </w:rPr>
      </w:pPr>
      <w:r w:rsidRPr="002D0B64">
        <w:rPr>
          <w:sz w:val="28"/>
          <w:szCs w:val="28"/>
        </w:rPr>
        <w:t xml:space="preserve">American Public Power Association. </w:t>
      </w:r>
      <w:r w:rsidRPr="002D0B64">
        <w:rPr>
          <w:i/>
          <w:iCs/>
          <w:sz w:val="28"/>
          <w:szCs w:val="28"/>
        </w:rPr>
        <w:t>Google, TVA Enter Agreement Tied to Data Center</w:t>
      </w:r>
      <w:r>
        <w:rPr>
          <w:i/>
          <w:iCs/>
          <w:sz w:val="28"/>
          <w:szCs w:val="28"/>
        </w:rPr>
        <w:t xml:space="preserve"> </w:t>
      </w:r>
      <w:r w:rsidRPr="002D0B64">
        <w:rPr>
          <w:i/>
          <w:iCs/>
          <w:sz w:val="28"/>
          <w:szCs w:val="28"/>
        </w:rPr>
        <w:t xml:space="preserve">Demand Response </w:t>
      </w:r>
      <w:r w:rsidRPr="002D0B64">
        <w:rPr>
          <w:sz w:val="28"/>
          <w:szCs w:val="28"/>
        </w:rPr>
        <w:t>(August 2025).</w:t>
      </w:r>
    </w:p>
    <w:p w14:paraId="759183EF" w14:textId="77777777" w:rsidR="002D0B64" w:rsidRDefault="002D0B64" w:rsidP="002D0B64">
      <w:pPr>
        <w:pStyle w:val="Compact"/>
        <w:rPr>
          <w:sz w:val="28"/>
          <w:szCs w:val="28"/>
        </w:rPr>
      </w:pPr>
    </w:p>
    <w:p w14:paraId="42B3AF5F" w14:textId="694659BA" w:rsidR="002D0B64" w:rsidRPr="002D0B64" w:rsidRDefault="002D0B64" w:rsidP="002D0B64">
      <w:pPr>
        <w:pStyle w:val="Compact"/>
        <w:rPr>
          <w:i/>
          <w:iCs/>
          <w:sz w:val="28"/>
          <w:szCs w:val="28"/>
        </w:rPr>
      </w:pPr>
      <w:proofErr w:type="spellStart"/>
      <w:r w:rsidRPr="002D0B64">
        <w:rPr>
          <w:sz w:val="28"/>
          <w:szCs w:val="28"/>
        </w:rPr>
        <w:t>Aljbour</w:t>
      </w:r>
      <w:proofErr w:type="spellEnd"/>
      <w:r w:rsidRPr="002D0B64">
        <w:rPr>
          <w:sz w:val="28"/>
          <w:szCs w:val="28"/>
        </w:rPr>
        <w:t xml:space="preserve">, J., et al. </w:t>
      </w:r>
      <w:r w:rsidRPr="002D0B64">
        <w:rPr>
          <w:i/>
          <w:iCs/>
          <w:sz w:val="28"/>
          <w:szCs w:val="28"/>
        </w:rPr>
        <w:t xml:space="preserve">Power Consumption Trends </w:t>
      </w:r>
      <w:r w:rsidRPr="002D0B64">
        <w:rPr>
          <w:sz w:val="28"/>
          <w:szCs w:val="28"/>
        </w:rPr>
        <w:t xml:space="preserve">from </w:t>
      </w:r>
      <w:r w:rsidRPr="002D0B64">
        <w:rPr>
          <w:i/>
          <w:iCs/>
          <w:sz w:val="28"/>
          <w:szCs w:val="28"/>
        </w:rPr>
        <w:t>Increased AI and Data Center Utilization.</w:t>
      </w:r>
      <w:r>
        <w:rPr>
          <w:i/>
          <w:iCs/>
          <w:sz w:val="28"/>
          <w:szCs w:val="28"/>
        </w:rPr>
        <w:t xml:space="preserve"> </w:t>
      </w:r>
      <w:r w:rsidRPr="002D0B64">
        <w:rPr>
          <w:sz w:val="28"/>
          <w:szCs w:val="28"/>
        </w:rPr>
        <w:t>EPRI (2024).</w:t>
      </w:r>
    </w:p>
    <w:p w14:paraId="05094FE7" w14:textId="77777777" w:rsidR="002D0B64" w:rsidRDefault="002D0B64" w:rsidP="002D0B64">
      <w:pPr>
        <w:pStyle w:val="Compact"/>
        <w:rPr>
          <w:sz w:val="28"/>
          <w:szCs w:val="28"/>
        </w:rPr>
      </w:pPr>
    </w:p>
    <w:p w14:paraId="60A97B0E" w14:textId="3F1DD0E8" w:rsidR="002D0B64" w:rsidRPr="002D0B64" w:rsidRDefault="002D0B64" w:rsidP="002D0B64">
      <w:pPr>
        <w:pStyle w:val="Compact"/>
        <w:rPr>
          <w:sz w:val="28"/>
          <w:szCs w:val="28"/>
        </w:rPr>
      </w:pPr>
      <w:r w:rsidRPr="002D0B64">
        <w:rPr>
          <w:sz w:val="28"/>
          <w:szCs w:val="28"/>
        </w:rPr>
        <w:t xml:space="preserve">Colangelo, P., Coskun, A. K., </w:t>
      </w:r>
      <w:proofErr w:type="spellStart"/>
      <w:r w:rsidRPr="002D0B64">
        <w:rPr>
          <w:sz w:val="28"/>
          <w:szCs w:val="28"/>
        </w:rPr>
        <w:t>Megrue</w:t>
      </w:r>
      <w:proofErr w:type="spellEnd"/>
      <w:r w:rsidRPr="002D0B64">
        <w:rPr>
          <w:sz w:val="28"/>
          <w:szCs w:val="28"/>
        </w:rPr>
        <w:t xml:space="preserve">, J., Roberts, C., Sengupta, S., Sivaram, V., Tiao, E., </w:t>
      </w:r>
      <w:proofErr w:type="spellStart"/>
      <w:r w:rsidRPr="002D0B64">
        <w:rPr>
          <w:sz w:val="28"/>
          <w:szCs w:val="28"/>
        </w:rPr>
        <w:t>Vijaykar</w:t>
      </w:r>
      <w:proofErr w:type="spellEnd"/>
      <w:r w:rsidRPr="002D0B64">
        <w:rPr>
          <w:sz w:val="28"/>
          <w:szCs w:val="28"/>
        </w:rPr>
        <w:t>,</w:t>
      </w:r>
      <w:r>
        <w:rPr>
          <w:sz w:val="28"/>
          <w:szCs w:val="28"/>
        </w:rPr>
        <w:t xml:space="preserve"> </w:t>
      </w:r>
      <w:r w:rsidRPr="002D0B64">
        <w:rPr>
          <w:sz w:val="28"/>
          <w:szCs w:val="28"/>
        </w:rPr>
        <w:t>A., Williams, C., Wilson, D. C., Records, B., MacFarland, Z., Dreiling, D., Morey, N., Ratnayake,</w:t>
      </w:r>
      <w:r>
        <w:rPr>
          <w:sz w:val="28"/>
          <w:szCs w:val="28"/>
        </w:rPr>
        <w:t xml:space="preserve"> </w:t>
      </w:r>
      <w:r w:rsidRPr="002D0B64">
        <w:rPr>
          <w:sz w:val="28"/>
          <w:szCs w:val="28"/>
        </w:rPr>
        <w:t xml:space="preserve">A., &amp; </w:t>
      </w:r>
      <w:proofErr w:type="spellStart"/>
      <w:r w:rsidRPr="002D0B64">
        <w:rPr>
          <w:sz w:val="28"/>
          <w:szCs w:val="28"/>
        </w:rPr>
        <w:t>Vairamohan</w:t>
      </w:r>
      <w:proofErr w:type="spellEnd"/>
      <w:r w:rsidRPr="002D0B64">
        <w:rPr>
          <w:sz w:val="28"/>
          <w:szCs w:val="28"/>
        </w:rPr>
        <w:t xml:space="preserve">, B. AI data </w:t>
      </w:r>
      <w:proofErr w:type="spellStart"/>
      <w:r w:rsidRPr="002D0B64">
        <w:rPr>
          <w:sz w:val="28"/>
          <w:szCs w:val="28"/>
        </w:rPr>
        <w:t>centres</w:t>
      </w:r>
      <w:proofErr w:type="spellEnd"/>
      <w:r w:rsidRPr="002D0B64">
        <w:rPr>
          <w:sz w:val="28"/>
          <w:szCs w:val="28"/>
        </w:rPr>
        <w:t xml:space="preserve"> as grid-interactive assets. </w:t>
      </w:r>
      <w:r w:rsidRPr="002D0B64">
        <w:rPr>
          <w:i/>
          <w:iCs/>
          <w:sz w:val="28"/>
          <w:szCs w:val="28"/>
        </w:rPr>
        <w:t xml:space="preserve">Nature Energy </w:t>
      </w:r>
      <w:r w:rsidRPr="002D0B64">
        <w:rPr>
          <w:sz w:val="28"/>
          <w:szCs w:val="28"/>
        </w:rPr>
        <w:t>11, 254-261</w:t>
      </w:r>
      <w:r>
        <w:rPr>
          <w:sz w:val="28"/>
          <w:szCs w:val="28"/>
        </w:rPr>
        <w:t xml:space="preserve"> </w:t>
      </w:r>
      <w:r w:rsidRPr="002D0B64">
        <w:rPr>
          <w:sz w:val="28"/>
          <w:szCs w:val="28"/>
        </w:rPr>
        <w:t>(2026).</w:t>
      </w:r>
    </w:p>
    <w:p w14:paraId="4E5426BA" w14:textId="77777777" w:rsidR="002D0B64" w:rsidRDefault="002D0B64" w:rsidP="002D0B64">
      <w:pPr>
        <w:pStyle w:val="Compact"/>
        <w:rPr>
          <w:sz w:val="28"/>
          <w:szCs w:val="28"/>
        </w:rPr>
      </w:pPr>
    </w:p>
    <w:p w14:paraId="25BB4F4C" w14:textId="0976C9DA" w:rsidR="002D0B64" w:rsidRPr="002D0B64" w:rsidRDefault="002D0B64" w:rsidP="002D0B64">
      <w:pPr>
        <w:pStyle w:val="Compact"/>
        <w:rPr>
          <w:sz w:val="28"/>
          <w:szCs w:val="28"/>
        </w:rPr>
      </w:pPr>
      <w:r w:rsidRPr="002D0B64">
        <w:rPr>
          <w:sz w:val="28"/>
          <w:szCs w:val="28"/>
        </w:rPr>
        <w:t>Cortez, E., Bonde, A., Muzio, A., Russinovich, M., Fontoura, M., &amp; Bianchini, R. Resource Central:</w:t>
      </w:r>
      <w:r>
        <w:rPr>
          <w:sz w:val="28"/>
          <w:szCs w:val="28"/>
        </w:rPr>
        <w:t xml:space="preserve"> </w:t>
      </w:r>
      <w:r w:rsidRPr="002D0B64">
        <w:rPr>
          <w:sz w:val="28"/>
          <w:szCs w:val="28"/>
        </w:rPr>
        <w:t>Understanding and predicting workloads for improved resource management in large cloud</w:t>
      </w:r>
      <w:r>
        <w:rPr>
          <w:sz w:val="28"/>
          <w:szCs w:val="28"/>
        </w:rPr>
        <w:t xml:space="preserve"> </w:t>
      </w:r>
      <w:r w:rsidRPr="002D0B64">
        <w:rPr>
          <w:sz w:val="28"/>
          <w:szCs w:val="28"/>
        </w:rPr>
        <w:t>platforms. SOSP (2017).</w:t>
      </w:r>
    </w:p>
    <w:p w14:paraId="4DE85309" w14:textId="77777777" w:rsidR="002D0B64" w:rsidRDefault="002D0B64" w:rsidP="002D0B64">
      <w:pPr>
        <w:pStyle w:val="Compact"/>
        <w:rPr>
          <w:sz w:val="28"/>
          <w:szCs w:val="28"/>
        </w:rPr>
      </w:pPr>
    </w:p>
    <w:p w14:paraId="1DDDD0AE" w14:textId="2D2A616D" w:rsidR="002D0B64" w:rsidRDefault="002D0B64" w:rsidP="002D0B64">
      <w:pPr>
        <w:pStyle w:val="Compact"/>
        <w:rPr>
          <w:sz w:val="28"/>
          <w:szCs w:val="28"/>
        </w:rPr>
      </w:pPr>
      <w:r w:rsidRPr="002D0B64">
        <w:rPr>
          <w:sz w:val="28"/>
          <w:szCs w:val="28"/>
        </w:rPr>
        <w:t xml:space="preserve">Dubey, A., et al. (Meta). The Llama 3 Herd of Models. </w:t>
      </w:r>
      <w:proofErr w:type="spellStart"/>
      <w:r w:rsidRPr="002D0B64">
        <w:rPr>
          <w:sz w:val="28"/>
          <w:szCs w:val="28"/>
        </w:rPr>
        <w:t>arXiv</w:t>
      </w:r>
      <w:proofErr w:type="spellEnd"/>
      <w:r w:rsidRPr="002D0B64">
        <w:rPr>
          <w:sz w:val="28"/>
          <w:szCs w:val="28"/>
        </w:rPr>
        <w:t xml:space="preserve"> (2024).</w:t>
      </w:r>
    </w:p>
    <w:p w14:paraId="29B227E1" w14:textId="77777777" w:rsidR="002D0B64" w:rsidRPr="002D0B64" w:rsidRDefault="002D0B64" w:rsidP="002D0B64">
      <w:pPr>
        <w:pStyle w:val="Compact"/>
        <w:rPr>
          <w:sz w:val="28"/>
          <w:szCs w:val="28"/>
        </w:rPr>
      </w:pPr>
    </w:p>
    <w:p w14:paraId="23C8DC87" w14:textId="39562AD3" w:rsidR="002D0B64" w:rsidRPr="002D0B64" w:rsidRDefault="002D0B64" w:rsidP="002D0B64">
      <w:pPr>
        <w:pStyle w:val="Compact"/>
        <w:rPr>
          <w:sz w:val="28"/>
          <w:szCs w:val="28"/>
        </w:rPr>
      </w:pPr>
      <w:r w:rsidRPr="002D0B64">
        <w:rPr>
          <w:sz w:val="28"/>
          <w:szCs w:val="28"/>
        </w:rPr>
        <w:t xml:space="preserve">EPRI. </w:t>
      </w:r>
      <w:r w:rsidRPr="002D0B64">
        <w:rPr>
          <w:i/>
          <w:iCs/>
          <w:sz w:val="28"/>
          <w:szCs w:val="28"/>
        </w:rPr>
        <w:t>Powering Intelligence: Analyzing Artificial Intelligence and Data Center Energy</w:t>
      </w:r>
      <w:r>
        <w:rPr>
          <w:i/>
          <w:iCs/>
          <w:sz w:val="28"/>
          <w:szCs w:val="28"/>
        </w:rPr>
        <w:t xml:space="preserve"> </w:t>
      </w:r>
      <w:r w:rsidRPr="002D0B64">
        <w:rPr>
          <w:i/>
          <w:iCs/>
          <w:sz w:val="28"/>
          <w:szCs w:val="28"/>
        </w:rPr>
        <w:t xml:space="preserve">Consumption </w:t>
      </w:r>
      <w:r w:rsidRPr="002D0B64">
        <w:rPr>
          <w:sz w:val="28"/>
          <w:szCs w:val="28"/>
        </w:rPr>
        <w:t>(2024).</w:t>
      </w:r>
    </w:p>
    <w:p w14:paraId="08A6E925" w14:textId="77777777" w:rsidR="002D0B64" w:rsidRDefault="002D0B64" w:rsidP="002D0B64">
      <w:pPr>
        <w:pStyle w:val="Compact"/>
        <w:rPr>
          <w:sz w:val="28"/>
          <w:szCs w:val="28"/>
        </w:rPr>
      </w:pPr>
    </w:p>
    <w:p w14:paraId="63BF2D21" w14:textId="70F2018C" w:rsidR="002D0B64" w:rsidRPr="002D0B64" w:rsidRDefault="002D0B64" w:rsidP="002D0B64">
      <w:pPr>
        <w:pStyle w:val="Compact"/>
        <w:rPr>
          <w:sz w:val="28"/>
          <w:szCs w:val="28"/>
        </w:rPr>
      </w:pPr>
      <w:r w:rsidRPr="002D0B64">
        <w:rPr>
          <w:sz w:val="28"/>
          <w:szCs w:val="28"/>
        </w:rPr>
        <w:t>Govindan, R., et al. Evolve or die: High-availability design principles drawn from Google's</w:t>
      </w:r>
      <w:r>
        <w:rPr>
          <w:sz w:val="28"/>
          <w:szCs w:val="28"/>
        </w:rPr>
        <w:t xml:space="preserve"> </w:t>
      </w:r>
      <w:r w:rsidRPr="002D0B64">
        <w:rPr>
          <w:sz w:val="28"/>
          <w:szCs w:val="28"/>
        </w:rPr>
        <w:t xml:space="preserve">network infrastructure. </w:t>
      </w:r>
      <w:r w:rsidRPr="002D0B64">
        <w:rPr>
          <w:i/>
          <w:iCs/>
          <w:sz w:val="28"/>
          <w:szCs w:val="28"/>
        </w:rPr>
        <w:t xml:space="preserve">ACM </w:t>
      </w:r>
      <w:r w:rsidRPr="002D0B64">
        <w:rPr>
          <w:sz w:val="28"/>
          <w:szCs w:val="28"/>
        </w:rPr>
        <w:t>SIGCOMM (2016).</w:t>
      </w:r>
    </w:p>
    <w:p w14:paraId="18C55702" w14:textId="77777777" w:rsidR="002D0B64" w:rsidRDefault="002D0B64" w:rsidP="002D0B64">
      <w:pPr>
        <w:pStyle w:val="Compact"/>
        <w:rPr>
          <w:sz w:val="28"/>
          <w:szCs w:val="28"/>
        </w:rPr>
      </w:pPr>
    </w:p>
    <w:p w14:paraId="1F4091DC" w14:textId="410004E3" w:rsidR="002D0B64" w:rsidRPr="002D0B64" w:rsidRDefault="002D0B64" w:rsidP="002D0B64">
      <w:pPr>
        <w:pStyle w:val="Compact"/>
        <w:rPr>
          <w:sz w:val="28"/>
          <w:szCs w:val="28"/>
        </w:rPr>
      </w:pPr>
      <w:r w:rsidRPr="002D0B64">
        <w:rPr>
          <w:sz w:val="28"/>
          <w:szCs w:val="28"/>
        </w:rPr>
        <w:t xml:space="preserve">Hsu, C. -H., et al. </w:t>
      </w:r>
      <w:proofErr w:type="spellStart"/>
      <w:r w:rsidRPr="002D0B64">
        <w:rPr>
          <w:sz w:val="28"/>
          <w:szCs w:val="28"/>
        </w:rPr>
        <w:t>SmoothOperator</w:t>
      </w:r>
      <w:proofErr w:type="spellEnd"/>
      <w:r w:rsidRPr="002D0B64">
        <w:rPr>
          <w:sz w:val="28"/>
          <w:szCs w:val="28"/>
        </w:rPr>
        <w:t>: Reducing power fragmentation and improving power</w:t>
      </w:r>
      <w:r>
        <w:rPr>
          <w:sz w:val="28"/>
          <w:szCs w:val="28"/>
        </w:rPr>
        <w:t xml:space="preserve"> </w:t>
      </w:r>
      <w:r w:rsidRPr="002D0B64">
        <w:rPr>
          <w:sz w:val="28"/>
          <w:szCs w:val="28"/>
        </w:rPr>
        <w:t>utilization in large-scale datacenters. (Face book, 2018).</w:t>
      </w:r>
    </w:p>
    <w:p w14:paraId="0B286656" w14:textId="77777777" w:rsidR="002D0B64" w:rsidRPr="002D0B64" w:rsidRDefault="002D0B64" w:rsidP="002D0B64">
      <w:pPr>
        <w:pStyle w:val="Compact"/>
        <w:rPr>
          <w:sz w:val="28"/>
          <w:szCs w:val="28"/>
        </w:rPr>
      </w:pPr>
      <w:r w:rsidRPr="002D0B64">
        <w:rPr>
          <w:sz w:val="28"/>
          <w:szCs w:val="28"/>
        </w:rPr>
        <w:t xml:space="preserve">International Energy Agency. </w:t>
      </w:r>
      <w:r w:rsidRPr="002D0B64">
        <w:rPr>
          <w:i/>
          <w:iCs/>
          <w:sz w:val="28"/>
          <w:szCs w:val="28"/>
        </w:rPr>
        <w:t xml:space="preserve">Energy and AI. </w:t>
      </w:r>
      <w:r w:rsidRPr="002D0B64">
        <w:rPr>
          <w:sz w:val="28"/>
          <w:szCs w:val="28"/>
        </w:rPr>
        <w:t>World Energy Outlook Special Report (2025).</w:t>
      </w:r>
    </w:p>
    <w:p w14:paraId="79EA5668" w14:textId="77777777" w:rsidR="002D0B64" w:rsidRDefault="002D0B64" w:rsidP="002D0B64">
      <w:pPr>
        <w:pStyle w:val="Compact"/>
        <w:rPr>
          <w:sz w:val="28"/>
          <w:szCs w:val="28"/>
        </w:rPr>
      </w:pPr>
    </w:p>
    <w:p w14:paraId="7308329F" w14:textId="28A96100" w:rsidR="002D0B64" w:rsidRPr="002D0B64" w:rsidRDefault="002D0B64" w:rsidP="002D0B64">
      <w:pPr>
        <w:pStyle w:val="Compact"/>
        <w:rPr>
          <w:sz w:val="28"/>
          <w:szCs w:val="28"/>
        </w:rPr>
      </w:pPr>
      <w:r w:rsidRPr="002D0B64">
        <w:rPr>
          <w:sz w:val="28"/>
          <w:szCs w:val="28"/>
        </w:rPr>
        <w:t xml:space="preserve">Jain, S., et al. B4: Experience with a </w:t>
      </w:r>
      <w:proofErr w:type="gramStart"/>
      <w:r w:rsidRPr="002D0B64">
        <w:rPr>
          <w:sz w:val="28"/>
          <w:szCs w:val="28"/>
        </w:rPr>
        <w:t>globally-deployed</w:t>
      </w:r>
      <w:proofErr w:type="gramEnd"/>
      <w:r w:rsidRPr="002D0B64">
        <w:rPr>
          <w:sz w:val="28"/>
          <w:szCs w:val="28"/>
        </w:rPr>
        <w:t xml:space="preserve"> software defined WAN. </w:t>
      </w:r>
      <w:r w:rsidRPr="002D0B64">
        <w:rPr>
          <w:i/>
          <w:iCs/>
          <w:sz w:val="28"/>
          <w:szCs w:val="28"/>
        </w:rPr>
        <w:t xml:space="preserve">ACM </w:t>
      </w:r>
      <w:proofErr w:type="gramStart"/>
      <w:r w:rsidRPr="002D0B64">
        <w:rPr>
          <w:sz w:val="28"/>
          <w:szCs w:val="28"/>
        </w:rPr>
        <w:t>SIGCOMM(</w:t>
      </w:r>
      <w:proofErr w:type="gramEnd"/>
      <w:r w:rsidRPr="002D0B64">
        <w:rPr>
          <w:sz w:val="28"/>
          <w:szCs w:val="28"/>
        </w:rPr>
        <w:t>2013).</w:t>
      </w:r>
    </w:p>
    <w:p w14:paraId="2F51CBA9" w14:textId="77777777" w:rsidR="002D0B64" w:rsidRDefault="002D0B64" w:rsidP="002D0B64">
      <w:pPr>
        <w:pStyle w:val="Compact"/>
        <w:rPr>
          <w:sz w:val="28"/>
          <w:szCs w:val="28"/>
        </w:rPr>
      </w:pPr>
    </w:p>
    <w:p w14:paraId="68470FC6" w14:textId="79161D18" w:rsidR="002D0B64" w:rsidRPr="002D0B64" w:rsidRDefault="002D0B64" w:rsidP="002D0B64">
      <w:pPr>
        <w:pStyle w:val="Compact"/>
        <w:rPr>
          <w:sz w:val="28"/>
          <w:szCs w:val="28"/>
        </w:rPr>
      </w:pPr>
      <w:r w:rsidRPr="002D0B64">
        <w:rPr>
          <w:sz w:val="28"/>
          <w:szCs w:val="28"/>
        </w:rPr>
        <w:t xml:space="preserve">Jaiswal, S., Jain, K., </w:t>
      </w:r>
      <w:proofErr w:type="spellStart"/>
      <w:r w:rsidRPr="002D0B64">
        <w:rPr>
          <w:sz w:val="28"/>
          <w:szCs w:val="28"/>
        </w:rPr>
        <w:t>Simmhan</w:t>
      </w:r>
      <w:proofErr w:type="spellEnd"/>
      <w:r w:rsidRPr="002D0B64">
        <w:rPr>
          <w:sz w:val="28"/>
          <w:szCs w:val="28"/>
        </w:rPr>
        <w:t xml:space="preserve">, Y., </w:t>
      </w:r>
      <w:proofErr w:type="spellStart"/>
      <w:r w:rsidRPr="002D0B64">
        <w:rPr>
          <w:sz w:val="28"/>
          <w:szCs w:val="28"/>
        </w:rPr>
        <w:t>Parayil</w:t>
      </w:r>
      <w:proofErr w:type="spellEnd"/>
      <w:r w:rsidRPr="002D0B64">
        <w:rPr>
          <w:sz w:val="28"/>
          <w:szCs w:val="28"/>
        </w:rPr>
        <w:t xml:space="preserve">, A., Mallick, A., St. Amant, R., et al. </w:t>
      </w:r>
      <w:proofErr w:type="spellStart"/>
      <w:r w:rsidRPr="002D0B64">
        <w:rPr>
          <w:sz w:val="28"/>
          <w:szCs w:val="28"/>
        </w:rPr>
        <w:t>SageServe</w:t>
      </w:r>
      <w:proofErr w:type="spellEnd"/>
      <w:r w:rsidRPr="002D0B64">
        <w:rPr>
          <w:sz w:val="28"/>
          <w:szCs w:val="28"/>
        </w:rPr>
        <w:t>:</w:t>
      </w:r>
      <w:r>
        <w:rPr>
          <w:sz w:val="28"/>
          <w:szCs w:val="28"/>
        </w:rPr>
        <w:t xml:space="preserve"> </w:t>
      </w:r>
      <w:r w:rsidRPr="002D0B64">
        <w:rPr>
          <w:sz w:val="28"/>
          <w:szCs w:val="28"/>
        </w:rPr>
        <w:t>Optimizing LLM Serving on Cloud Data Centers with Forecast Aware Auto-Scaling.</w:t>
      </w:r>
      <w:r>
        <w:rPr>
          <w:sz w:val="28"/>
          <w:szCs w:val="28"/>
        </w:rPr>
        <w:t xml:space="preserve"> </w:t>
      </w:r>
      <w:r w:rsidRPr="002D0B64">
        <w:rPr>
          <w:sz w:val="28"/>
          <w:szCs w:val="28"/>
        </w:rPr>
        <w:t>arXiv:2502.14617 (2025).</w:t>
      </w:r>
    </w:p>
    <w:p w14:paraId="6F50CF45" w14:textId="77777777" w:rsidR="002D0B64" w:rsidRDefault="002D0B64" w:rsidP="002D0B64">
      <w:pPr>
        <w:pStyle w:val="Compact"/>
        <w:rPr>
          <w:sz w:val="28"/>
          <w:szCs w:val="28"/>
        </w:rPr>
      </w:pPr>
    </w:p>
    <w:p w14:paraId="50832BE0" w14:textId="4D92B1F9" w:rsidR="002D0B64" w:rsidRPr="002D0B64" w:rsidRDefault="002D0B64" w:rsidP="002D0B64">
      <w:pPr>
        <w:pStyle w:val="Compact"/>
        <w:rPr>
          <w:i/>
          <w:iCs/>
          <w:sz w:val="28"/>
          <w:szCs w:val="28"/>
        </w:rPr>
      </w:pPr>
      <w:r w:rsidRPr="002D0B64">
        <w:rPr>
          <w:sz w:val="28"/>
          <w:szCs w:val="28"/>
        </w:rPr>
        <w:t xml:space="preserve">Knittel, C., Senga, M., &amp; Wang, S. </w:t>
      </w:r>
      <w:r w:rsidRPr="002D0B64">
        <w:rPr>
          <w:i/>
          <w:iCs/>
          <w:sz w:val="28"/>
          <w:szCs w:val="28"/>
        </w:rPr>
        <w:t xml:space="preserve">Flexible Data Centers and the Grid: Lower </w:t>
      </w:r>
      <w:r w:rsidRPr="002D0B64">
        <w:rPr>
          <w:sz w:val="28"/>
          <w:szCs w:val="28"/>
        </w:rPr>
        <w:t xml:space="preserve">Costs, </w:t>
      </w:r>
      <w:r w:rsidRPr="002D0B64">
        <w:rPr>
          <w:i/>
          <w:iCs/>
          <w:sz w:val="28"/>
          <w:szCs w:val="28"/>
        </w:rPr>
        <w:t>Higher</w:t>
      </w:r>
      <w:r>
        <w:rPr>
          <w:i/>
          <w:iCs/>
          <w:sz w:val="28"/>
          <w:szCs w:val="28"/>
        </w:rPr>
        <w:t xml:space="preserve"> </w:t>
      </w:r>
      <w:r w:rsidRPr="002D0B64">
        <w:rPr>
          <w:i/>
          <w:iCs/>
          <w:sz w:val="28"/>
          <w:szCs w:val="28"/>
        </w:rPr>
        <w:t xml:space="preserve">Emissions? </w:t>
      </w:r>
      <w:r w:rsidRPr="002D0B64">
        <w:rPr>
          <w:sz w:val="28"/>
          <w:szCs w:val="28"/>
        </w:rPr>
        <w:t>NBER Working Paper 34065 (2025).</w:t>
      </w:r>
    </w:p>
    <w:p w14:paraId="32FFC96E" w14:textId="77777777" w:rsidR="002D0B64" w:rsidRDefault="002D0B64" w:rsidP="002D0B64">
      <w:pPr>
        <w:pStyle w:val="Compact"/>
        <w:rPr>
          <w:sz w:val="28"/>
          <w:szCs w:val="28"/>
        </w:rPr>
      </w:pPr>
    </w:p>
    <w:p w14:paraId="3164CA56" w14:textId="77777777" w:rsidR="002D0B64" w:rsidRDefault="002D0B64" w:rsidP="002D0B64">
      <w:pPr>
        <w:pStyle w:val="Compact"/>
        <w:rPr>
          <w:sz w:val="28"/>
          <w:szCs w:val="28"/>
        </w:rPr>
      </w:pPr>
      <w:r w:rsidRPr="002D0B64">
        <w:rPr>
          <w:sz w:val="28"/>
          <w:szCs w:val="28"/>
        </w:rPr>
        <w:t xml:space="preserve">Li, L., et al. Thunderbolt: Throughput-optimized, quality-of-service-aware power </w:t>
      </w:r>
      <w:proofErr w:type="gramStart"/>
      <w:r w:rsidRPr="002D0B64">
        <w:rPr>
          <w:sz w:val="28"/>
          <w:szCs w:val="28"/>
        </w:rPr>
        <w:t>capping at</w:t>
      </w:r>
      <w:proofErr w:type="gramEnd"/>
      <w:r>
        <w:rPr>
          <w:sz w:val="28"/>
          <w:szCs w:val="28"/>
        </w:rPr>
        <w:t xml:space="preserve"> </w:t>
      </w:r>
      <w:r w:rsidRPr="002D0B64">
        <w:rPr>
          <w:sz w:val="28"/>
          <w:szCs w:val="28"/>
        </w:rPr>
        <w:t xml:space="preserve">scale. </w:t>
      </w:r>
      <w:r w:rsidRPr="002D0B64">
        <w:rPr>
          <w:i/>
          <w:iCs/>
          <w:sz w:val="28"/>
          <w:szCs w:val="28"/>
        </w:rPr>
        <w:t xml:space="preserve">OSDI </w:t>
      </w:r>
      <w:r w:rsidRPr="002D0B64">
        <w:rPr>
          <w:sz w:val="28"/>
          <w:szCs w:val="28"/>
        </w:rPr>
        <w:t>(2020).</w:t>
      </w:r>
    </w:p>
    <w:p w14:paraId="29BF9CB4" w14:textId="77777777" w:rsidR="002D0B64" w:rsidRDefault="002D0B64" w:rsidP="002D0B64">
      <w:pPr>
        <w:pStyle w:val="Compact"/>
        <w:rPr>
          <w:sz w:val="28"/>
          <w:szCs w:val="28"/>
        </w:rPr>
      </w:pPr>
    </w:p>
    <w:p w14:paraId="3F5FBAF4" w14:textId="61789EC4" w:rsidR="002D0B64" w:rsidRPr="002D0B64" w:rsidRDefault="002D0B64" w:rsidP="002D0B64">
      <w:pPr>
        <w:pStyle w:val="Compact"/>
        <w:rPr>
          <w:sz w:val="28"/>
          <w:szCs w:val="28"/>
        </w:rPr>
      </w:pPr>
      <w:r w:rsidRPr="002D0B64">
        <w:rPr>
          <w:sz w:val="28"/>
          <w:szCs w:val="28"/>
        </w:rPr>
        <w:t xml:space="preserve">McKinsey &amp; Company. </w:t>
      </w:r>
      <w:r w:rsidRPr="002D0B64">
        <w:rPr>
          <w:i/>
          <w:iCs/>
          <w:sz w:val="28"/>
          <w:szCs w:val="28"/>
        </w:rPr>
        <w:t xml:space="preserve">The </w:t>
      </w:r>
      <w:r w:rsidRPr="002D0B64">
        <w:rPr>
          <w:sz w:val="28"/>
          <w:szCs w:val="28"/>
        </w:rPr>
        <w:t xml:space="preserve">Cost of </w:t>
      </w:r>
      <w:r w:rsidRPr="002D0B64">
        <w:rPr>
          <w:i/>
          <w:iCs/>
          <w:sz w:val="28"/>
          <w:szCs w:val="28"/>
        </w:rPr>
        <w:t xml:space="preserve">Compute: A $7 Trillion Race </w:t>
      </w:r>
      <w:r w:rsidRPr="002D0B64">
        <w:rPr>
          <w:sz w:val="28"/>
          <w:szCs w:val="28"/>
        </w:rPr>
        <w:t xml:space="preserve">to </w:t>
      </w:r>
      <w:r w:rsidRPr="002D0B64">
        <w:rPr>
          <w:i/>
          <w:iCs/>
          <w:sz w:val="28"/>
          <w:szCs w:val="28"/>
        </w:rPr>
        <w:t xml:space="preserve">Scale Data Centers </w:t>
      </w:r>
      <w:r w:rsidRPr="002D0B64">
        <w:rPr>
          <w:sz w:val="28"/>
          <w:szCs w:val="28"/>
        </w:rPr>
        <w:t>(April</w:t>
      </w:r>
      <w:r>
        <w:rPr>
          <w:sz w:val="28"/>
          <w:szCs w:val="28"/>
        </w:rPr>
        <w:t xml:space="preserve"> </w:t>
      </w:r>
      <w:r w:rsidRPr="002D0B64">
        <w:rPr>
          <w:sz w:val="28"/>
          <w:szCs w:val="28"/>
        </w:rPr>
        <w:t>2025).</w:t>
      </w:r>
    </w:p>
    <w:p w14:paraId="370F59D2" w14:textId="77777777" w:rsidR="002D0B64" w:rsidRDefault="002D0B64" w:rsidP="002D0B64">
      <w:pPr>
        <w:pStyle w:val="Compact"/>
        <w:rPr>
          <w:sz w:val="28"/>
          <w:szCs w:val="28"/>
        </w:rPr>
      </w:pPr>
    </w:p>
    <w:p w14:paraId="069768DE" w14:textId="066EA86E" w:rsidR="002D0B64" w:rsidRPr="002D0B64" w:rsidRDefault="002D0B64" w:rsidP="002D0B64">
      <w:pPr>
        <w:pStyle w:val="Compact"/>
        <w:rPr>
          <w:i/>
          <w:iCs/>
          <w:sz w:val="28"/>
          <w:szCs w:val="28"/>
        </w:rPr>
      </w:pPr>
      <w:r w:rsidRPr="002D0B64">
        <w:rPr>
          <w:sz w:val="28"/>
          <w:szCs w:val="28"/>
        </w:rPr>
        <w:t xml:space="preserve">McKinsey &amp; Company. </w:t>
      </w:r>
      <w:r w:rsidRPr="002D0B64">
        <w:rPr>
          <w:i/>
          <w:iCs/>
          <w:sz w:val="28"/>
          <w:szCs w:val="28"/>
        </w:rPr>
        <w:t xml:space="preserve">The Next Big Shifts in AI Workloads and </w:t>
      </w:r>
      <w:proofErr w:type="spellStart"/>
      <w:r w:rsidRPr="002D0B64">
        <w:rPr>
          <w:i/>
          <w:iCs/>
          <w:sz w:val="28"/>
          <w:szCs w:val="28"/>
        </w:rPr>
        <w:t>Hyperscaler</w:t>
      </w:r>
      <w:proofErr w:type="spellEnd"/>
      <w:r w:rsidRPr="002D0B64">
        <w:rPr>
          <w:i/>
          <w:iCs/>
          <w:sz w:val="28"/>
          <w:szCs w:val="28"/>
        </w:rPr>
        <w:t xml:space="preserve"> Strategies</w:t>
      </w:r>
      <w:r>
        <w:rPr>
          <w:i/>
          <w:iCs/>
          <w:sz w:val="28"/>
          <w:szCs w:val="28"/>
        </w:rPr>
        <w:t xml:space="preserve"> </w:t>
      </w:r>
      <w:r w:rsidRPr="002D0B64">
        <w:rPr>
          <w:sz w:val="28"/>
          <w:szCs w:val="28"/>
        </w:rPr>
        <w:t>(December 2025).</w:t>
      </w:r>
    </w:p>
    <w:p w14:paraId="5E3A30C6" w14:textId="77777777" w:rsidR="002D0B64" w:rsidRDefault="002D0B64" w:rsidP="002D0B64">
      <w:pPr>
        <w:pStyle w:val="Compact"/>
        <w:rPr>
          <w:sz w:val="28"/>
          <w:szCs w:val="28"/>
        </w:rPr>
      </w:pPr>
    </w:p>
    <w:p w14:paraId="5ABEB77A" w14:textId="70F61F86" w:rsidR="002D0B64" w:rsidRPr="002D0B64" w:rsidRDefault="002D0B64" w:rsidP="002D0B64">
      <w:pPr>
        <w:pStyle w:val="Compact"/>
        <w:rPr>
          <w:sz w:val="28"/>
          <w:szCs w:val="28"/>
        </w:rPr>
      </w:pPr>
      <w:r w:rsidRPr="002D0B64">
        <w:rPr>
          <w:sz w:val="28"/>
          <w:szCs w:val="28"/>
        </w:rPr>
        <w:t xml:space="preserve">Norris, T. H. The puzzle </w:t>
      </w:r>
      <w:proofErr w:type="spellStart"/>
      <w:r w:rsidRPr="002D0B64">
        <w:rPr>
          <w:sz w:val="28"/>
          <w:szCs w:val="28"/>
        </w:rPr>
        <w:t>oflow</w:t>
      </w:r>
      <w:proofErr w:type="spellEnd"/>
      <w:r w:rsidRPr="002D0B64">
        <w:rPr>
          <w:sz w:val="28"/>
          <w:szCs w:val="28"/>
        </w:rPr>
        <w:t xml:space="preserve"> data center utilization rates. </w:t>
      </w:r>
      <w:r w:rsidRPr="002D0B64">
        <w:rPr>
          <w:i/>
          <w:iCs/>
          <w:sz w:val="28"/>
          <w:szCs w:val="28"/>
        </w:rPr>
        <w:t xml:space="preserve">Power </w:t>
      </w:r>
      <w:r w:rsidRPr="002D0B64">
        <w:rPr>
          <w:sz w:val="28"/>
          <w:szCs w:val="28"/>
        </w:rPr>
        <w:t xml:space="preserve">&amp; </w:t>
      </w:r>
      <w:r w:rsidRPr="002D0B64">
        <w:rPr>
          <w:i/>
          <w:iCs/>
          <w:sz w:val="28"/>
          <w:szCs w:val="28"/>
        </w:rPr>
        <w:t xml:space="preserve">Policy Substack </w:t>
      </w:r>
      <w:r w:rsidRPr="002D0B64">
        <w:rPr>
          <w:sz w:val="28"/>
          <w:szCs w:val="28"/>
        </w:rPr>
        <w:t>(August 8,</w:t>
      </w:r>
      <w:r>
        <w:rPr>
          <w:sz w:val="28"/>
          <w:szCs w:val="28"/>
        </w:rPr>
        <w:t xml:space="preserve"> </w:t>
      </w:r>
      <w:r w:rsidRPr="002D0B64">
        <w:rPr>
          <w:sz w:val="28"/>
          <w:szCs w:val="28"/>
        </w:rPr>
        <w:t>2025).</w:t>
      </w:r>
    </w:p>
    <w:p w14:paraId="655515F8" w14:textId="77777777" w:rsidR="002D0B64" w:rsidRDefault="002D0B64" w:rsidP="002D0B64">
      <w:pPr>
        <w:pStyle w:val="Compact"/>
        <w:rPr>
          <w:sz w:val="28"/>
          <w:szCs w:val="28"/>
        </w:rPr>
      </w:pPr>
    </w:p>
    <w:p w14:paraId="76C84E51" w14:textId="08433FD5" w:rsidR="002D0B64" w:rsidRPr="002D0B64" w:rsidRDefault="002D0B64" w:rsidP="002D0B64">
      <w:pPr>
        <w:pStyle w:val="Compact"/>
        <w:rPr>
          <w:i/>
          <w:iCs/>
          <w:sz w:val="28"/>
          <w:szCs w:val="28"/>
        </w:rPr>
      </w:pPr>
      <w:r w:rsidRPr="002D0B64">
        <w:rPr>
          <w:sz w:val="28"/>
          <w:szCs w:val="28"/>
        </w:rPr>
        <w:t xml:space="preserve">Norris, T. H., Profeta, T., Patino-Echeverri, D., &amp; Cowie-Haskell, A. </w:t>
      </w:r>
      <w:r w:rsidRPr="002D0B64">
        <w:rPr>
          <w:i/>
          <w:iCs/>
          <w:sz w:val="28"/>
          <w:szCs w:val="28"/>
        </w:rPr>
        <w:t>Rethinking Load Growth:</w:t>
      </w:r>
      <w:r>
        <w:rPr>
          <w:i/>
          <w:iCs/>
          <w:sz w:val="28"/>
          <w:szCs w:val="28"/>
        </w:rPr>
        <w:t xml:space="preserve"> </w:t>
      </w:r>
      <w:r w:rsidRPr="002D0B64">
        <w:rPr>
          <w:i/>
          <w:iCs/>
          <w:sz w:val="28"/>
          <w:szCs w:val="28"/>
        </w:rPr>
        <w:t xml:space="preserve">Assessing the Potential for Integration </w:t>
      </w:r>
      <w:r w:rsidRPr="002D0B64">
        <w:rPr>
          <w:sz w:val="28"/>
          <w:szCs w:val="28"/>
        </w:rPr>
        <w:t xml:space="preserve">of </w:t>
      </w:r>
      <w:r w:rsidRPr="002D0B64">
        <w:rPr>
          <w:i/>
          <w:iCs/>
          <w:sz w:val="28"/>
          <w:szCs w:val="28"/>
        </w:rPr>
        <w:t xml:space="preserve">Large Flexible Loads in US Power </w:t>
      </w:r>
      <w:r w:rsidRPr="002D0B64">
        <w:rPr>
          <w:sz w:val="28"/>
          <w:szCs w:val="28"/>
        </w:rPr>
        <w:t xml:space="preserve">Systems. </w:t>
      </w:r>
      <w:r w:rsidRPr="002D0B64">
        <w:rPr>
          <w:b/>
          <w:bCs/>
          <w:sz w:val="28"/>
          <w:szCs w:val="28"/>
        </w:rPr>
        <w:t xml:space="preserve">NI R </w:t>
      </w:r>
      <w:r w:rsidRPr="002D0B64">
        <w:rPr>
          <w:sz w:val="28"/>
          <w:szCs w:val="28"/>
        </w:rPr>
        <w:t>25-01.</w:t>
      </w:r>
      <w:r>
        <w:rPr>
          <w:i/>
          <w:iCs/>
          <w:sz w:val="28"/>
          <w:szCs w:val="28"/>
        </w:rPr>
        <w:t xml:space="preserve"> </w:t>
      </w:r>
      <w:r w:rsidRPr="002D0B64">
        <w:rPr>
          <w:sz w:val="28"/>
          <w:szCs w:val="28"/>
        </w:rPr>
        <w:t>Nicholas Institute for Energy, Environment &amp; Sustainability, Duke University (March 2025).</w:t>
      </w:r>
    </w:p>
    <w:p w14:paraId="3FEC804A" w14:textId="77777777" w:rsidR="002D0B64" w:rsidRDefault="002D0B64" w:rsidP="002D0B64">
      <w:pPr>
        <w:pStyle w:val="Compact"/>
        <w:rPr>
          <w:sz w:val="28"/>
          <w:szCs w:val="28"/>
        </w:rPr>
      </w:pPr>
    </w:p>
    <w:p w14:paraId="7D71659E" w14:textId="48893EF6" w:rsidR="002D0B64" w:rsidRPr="002D0B64" w:rsidRDefault="002D0B64" w:rsidP="002D0B64">
      <w:pPr>
        <w:pStyle w:val="Compact"/>
        <w:rPr>
          <w:sz w:val="28"/>
          <w:szCs w:val="28"/>
        </w:rPr>
      </w:pPr>
      <w:r w:rsidRPr="002D0B64">
        <w:rPr>
          <w:sz w:val="28"/>
          <w:szCs w:val="28"/>
        </w:rPr>
        <w:t>NVIDIA. CUDA Compatibility Documentation.</w:t>
      </w:r>
      <w:r>
        <w:rPr>
          <w:sz w:val="28"/>
          <w:szCs w:val="28"/>
        </w:rPr>
        <w:t xml:space="preserve"> </w:t>
      </w:r>
      <w:r w:rsidRPr="002D0B64">
        <w:rPr>
          <w:sz w:val="28"/>
          <w:szCs w:val="28"/>
        </w:rPr>
        <w:t>https://docs.nvidia.com/deploy/cudacompatibility/</w:t>
      </w:r>
    </w:p>
    <w:p w14:paraId="659C6E83" w14:textId="77777777" w:rsidR="002D0B64" w:rsidRDefault="002D0B64" w:rsidP="002D0B64">
      <w:pPr>
        <w:pStyle w:val="Compact"/>
        <w:rPr>
          <w:sz w:val="28"/>
          <w:szCs w:val="28"/>
        </w:rPr>
      </w:pPr>
    </w:p>
    <w:p w14:paraId="7B67788C" w14:textId="2E89C4E3" w:rsidR="002D0B64" w:rsidRPr="002D0B64" w:rsidRDefault="002D0B64" w:rsidP="002D0B64">
      <w:pPr>
        <w:pStyle w:val="Compact"/>
        <w:rPr>
          <w:sz w:val="28"/>
          <w:szCs w:val="28"/>
        </w:rPr>
      </w:pPr>
      <w:r w:rsidRPr="002D0B64">
        <w:rPr>
          <w:sz w:val="28"/>
          <w:szCs w:val="28"/>
        </w:rPr>
        <w:t>NVIDIA. CUDA Forward Compatibility Documentation. https://docs.nvidia.com/deploy/cudacompatibility/forward-compatibility.html</w:t>
      </w:r>
    </w:p>
    <w:p w14:paraId="4B889D7B" w14:textId="77777777" w:rsidR="002D0B64" w:rsidRPr="002D0B64" w:rsidRDefault="002D0B64" w:rsidP="002D0B64">
      <w:pPr>
        <w:pStyle w:val="Compact"/>
        <w:rPr>
          <w:sz w:val="28"/>
          <w:szCs w:val="28"/>
        </w:rPr>
      </w:pPr>
      <w:r w:rsidRPr="002D0B64">
        <w:rPr>
          <w:sz w:val="28"/>
          <w:szCs w:val="28"/>
        </w:rPr>
        <w:t xml:space="preserve">NVIDIA. </w:t>
      </w:r>
      <w:proofErr w:type="spellStart"/>
      <w:r w:rsidRPr="002D0B64">
        <w:rPr>
          <w:sz w:val="28"/>
          <w:szCs w:val="28"/>
        </w:rPr>
        <w:t>Run:ai</w:t>
      </w:r>
      <w:proofErr w:type="spellEnd"/>
      <w:r w:rsidRPr="002D0B64">
        <w:rPr>
          <w:sz w:val="28"/>
          <w:szCs w:val="28"/>
        </w:rPr>
        <w:t xml:space="preserve"> Model Streamer: Reducing cold start latency for LLM inference (2025).</w:t>
      </w:r>
    </w:p>
    <w:p w14:paraId="28A8D9D7" w14:textId="77777777" w:rsidR="002D0B64" w:rsidRDefault="002D0B64" w:rsidP="002D0B64">
      <w:pPr>
        <w:pStyle w:val="Compact"/>
        <w:rPr>
          <w:sz w:val="28"/>
          <w:szCs w:val="28"/>
        </w:rPr>
      </w:pPr>
    </w:p>
    <w:p w14:paraId="6543AB67" w14:textId="7782DF29" w:rsidR="002D0B64" w:rsidRPr="002D0B64" w:rsidRDefault="002D0B64" w:rsidP="002D0B64">
      <w:pPr>
        <w:pStyle w:val="Compact"/>
        <w:rPr>
          <w:sz w:val="28"/>
          <w:szCs w:val="28"/>
        </w:rPr>
      </w:pPr>
      <w:r w:rsidRPr="002D0B64">
        <w:rPr>
          <w:sz w:val="28"/>
          <w:szCs w:val="28"/>
        </w:rPr>
        <w:t xml:space="preserve">NVIDIA. </w:t>
      </w:r>
      <w:proofErr w:type="spellStart"/>
      <w:r w:rsidRPr="002D0B64">
        <w:rPr>
          <w:sz w:val="28"/>
          <w:szCs w:val="28"/>
        </w:rPr>
        <w:t>TensorRT</w:t>
      </w:r>
      <w:proofErr w:type="spellEnd"/>
      <w:r w:rsidRPr="002D0B64">
        <w:rPr>
          <w:sz w:val="28"/>
          <w:szCs w:val="28"/>
        </w:rPr>
        <w:t>-LLM Support Matrix.</w:t>
      </w:r>
      <w:r>
        <w:rPr>
          <w:sz w:val="28"/>
          <w:szCs w:val="28"/>
        </w:rPr>
        <w:t xml:space="preserve"> </w:t>
      </w:r>
      <w:r w:rsidRPr="002D0B64">
        <w:rPr>
          <w:sz w:val="28"/>
          <w:szCs w:val="28"/>
        </w:rPr>
        <w:t>https://nvidia.github.io/TensorRTLLM/reference/support-matrix.html</w:t>
      </w:r>
    </w:p>
    <w:p w14:paraId="1E881197" w14:textId="77777777" w:rsidR="002D0B64" w:rsidRDefault="002D0B64" w:rsidP="002D0B64">
      <w:pPr>
        <w:pStyle w:val="Compact"/>
        <w:rPr>
          <w:sz w:val="28"/>
          <w:szCs w:val="28"/>
        </w:rPr>
      </w:pPr>
    </w:p>
    <w:p w14:paraId="39253D81" w14:textId="49953A7B" w:rsidR="002D0B64" w:rsidRPr="002D0B64" w:rsidRDefault="002D0B64" w:rsidP="002D0B64">
      <w:pPr>
        <w:pStyle w:val="Compact"/>
        <w:rPr>
          <w:sz w:val="28"/>
          <w:szCs w:val="28"/>
        </w:rPr>
      </w:pPr>
      <w:r w:rsidRPr="002D0B64">
        <w:rPr>
          <w:sz w:val="28"/>
          <w:szCs w:val="28"/>
        </w:rPr>
        <w:t xml:space="preserve">Patel, P., </w:t>
      </w:r>
      <w:proofErr w:type="spellStart"/>
      <w:r w:rsidRPr="002D0B64">
        <w:rPr>
          <w:sz w:val="28"/>
          <w:szCs w:val="28"/>
        </w:rPr>
        <w:t>Choukse</w:t>
      </w:r>
      <w:proofErr w:type="spellEnd"/>
      <w:r w:rsidRPr="002D0B64">
        <w:rPr>
          <w:sz w:val="28"/>
          <w:szCs w:val="28"/>
        </w:rPr>
        <w:t xml:space="preserve">, E., Zhang, C., </w:t>
      </w:r>
      <w:proofErr w:type="spellStart"/>
      <w:r w:rsidRPr="002D0B64">
        <w:rPr>
          <w:sz w:val="28"/>
          <w:szCs w:val="28"/>
        </w:rPr>
        <w:t>Goiri</w:t>
      </w:r>
      <w:proofErr w:type="spellEnd"/>
      <w:r w:rsidRPr="002D0B64">
        <w:rPr>
          <w:sz w:val="28"/>
          <w:szCs w:val="28"/>
        </w:rPr>
        <w:t xml:space="preserve">, f., Warrier, S., Mahalingam, N., &amp; Bianchini, R. </w:t>
      </w:r>
      <w:proofErr w:type="spellStart"/>
      <w:r w:rsidRPr="002D0B64">
        <w:rPr>
          <w:sz w:val="28"/>
          <w:szCs w:val="28"/>
        </w:rPr>
        <w:t>Splitwise</w:t>
      </w:r>
      <w:proofErr w:type="spellEnd"/>
      <w:r w:rsidRPr="002D0B64">
        <w:rPr>
          <w:sz w:val="28"/>
          <w:szCs w:val="28"/>
        </w:rPr>
        <w:t>:</w:t>
      </w:r>
      <w:r>
        <w:rPr>
          <w:sz w:val="28"/>
          <w:szCs w:val="28"/>
        </w:rPr>
        <w:t xml:space="preserve"> </w:t>
      </w:r>
      <w:r w:rsidRPr="002D0B64">
        <w:rPr>
          <w:sz w:val="28"/>
          <w:szCs w:val="28"/>
        </w:rPr>
        <w:t xml:space="preserve">Efficient generative LLM inference using phase splitting. </w:t>
      </w:r>
      <w:r w:rsidRPr="002D0B64">
        <w:rPr>
          <w:i/>
          <w:iCs/>
          <w:sz w:val="28"/>
          <w:szCs w:val="28"/>
        </w:rPr>
        <w:t xml:space="preserve">ISCA </w:t>
      </w:r>
      <w:r w:rsidRPr="002D0B64">
        <w:rPr>
          <w:sz w:val="28"/>
          <w:szCs w:val="28"/>
        </w:rPr>
        <w:t>(2024).</w:t>
      </w:r>
    </w:p>
    <w:p w14:paraId="53D40536" w14:textId="77777777" w:rsidR="002D0B64" w:rsidRDefault="002D0B64" w:rsidP="002D0B64">
      <w:pPr>
        <w:pStyle w:val="Compact"/>
        <w:rPr>
          <w:sz w:val="28"/>
          <w:szCs w:val="28"/>
        </w:rPr>
      </w:pPr>
    </w:p>
    <w:p w14:paraId="1A48F935" w14:textId="3612799E" w:rsidR="002D0B64" w:rsidRPr="002D0B64" w:rsidRDefault="002D0B64" w:rsidP="002D0B64">
      <w:pPr>
        <w:pStyle w:val="Compact"/>
        <w:rPr>
          <w:i/>
          <w:iCs/>
          <w:sz w:val="28"/>
          <w:szCs w:val="28"/>
        </w:rPr>
      </w:pPr>
      <w:r w:rsidRPr="002D0B64">
        <w:rPr>
          <w:sz w:val="28"/>
          <w:szCs w:val="28"/>
        </w:rPr>
        <w:t xml:space="preserve">Patel, P., et al. Characterizing power management opportunities for LLMs in the cloud. </w:t>
      </w:r>
      <w:r w:rsidRPr="002D0B64">
        <w:rPr>
          <w:i/>
          <w:iCs/>
          <w:sz w:val="28"/>
          <w:szCs w:val="28"/>
        </w:rPr>
        <w:t>ASPLOS</w:t>
      </w:r>
      <w:r>
        <w:rPr>
          <w:i/>
          <w:iCs/>
          <w:sz w:val="28"/>
          <w:szCs w:val="28"/>
        </w:rPr>
        <w:t xml:space="preserve"> </w:t>
      </w:r>
      <w:r w:rsidRPr="002D0B64">
        <w:rPr>
          <w:sz w:val="28"/>
          <w:szCs w:val="28"/>
        </w:rPr>
        <w:t>(2024).</w:t>
      </w:r>
    </w:p>
    <w:p w14:paraId="438872D5" w14:textId="77777777" w:rsidR="002D0B64" w:rsidRDefault="002D0B64" w:rsidP="002D0B64">
      <w:pPr>
        <w:pStyle w:val="Compact"/>
        <w:rPr>
          <w:sz w:val="28"/>
          <w:szCs w:val="28"/>
        </w:rPr>
      </w:pPr>
    </w:p>
    <w:p w14:paraId="4B7A341B" w14:textId="3600B71B" w:rsidR="002D0B64" w:rsidRPr="002D0B64" w:rsidRDefault="002D0B64" w:rsidP="002D0B64">
      <w:pPr>
        <w:pStyle w:val="Compact"/>
        <w:rPr>
          <w:sz w:val="28"/>
          <w:szCs w:val="28"/>
        </w:rPr>
      </w:pPr>
      <w:r w:rsidRPr="002D0B64">
        <w:rPr>
          <w:sz w:val="28"/>
          <w:szCs w:val="28"/>
        </w:rPr>
        <w:t>Patterson, D., et al. The carbon footprint of machine learning training will plateau, then shrink.</w:t>
      </w:r>
      <w:r>
        <w:rPr>
          <w:sz w:val="28"/>
          <w:szCs w:val="28"/>
        </w:rPr>
        <w:t xml:space="preserve"> </w:t>
      </w:r>
      <w:r w:rsidRPr="002D0B64">
        <w:rPr>
          <w:i/>
          <w:iCs/>
          <w:sz w:val="28"/>
          <w:szCs w:val="28"/>
        </w:rPr>
        <w:t xml:space="preserve">IEEE Computer </w:t>
      </w:r>
      <w:r w:rsidRPr="002D0B64">
        <w:rPr>
          <w:sz w:val="28"/>
          <w:szCs w:val="28"/>
        </w:rPr>
        <w:t>(2022).</w:t>
      </w:r>
    </w:p>
    <w:p w14:paraId="68115C10" w14:textId="77777777" w:rsidR="002D0B64" w:rsidRDefault="002D0B64" w:rsidP="002D0B64">
      <w:pPr>
        <w:pStyle w:val="Compact"/>
        <w:rPr>
          <w:sz w:val="28"/>
          <w:szCs w:val="28"/>
        </w:rPr>
      </w:pPr>
    </w:p>
    <w:p w14:paraId="2A2DD20B" w14:textId="547D5ACD" w:rsidR="002D0B64" w:rsidRPr="002D0B64" w:rsidRDefault="002D0B64" w:rsidP="002D0B64">
      <w:pPr>
        <w:pStyle w:val="Compact"/>
        <w:rPr>
          <w:sz w:val="28"/>
          <w:szCs w:val="28"/>
        </w:rPr>
      </w:pPr>
      <w:r w:rsidRPr="002D0B64">
        <w:rPr>
          <w:sz w:val="28"/>
          <w:szCs w:val="28"/>
        </w:rPr>
        <w:t xml:space="preserve">PJM Interconnection. </w:t>
      </w:r>
      <w:r w:rsidRPr="002D0B64">
        <w:rPr>
          <w:i/>
          <w:iCs/>
          <w:sz w:val="28"/>
          <w:szCs w:val="28"/>
        </w:rPr>
        <w:t xml:space="preserve">Manual 13: Emergency Operations. </w:t>
      </w:r>
      <w:r w:rsidRPr="002D0B64">
        <w:rPr>
          <w:sz w:val="28"/>
          <w:szCs w:val="28"/>
        </w:rPr>
        <w:t>Rev. 97, effective November 20, 2025.</w:t>
      </w:r>
    </w:p>
    <w:p w14:paraId="5FB35F06" w14:textId="77777777" w:rsidR="002D0B64" w:rsidRDefault="002D0B64" w:rsidP="002D0B64">
      <w:pPr>
        <w:pStyle w:val="Compact"/>
        <w:rPr>
          <w:sz w:val="28"/>
          <w:szCs w:val="28"/>
        </w:rPr>
      </w:pPr>
    </w:p>
    <w:p w14:paraId="314FC1F7" w14:textId="09E4053F" w:rsidR="002D0B64" w:rsidRPr="002D0B64" w:rsidRDefault="002D0B64" w:rsidP="002D0B64">
      <w:pPr>
        <w:pStyle w:val="Compact"/>
        <w:rPr>
          <w:sz w:val="28"/>
          <w:szCs w:val="28"/>
        </w:rPr>
      </w:pPr>
      <w:r w:rsidRPr="002D0B64">
        <w:rPr>
          <w:sz w:val="28"/>
          <w:szCs w:val="28"/>
        </w:rPr>
        <w:t xml:space="preserve">Qin, L., et al. Mooncake: Trading more storage for less computation - a </w:t>
      </w:r>
      <w:proofErr w:type="spellStart"/>
      <w:r w:rsidRPr="002D0B64">
        <w:rPr>
          <w:sz w:val="28"/>
          <w:szCs w:val="28"/>
        </w:rPr>
        <w:t>KVCache</w:t>
      </w:r>
      <w:proofErr w:type="spellEnd"/>
      <w:r w:rsidRPr="002D0B64">
        <w:rPr>
          <w:sz w:val="28"/>
          <w:szCs w:val="28"/>
        </w:rPr>
        <w:t>-centric</w:t>
      </w:r>
      <w:r>
        <w:rPr>
          <w:sz w:val="28"/>
          <w:szCs w:val="28"/>
        </w:rPr>
        <w:t xml:space="preserve"> </w:t>
      </w:r>
      <w:r w:rsidRPr="002D0B64">
        <w:rPr>
          <w:sz w:val="28"/>
          <w:szCs w:val="28"/>
        </w:rPr>
        <w:t>architecture for serving LLM chatbot. (Moonshot AI, 2024).</w:t>
      </w:r>
    </w:p>
    <w:p w14:paraId="130E58C3" w14:textId="77777777" w:rsidR="002D0B64" w:rsidRDefault="002D0B64" w:rsidP="002D0B64">
      <w:pPr>
        <w:pStyle w:val="Compact"/>
        <w:rPr>
          <w:sz w:val="28"/>
          <w:szCs w:val="28"/>
        </w:rPr>
      </w:pPr>
    </w:p>
    <w:p w14:paraId="6B66D134" w14:textId="10EE42BF" w:rsidR="002D0B64" w:rsidRPr="002D0B64" w:rsidRDefault="002D0B64" w:rsidP="002D0B64">
      <w:pPr>
        <w:pStyle w:val="Compact"/>
        <w:rPr>
          <w:sz w:val="28"/>
          <w:szCs w:val="28"/>
        </w:rPr>
      </w:pPr>
      <w:r w:rsidRPr="002D0B64">
        <w:rPr>
          <w:sz w:val="28"/>
          <w:szCs w:val="28"/>
        </w:rPr>
        <w:t xml:space="preserve">Radovanovic, A., </w:t>
      </w:r>
      <w:proofErr w:type="spellStart"/>
      <w:r w:rsidRPr="002D0B64">
        <w:rPr>
          <w:sz w:val="28"/>
          <w:szCs w:val="28"/>
        </w:rPr>
        <w:t>Koningstein</w:t>
      </w:r>
      <w:proofErr w:type="spellEnd"/>
      <w:r w:rsidRPr="002D0B64">
        <w:rPr>
          <w:sz w:val="28"/>
          <w:szCs w:val="28"/>
        </w:rPr>
        <w:t xml:space="preserve">, R., Schneider, I., Chen, B., Duarte, A., Roy, B., Xiao, D., </w:t>
      </w:r>
      <w:proofErr w:type="spellStart"/>
      <w:r w:rsidRPr="002D0B64">
        <w:rPr>
          <w:sz w:val="28"/>
          <w:szCs w:val="28"/>
        </w:rPr>
        <w:t>Haridasan</w:t>
      </w:r>
      <w:proofErr w:type="spellEnd"/>
      <w:r w:rsidRPr="002D0B64">
        <w:rPr>
          <w:sz w:val="28"/>
          <w:szCs w:val="28"/>
        </w:rPr>
        <w:t>,</w:t>
      </w:r>
      <w:r>
        <w:rPr>
          <w:sz w:val="28"/>
          <w:szCs w:val="28"/>
        </w:rPr>
        <w:t xml:space="preserve"> </w:t>
      </w:r>
      <w:r w:rsidRPr="002D0B64">
        <w:rPr>
          <w:sz w:val="28"/>
          <w:szCs w:val="28"/>
        </w:rPr>
        <w:t>M., Hung, P., Care, N., Talukdar, S., Mullen, E., Smith, K., Cottman, M., &amp; Cirne, W. Carbon-aware</w:t>
      </w:r>
      <w:r>
        <w:rPr>
          <w:sz w:val="28"/>
          <w:szCs w:val="28"/>
        </w:rPr>
        <w:t xml:space="preserve"> </w:t>
      </w:r>
      <w:r w:rsidRPr="002D0B64">
        <w:rPr>
          <w:sz w:val="28"/>
          <w:szCs w:val="28"/>
        </w:rPr>
        <w:t xml:space="preserve">computing for datacenters. </w:t>
      </w:r>
      <w:r w:rsidRPr="002D0B64">
        <w:rPr>
          <w:i/>
          <w:iCs/>
          <w:sz w:val="28"/>
          <w:szCs w:val="28"/>
        </w:rPr>
        <w:t xml:space="preserve">IEEE Transactions on Power </w:t>
      </w:r>
      <w:r w:rsidRPr="002D0B64">
        <w:rPr>
          <w:sz w:val="28"/>
          <w:szCs w:val="28"/>
        </w:rPr>
        <w:t>Systems 38(2), 1270-1280 (2023).</w:t>
      </w:r>
    </w:p>
    <w:p w14:paraId="0A7EF397" w14:textId="77777777" w:rsidR="002D0B64" w:rsidRDefault="002D0B64" w:rsidP="002D0B64">
      <w:pPr>
        <w:pStyle w:val="Compact"/>
        <w:rPr>
          <w:sz w:val="28"/>
          <w:szCs w:val="28"/>
        </w:rPr>
      </w:pPr>
    </w:p>
    <w:p w14:paraId="50E4E2D5" w14:textId="0592F0E8" w:rsidR="002D0B64" w:rsidRPr="002D0B64" w:rsidRDefault="002D0B64" w:rsidP="002D0B64">
      <w:pPr>
        <w:pStyle w:val="Compact"/>
        <w:rPr>
          <w:sz w:val="28"/>
          <w:szCs w:val="28"/>
        </w:rPr>
      </w:pPr>
      <w:r w:rsidRPr="002D0B64">
        <w:rPr>
          <w:sz w:val="28"/>
          <w:szCs w:val="28"/>
        </w:rPr>
        <w:t xml:space="preserve">Shehabi, A., Smith, S. J., Hubbard, A., Newkirk, A., Lei, N., </w:t>
      </w:r>
      <w:proofErr w:type="spellStart"/>
      <w:r w:rsidRPr="002D0B64">
        <w:rPr>
          <w:sz w:val="28"/>
          <w:szCs w:val="28"/>
        </w:rPr>
        <w:t>Siddik</w:t>
      </w:r>
      <w:proofErr w:type="spellEnd"/>
      <w:r w:rsidRPr="002D0B64">
        <w:rPr>
          <w:sz w:val="28"/>
          <w:szCs w:val="28"/>
        </w:rPr>
        <w:t xml:space="preserve">, M.A. B., Holecek, B., </w:t>
      </w:r>
      <w:proofErr w:type="spellStart"/>
      <w:r w:rsidRPr="002D0B64">
        <w:rPr>
          <w:sz w:val="28"/>
          <w:szCs w:val="28"/>
        </w:rPr>
        <w:t>Koomey</w:t>
      </w:r>
      <w:proofErr w:type="spellEnd"/>
      <w:r w:rsidRPr="002D0B64">
        <w:rPr>
          <w:sz w:val="28"/>
          <w:szCs w:val="28"/>
        </w:rPr>
        <w:t>,</w:t>
      </w:r>
      <w:r>
        <w:rPr>
          <w:sz w:val="28"/>
          <w:szCs w:val="28"/>
        </w:rPr>
        <w:t xml:space="preserve"> </w:t>
      </w:r>
      <w:r w:rsidRPr="002D0B64">
        <w:rPr>
          <w:sz w:val="28"/>
          <w:szCs w:val="28"/>
        </w:rPr>
        <w:t xml:space="preserve">J., </w:t>
      </w:r>
      <w:proofErr w:type="spellStart"/>
      <w:r w:rsidRPr="002D0B64">
        <w:rPr>
          <w:sz w:val="28"/>
          <w:szCs w:val="28"/>
        </w:rPr>
        <w:t>Masanet</w:t>
      </w:r>
      <w:proofErr w:type="spellEnd"/>
      <w:r w:rsidRPr="002D0B64">
        <w:rPr>
          <w:sz w:val="28"/>
          <w:szCs w:val="28"/>
        </w:rPr>
        <w:t xml:space="preserve">, E., &amp; Sartor, D. </w:t>
      </w:r>
      <w:r w:rsidRPr="002D0B64">
        <w:rPr>
          <w:i/>
          <w:iCs/>
          <w:sz w:val="28"/>
          <w:szCs w:val="28"/>
        </w:rPr>
        <w:t xml:space="preserve">2024 United States Data Center Energy Usage Report. </w:t>
      </w:r>
      <w:r w:rsidRPr="002D0B64">
        <w:rPr>
          <w:sz w:val="28"/>
          <w:szCs w:val="28"/>
        </w:rPr>
        <w:t>Lawrence</w:t>
      </w:r>
      <w:r>
        <w:rPr>
          <w:sz w:val="28"/>
          <w:szCs w:val="28"/>
        </w:rPr>
        <w:t xml:space="preserve"> </w:t>
      </w:r>
      <w:r w:rsidRPr="002D0B64">
        <w:rPr>
          <w:sz w:val="28"/>
          <w:szCs w:val="28"/>
        </w:rPr>
        <w:t>Berkeley National Laboratory, LBNL-2001637 (December 2024).</w:t>
      </w:r>
    </w:p>
    <w:p w14:paraId="72D16CF2" w14:textId="77777777" w:rsidR="002D0B64" w:rsidRDefault="002D0B64" w:rsidP="002D0B64">
      <w:pPr>
        <w:pStyle w:val="Compact"/>
        <w:rPr>
          <w:sz w:val="28"/>
          <w:szCs w:val="28"/>
        </w:rPr>
      </w:pPr>
    </w:p>
    <w:p w14:paraId="77DEDA45" w14:textId="7130A907" w:rsidR="002D0B64" w:rsidRPr="002D0B64" w:rsidRDefault="002D0B64" w:rsidP="002D0B64">
      <w:pPr>
        <w:pStyle w:val="Compact"/>
        <w:rPr>
          <w:sz w:val="28"/>
          <w:szCs w:val="28"/>
        </w:rPr>
      </w:pPr>
      <w:proofErr w:type="spellStart"/>
      <w:r w:rsidRPr="002D0B64">
        <w:rPr>
          <w:sz w:val="28"/>
          <w:szCs w:val="28"/>
        </w:rPr>
        <w:t>SkyLB</w:t>
      </w:r>
      <w:proofErr w:type="spellEnd"/>
      <w:r w:rsidRPr="002D0B64">
        <w:rPr>
          <w:sz w:val="28"/>
          <w:szCs w:val="28"/>
        </w:rPr>
        <w:t>. Locality-aware cross-region load balancer for LLM inference. arXiv:2505.24095 (2025).</w:t>
      </w:r>
    </w:p>
    <w:p w14:paraId="242A45C9" w14:textId="77777777" w:rsidR="002D0B64" w:rsidRDefault="002D0B64" w:rsidP="002D0B64">
      <w:pPr>
        <w:pStyle w:val="Compact"/>
        <w:rPr>
          <w:sz w:val="28"/>
          <w:szCs w:val="28"/>
        </w:rPr>
      </w:pPr>
    </w:p>
    <w:p w14:paraId="333EDB0F" w14:textId="64C46449" w:rsidR="002D0B64" w:rsidRPr="002D0B64" w:rsidRDefault="002D0B64" w:rsidP="002D0B64">
      <w:pPr>
        <w:pStyle w:val="Compact"/>
        <w:rPr>
          <w:sz w:val="28"/>
          <w:szCs w:val="28"/>
        </w:rPr>
      </w:pPr>
      <w:r w:rsidRPr="002D0B64">
        <w:rPr>
          <w:sz w:val="28"/>
          <w:szCs w:val="28"/>
        </w:rPr>
        <w:t xml:space="preserve">Stojkovic, J., et al. </w:t>
      </w:r>
      <w:proofErr w:type="spellStart"/>
      <w:r w:rsidRPr="002D0B64">
        <w:rPr>
          <w:sz w:val="28"/>
          <w:szCs w:val="28"/>
        </w:rPr>
        <w:t>DynamoLLM</w:t>
      </w:r>
      <w:proofErr w:type="spellEnd"/>
      <w:r w:rsidRPr="002D0B64">
        <w:rPr>
          <w:sz w:val="28"/>
          <w:szCs w:val="28"/>
        </w:rPr>
        <w:t>: Designing LLM inference clusters for performance and energy</w:t>
      </w:r>
      <w:r>
        <w:rPr>
          <w:sz w:val="28"/>
          <w:szCs w:val="28"/>
        </w:rPr>
        <w:t xml:space="preserve"> </w:t>
      </w:r>
      <w:r w:rsidRPr="002D0B64">
        <w:rPr>
          <w:sz w:val="28"/>
          <w:szCs w:val="28"/>
        </w:rPr>
        <w:t xml:space="preserve">efficiency. </w:t>
      </w:r>
      <w:r w:rsidRPr="002D0B64">
        <w:rPr>
          <w:i/>
          <w:iCs/>
          <w:sz w:val="28"/>
          <w:szCs w:val="28"/>
        </w:rPr>
        <w:t xml:space="preserve">HPCA </w:t>
      </w:r>
      <w:r w:rsidRPr="002D0B64">
        <w:rPr>
          <w:sz w:val="28"/>
          <w:szCs w:val="28"/>
        </w:rPr>
        <w:t>(2025).</w:t>
      </w:r>
    </w:p>
    <w:p w14:paraId="36A08D10" w14:textId="454DB10E" w:rsidR="002D0B64" w:rsidRPr="002D0B64" w:rsidRDefault="002D0B64" w:rsidP="002D0B64">
      <w:pPr>
        <w:pStyle w:val="Compact"/>
        <w:rPr>
          <w:sz w:val="28"/>
          <w:szCs w:val="28"/>
        </w:rPr>
      </w:pPr>
      <w:r w:rsidRPr="002D0B64">
        <w:rPr>
          <w:sz w:val="28"/>
          <w:szCs w:val="28"/>
        </w:rPr>
        <w:t xml:space="preserve">Stojkovic, J., et al. </w:t>
      </w:r>
      <w:proofErr w:type="spellStart"/>
      <w:r w:rsidRPr="002D0B64">
        <w:rPr>
          <w:sz w:val="28"/>
          <w:szCs w:val="28"/>
        </w:rPr>
        <w:t>SmartOClock</w:t>
      </w:r>
      <w:proofErr w:type="spellEnd"/>
      <w:r w:rsidRPr="002D0B64">
        <w:rPr>
          <w:sz w:val="28"/>
          <w:szCs w:val="28"/>
        </w:rPr>
        <w:t xml:space="preserve">: Workload- and risk-aware overclocking in the cloud. </w:t>
      </w:r>
      <w:r w:rsidRPr="002D0B64">
        <w:rPr>
          <w:i/>
          <w:iCs/>
          <w:sz w:val="28"/>
          <w:szCs w:val="28"/>
        </w:rPr>
        <w:t>ISCA</w:t>
      </w:r>
      <w:r>
        <w:rPr>
          <w:i/>
          <w:iCs/>
          <w:sz w:val="28"/>
          <w:szCs w:val="28"/>
        </w:rPr>
        <w:t xml:space="preserve"> </w:t>
      </w:r>
      <w:r w:rsidRPr="002D0B64">
        <w:rPr>
          <w:sz w:val="28"/>
          <w:szCs w:val="28"/>
        </w:rPr>
        <w:t>(2024).</w:t>
      </w:r>
    </w:p>
    <w:p w14:paraId="7EF1B957" w14:textId="77777777" w:rsidR="002D0B64" w:rsidRDefault="002D0B64" w:rsidP="002D0B64">
      <w:pPr>
        <w:pStyle w:val="Compact"/>
        <w:rPr>
          <w:sz w:val="28"/>
          <w:szCs w:val="28"/>
        </w:rPr>
      </w:pPr>
    </w:p>
    <w:p w14:paraId="48507C06" w14:textId="508E5222" w:rsidR="002D0B64" w:rsidRPr="002D0B64" w:rsidRDefault="002D0B64" w:rsidP="002D0B64">
      <w:pPr>
        <w:pStyle w:val="Compact"/>
        <w:rPr>
          <w:sz w:val="28"/>
          <w:szCs w:val="28"/>
        </w:rPr>
      </w:pPr>
      <w:proofErr w:type="spellStart"/>
      <w:r w:rsidRPr="002D0B64">
        <w:rPr>
          <w:sz w:val="28"/>
          <w:szCs w:val="28"/>
        </w:rPr>
        <w:t>Tirmazi</w:t>
      </w:r>
      <w:proofErr w:type="spellEnd"/>
      <w:r w:rsidRPr="002D0B64">
        <w:rPr>
          <w:sz w:val="28"/>
          <w:szCs w:val="28"/>
        </w:rPr>
        <w:t xml:space="preserve">, M., et al. Borg: The next generation. </w:t>
      </w:r>
      <w:proofErr w:type="spellStart"/>
      <w:r w:rsidRPr="002D0B64">
        <w:rPr>
          <w:i/>
          <w:iCs/>
          <w:sz w:val="28"/>
          <w:szCs w:val="28"/>
        </w:rPr>
        <w:t>EuroSys</w:t>
      </w:r>
      <w:proofErr w:type="spellEnd"/>
      <w:r w:rsidRPr="002D0B64">
        <w:rPr>
          <w:i/>
          <w:iCs/>
          <w:sz w:val="28"/>
          <w:szCs w:val="28"/>
        </w:rPr>
        <w:t xml:space="preserve"> </w:t>
      </w:r>
      <w:r w:rsidRPr="002D0B64">
        <w:rPr>
          <w:sz w:val="28"/>
          <w:szCs w:val="28"/>
        </w:rPr>
        <w:t>(2020).</w:t>
      </w:r>
    </w:p>
    <w:p w14:paraId="78ACC480" w14:textId="77777777" w:rsidR="002D0B64" w:rsidRDefault="002D0B64" w:rsidP="002D0B64">
      <w:pPr>
        <w:pStyle w:val="Compact"/>
        <w:rPr>
          <w:sz w:val="28"/>
          <w:szCs w:val="28"/>
        </w:rPr>
      </w:pPr>
    </w:p>
    <w:p w14:paraId="52B2CA85" w14:textId="1A603A64" w:rsidR="002D0B64" w:rsidRPr="002D0B64" w:rsidRDefault="002D0B64" w:rsidP="002D0B64">
      <w:pPr>
        <w:pStyle w:val="Compact"/>
        <w:rPr>
          <w:i/>
          <w:iCs/>
          <w:sz w:val="28"/>
          <w:szCs w:val="28"/>
        </w:rPr>
      </w:pPr>
      <w:r w:rsidRPr="002D0B64">
        <w:rPr>
          <w:sz w:val="28"/>
          <w:szCs w:val="28"/>
        </w:rPr>
        <w:t xml:space="preserve">Uptime Institute. </w:t>
      </w:r>
      <w:r w:rsidRPr="002D0B64">
        <w:rPr>
          <w:i/>
          <w:iCs/>
          <w:sz w:val="28"/>
          <w:szCs w:val="28"/>
        </w:rPr>
        <w:t>Global Data Center Survey 2024.</w:t>
      </w:r>
    </w:p>
    <w:p w14:paraId="4126B1D4" w14:textId="77777777" w:rsidR="002D0B64" w:rsidRDefault="002D0B64" w:rsidP="002D0B64">
      <w:pPr>
        <w:pStyle w:val="Compact"/>
        <w:rPr>
          <w:sz w:val="28"/>
          <w:szCs w:val="28"/>
        </w:rPr>
      </w:pPr>
    </w:p>
    <w:p w14:paraId="30103013" w14:textId="16FB48DB" w:rsidR="002D0B64" w:rsidRPr="002D0B64" w:rsidRDefault="002D0B64" w:rsidP="002D0B64">
      <w:pPr>
        <w:pStyle w:val="Compact"/>
        <w:rPr>
          <w:sz w:val="28"/>
          <w:szCs w:val="28"/>
        </w:rPr>
      </w:pPr>
      <w:r w:rsidRPr="002D0B64">
        <w:rPr>
          <w:sz w:val="28"/>
          <w:szCs w:val="28"/>
        </w:rPr>
        <w:t xml:space="preserve">Verma, A., et al. Large-scale cluster management at Google with Borg. </w:t>
      </w:r>
      <w:proofErr w:type="spellStart"/>
      <w:r w:rsidRPr="002D0B64">
        <w:rPr>
          <w:i/>
          <w:iCs/>
          <w:sz w:val="28"/>
          <w:szCs w:val="28"/>
        </w:rPr>
        <w:t>EuroSys</w:t>
      </w:r>
      <w:proofErr w:type="spellEnd"/>
      <w:r w:rsidRPr="002D0B64">
        <w:rPr>
          <w:i/>
          <w:iCs/>
          <w:sz w:val="28"/>
          <w:szCs w:val="28"/>
        </w:rPr>
        <w:t xml:space="preserve"> </w:t>
      </w:r>
      <w:r w:rsidRPr="002D0B64">
        <w:rPr>
          <w:sz w:val="28"/>
          <w:szCs w:val="28"/>
        </w:rPr>
        <w:t>(2015).</w:t>
      </w:r>
    </w:p>
    <w:p w14:paraId="634386F1" w14:textId="77777777" w:rsidR="002D0B64" w:rsidRDefault="002D0B64" w:rsidP="002D0B64">
      <w:pPr>
        <w:pStyle w:val="Compact"/>
        <w:rPr>
          <w:sz w:val="28"/>
          <w:szCs w:val="28"/>
        </w:rPr>
      </w:pPr>
    </w:p>
    <w:p w14:paraId="0AF20E67" w14:textId="73C540F2" w:rsidR="002D0B64" w:rsidRPr="002D0B64" w:rsidRDefault="002D0B64" w:rsidP="002D0B64">
      <w:pPr>
        <w:pStyle w:val="Compact"/>
        <w:rPr>
          <w:sz w:val="28"/>
          <w:szCs w:val="28"/>
        </w:rPr>
      </w:pPr>
      <w:r w:rsidRPr="002D0B64">
        <w:rPr>
          <w:sz w:val="28"/>
          <w:szCs w:val="28"/>
        </w:rPr>
        <w:t>Wang, Y., Chen, Y., Li, Z., Kang, X., Zhao, Y., Ma, Z., Bao, H., Mei, X., Liu, Y., Chen, Y., Zhang, Q.,</w:t>
      </w:r>
      <w:r>
        <w:rPr>
          <w:sz w:val="28"/>
          <w:szCs w:val="28"/>
        </w:rPr>
        <w:t xml:space="preserve"> </w:t>
      </w:r>
      <w:r w:rsidRPr="002D0B64">
        <w:rPr>
          <w:sz w:val="28"/>
          <w:szCs w:val="28"/>
        </w:rPr>
        <w:t xml:space="preserve">Guo, M., Jin, W., Guo, M., &amp; Cui, H. </w:t>
      </w:r>
      <w:proofErr w:type="spellStart"/>
      <w:r w:rsidRPr="002D0B64">
        <w:rPr>
          <w:i/>
          <w:iCs/>
          <w:sz w:val="28"/>
          <w:szCs w:val="28"/>
        </w:rPr>
        <w:t>BurstGPT</w:t>
      </w:r>
      <w:proofErr w:type="spellEnd"/>
      <w:r w:rsidRPr="002D0B64">
        <w:rPr>
          <w:i/>
          <w:iCs/>
          <w:sz w:val="28"/>
          <w:szCs w:val="28"/>
        </w:rPr>
        <w:t>: A Real-World Workload Dataset to Optimize LLM</w:t>
      </w:r>
      <w:r>
        <w:rPr>
          <w:sz w:val="28"/>
          <w:szCs w:val="28"/>
        </w:rPr>
        <w:t xml:space="preserve"> </w:t>
      </w:r>
      <w:r w:rsidRPr="002D0B64">
        <w:rPr>
          <w:i/>
          <w:iCs/>
          <w:sz w:val="28"/>
          <w:szCs w:val="28"/>
        </w:rPr>
        <w:t xml:space="preserve">Serving </w:t>
      </w:r>
      <w:r w:rsidRPr="002D0B64">
        <w:rPr>
          <w:sz w:val="28"/>
          <w:szCs w:val="28"/>
        </w:rPr>
        <w:t>Systems. arXiv:2401.17644v3 (2024).</w:t>
      </w:r>
    </w:p>
    <w:p w14:paraId="0E68701A" w14:textId="77777777" w:rsidR="002D0B64" w:rsidRDefault="002D0B64" w:rsidP="002D0B64">
      <w:pPr>
        <w:pStyle w:val="Compact"/>
        <w:rPr>
          <w:sz w:val="28"/>
          <w:szCs w:val="28"/>
        </w:rPr>
      </w:pPr>
    </w:p>
    <w:p w14:paraId="031F4782" w14:textId="71596AF0" w:rsidR="002D0B64" w:rsidRPr="002D0B64" w:rsidRDefault="002D0B64" w:rsidP="002D0B64">
      <w:pPr>
        <w:pStyle w:val="Compact"/>
        <w:rPr>
          <w:sz w:val="28"/>
          <w:szCs w:val="28"/>
        </w:rPr>
      </w:pPr>
      <w:r w:rsidRPr="002D0B64">
        <w:rPr>
          <w:sz w:val="28"/>
          <w:szCs w:val="28"/>
        </w:rPr>
        <w:t xml:space="preserve">Wu, Q., et al. Dynamo: Face book's data center-wide power management system. </w:t>
      </w:r>
      <w:r w:rsidRPr="002D0B64">
        <w:rPr>
          <w:i/>
          <w:iCs/>
          <w:sz w:val="28"/>
          <w:szCs w:val="28"/>
        </w:rPr>
        <w:t xml:space="preserve">ISCA </w:t>
      </w:r>
      <w:r w:rsidRPr="002D0B64">
        <w:rPr>
          <w:sz w:val="28"/>
          <w:szCs w:val="28"/>
        </w:rPr>
        <w:t>(2016).</w:t>
      </w:r>
    </w:p>
    <w:p w14:paraId="62FE45D1" w14:textId="77777777" w:rsidR="002D0B64" w:rsidRDefault="002D0B64" w:rsidP="002D0B64">
      <w:pPr>
        <w:pStyle w:val="Compact"/>
        <w:rPr>
          <w:sz w:val="28"/>
          <w:szCs w:val="28"/>
        </w:rPr>
      </w:pPr>
    </w:p>
    <w:p w14:paraId="620701A5" w14:textId="57A1531C" w:rsidR="002D0B64" w:rsidRPr="002D0B64" w:rsidRDefault="002D0B64" w:rsidP="002D0B64">
      <w:pPr>
        <w:pStyle w:val="Compact"/>
        <w:rPr>
          <w:i/>
          <w:iCs/>
          <w:sz w:val="28"/>
          <w:szCs w:val="28"/>
        </w:rPr>
      </w:pPr>
      <w:r w:rsidRPr="002D0B64">
        <w:rPr>
          <w:sz w:val="28"/>
          <w:szCs w:val="28"/>
        </w:rPr>
        <w:t xml:space="preserve">Zayo. </w:t>
      </w:r>
      <w:r w:rsidRPr="002D0B64">
        <w:rPr>
          <w:i/>
          <w:iCs/>
          <w:sz w:val="28"/>
          <w:szCs w:val="28"/>
        </w:rPr>
        <w:t>Bandwidth Report 2025.</w:t>
      </w:r>
    </w:p>
    <w:p w14:paraId="785AA3C8" w14:textId="77777777" w:rsidR="002D0B64" w:rsidRDefault="002D0B64" w:rsidP="002D0B64">
      <w:pPr>
        <w:pStyle w:val="Compact"/>
        <w:rPr>
          <w:sz w:val="28"/>
          <w:szCs w:val="28"/>
        </w:rPr>
      </w:pPr>
    </w:p>
    <w:p w14:paraId="6E1C6E9D" w14:textId="60464432" w:rsidR="002D0B64" w:rsidRPr="002D0B64" w:rsidRDefault="002D0B64" w:rsidP="002D0B64">
      <w:pPr>
        <w:pStyle w:val="Compact"/>
        <w:rPr>
          <w:sz w:val="28"/>
          <w:szCs w:val="28"/>
        </w:rPr>
      </w:pPr>
      <w:r w:rsidRPr="002D0B64">
        <w:rPr>
          <w:sz w:val="28"/>
          <w:szCs w:val="28"/>
        </w:rPr>
        <w:t xml:space="preserve">Zhang, C. </w:t>
      </w:r>
      <w:r w:rsidRPr="002D0B64">
        <w:rPr>
          <w:i/>
          <w:iCs/>
          <w:sz w:val="28"/>
          <w:szCs w:val="28"/>
        </w:rPr>
        <w:t xml:space="preserve">Eliminating the Capacity Variation Penalty for Cloud Resource Management. </w:t>
      </w:r>
      <w:r w:rsidRPr="002D0B64">
        <w:rPr>
          <w:sz w:val="28"/>
          <w:szCs w:val="28"/>
        </w:rPr>
        <w:t>PhD</w:t>
      </w:r>
      <w:r>
        <w:rPr>
          <w:sz w:val="28"/>
          <w:szCs w:val="28"/>
        </w:rPr>
        <w:t xml:space="preserve"> </w:t>
      </w:r>
      <w:r w:rsidRPr="002D0B64">
        <w:rPr>
          <w:sz w:val="28"/>
          <w:szCs w:val="28"/>
        </w:rPr>
        <w:t>Dissertation, University of Chicago (March 2023).</w:t>
      </w:r>
    </w:p>
    <w:p w14:paraId="2DB487F0" w14:textId="77777777" w:rsidR="002D0B64" w:rsidRDefault="002D0B64" w:rsidP="002D0B64">
      <w:pPr>
        <w:pStyle w:val="Compact"/>
        <w:rPr>
          <w:sz w:val="28"/>
          <w:szCs w:val="28"/>
        </w:rPr>
      </w:pPr>
    </w:p>
    <w:p w14:paraId="6407C045" w14:textId="72450076" w:rsidR="002D0B64" w:rsidRPr="002D0B64" w:rsidRDefault="002D0B64" w:rsidP="002D0B64">
      <w:pPr>
        <w:pStyle w:val="Compact"/>
        <w:rPr>
          <w:i/>
          <w:iCs/>
          <w:sz w:val="28"/>
          <w:szCs w:val="28"/>
        </w:rPr>
      </w:pPr>
      <w:r w:rsidRPr="002D0B64">
        <w:rPr>
          <w:sz w:val="28"/>
          <w:szCs w:val="28"/>
        </w:rPr>
        <w:t xml:space="preserve">Zhang, C., &amp; Chien, A. A. Scheduling Challenges for Variable Capacity Resources. </w:t>
      </w:r>
      <w:r w:rsidRPr="002D0B64">
        <w:rPr>
          <w:i/>
          <w:iCs/>
          <w:sz w:val="28"/>
          <w:szCs w:val="28"/>
        </w:rPr>
        <w:t>Job</w:t>
      </w:r>
      <w:r>
        <w:rPr>
          <w:i/>
          <w:iCs/>
          <w:sz w:val="28"/>
          <w:szCs w:val="28"/>
        </w:rPr>
        <w:t xml:space="preserve"> </w:t>
      </w:r>
      <w:r w:rsidRPr="002D0B64">
        <w:rPr>
          <w:i/>
          <w:iCs/>
          <w:sz w:val="28"/>
          <w:szCs w:val="28"/>
        </w:rPr>
        <w:t xml:space="preserve">Scheduling Strategies for Parallel Processing </w:t>
      </w:r>
      <w:r w:rsidRPr="002D0B64">
        <w:rPr>
          <w:sz w:val="28"/>
          <w:szCs w:val="28"/>
        </w:rPr>
        <w:t>(JSSPP 2021).</w:t>
      </w:r>
    </w:p>
    <w:p w14:paraId="2A0911FC" w14:textId="77777777" w:rsidR="002D0B64" w:rsidRDefault="002D0B64" w:rsidP="002D0B64">
      <w:pPr>
        <w:pStyle w:val="Compact"/>
        <w:rPr>
          <w:sz w:val="28"/>
          <w:szCs w:val="28"/>
        </w:rPr>
      </w:pPr>
    </w:p>
    <w:p w14:paraId="186812DA" w14:textId="5C2F9F8F" w:rsidR="002D0B64" w:rsidRPr="002D0B64" w:rsidRDefault="002D0B64" w:rsidP="002D0B64">
      <w:pPr>
        <w:pStyle w:val="Compact"/>
        <w:rPr>
          <w:sz w:val="28"/>
          <w:szCs w:val="28"/>
        </w:rPr>
      </w:pPr>
      <w:r w:rsidRPr="002D0B64">
        <w:rPr>
          <w:sz w:val="28"/>
          <w:szCs w:val="28"/>
        </w:rPr>
        <w:t xml:space="preserve">Zhang, C., et al. Flex: High-availability datacenters with zero reserved power. </w:t>
      </w:r>
      <w:r w:rsidRPr="002D0B64">
        <w:rPr>
          <w:i/>
          <w:iCs/>
          <w:sz w:val="28"/>
          <w:szCs w:val="28"/>
        </w:rPr>
        <w:t xml:space="preserve">ISCA </w:t>
      </w:r>
      <w:r w:rsidRPr="002D0B64">
        <w:rPr>
          <w:sz w:val="28"/>
          <w:szCs w:val="28"/>
        </w:rPr>
        <w:t>(2021).</w:t>
      </w:r>
    </w:p>
    <w:p w14:paraId="5D02DCFA" w14:textId="77777777" w:rsidR="002D0B64" w:rsidRDefault="002D0B64" w:rsidP="002D0B64">
      <w:pPr>
        <w:pStyle w:val="Compact"/>
        <w:rPr>
          <w:sz w:val="28"/>
          <w:szCs w:val="28"/>
        </w:rPr>
      </w:pPr>
    </w:p>
    <w:p w14:paraId="23FD5B81" w14:textId="5A3344CC" w:rsidR="002D0B64" w:rsidRPr="002D0B64" w:rsidRDefault="002D0B64" w:rsidP="002D0B64">
      <w:pPr>
        <w:pStyle w:val="Compact"/>
        <w:rPr>
          <w:sz w:val="28"/>
          <w:szCs w:val="28"/>
        </w:rPr>
      </w:pPr>
      <w:r w:rsidRPr="002D0B64">
        <w:rPr>
          <w:sz w:val="28"/>
          <w:szCs w:val="28"/>
        </w:rPr>
        <w:t xml:space="preserve">Zhong, Y., Liu, S., Chen, J., Hu, J., Zhu, Y., Liu, X., Jin, X., &amp; Zhang, H. </w:t>
      </w:r>
      <w:proofErr w:type="spellStart"/>
      <w:r w:rsidRPr="002D0B64">
        <w:rPr>
          <w:sz w:val="28"/>
          <w:szCs w:val="28"/>
        </w:rPr>
        <w:t>DistServe</w:t>
      </w:r>
      <w:proofErr w:type="spellEnd"/>
      <w:r w:rsidRPr="002D0B64">
        <w:rPr>
          <w:sz w:val="28"/>
          <w:szCs w:val="28"/>
        </w:rPr>
        <w:t>: Disaggregating</w:t>
      </w:r>
      <w:r>
        <w:rPr>
          <w:sz w:val="28"/>
          <w:szCs w:val="28"/>
        </w:rPr>
        <w:t xml:space="preserve"> </w:t>
      </w:r>
      <w:r w:rsidRPr="002D0B64">
        <w:rPr>
          <w:sz w:val="28"/>
          <w:szCs w:val="28"/>
        </w:rPr>
        <w:t xml:space="preserve">prefill and decoding for goodput-optimized large language model serving. </w:t>
      </w:r>
      <w:r w:rsidRPr="002D0B64">
        <w:rPr>
          <w:i/>
          <w:iCs/>
          <w:sz w:val="28"/>
          <w:szCs w:val="28"/>
        </w:rPr>
        <w:t xml:space="preserve">OSDI </w:t>
      </w:r>
      <w:r w:rsidRPr="002D0B64">
        <w:rPr>
          <w:sz w:val="28"/>
          <w:szCs w:val="28"/>
        </w:rPr>
        <w:t>(2024).</w:t>
      </w:r>
    </w:p>
    <w:p w14:paraId="2E197818" w14:textId="77777777" w:rsidR="002D0B64" w:rsidRDefault="002D0B64" w:rsidP="002D0B64">
      <w:pPr>
        <w:pStyle w:val="Compact"/>
        <w:rPr>
          <w:sz w:val="28"/>
          <w:szCs w:val="28"/>
        </w:rPr>
      </w:pPr>
    </w:p>
    <w:p w14:paraId="5A692FDF" w14:textId="352DD8F2" w:rsidR="002D0B64" w:rsidRPr="002D0B64" w:rsidRDefault="002D0B64" w:rsidP="002D0B64">
      <w:pPr>
        <w:pStyle w:val="Compact"/>
        <w:rPr>
          <w:i/>
          <w:iCs/>
          <w:sz w:val="28"/>
          <w:szCs w:val="28"/>
        </w:rPr>
      </w:pPr>
      <w:r w:rsidRPr="002D0B64">
        <w:rPr>
          <w:sz w:val="28"/>
          <w:szCs w:val="28"/>
        </w:rPr>
        <w:t xml:space="preserve">Zhou, X., et al. </w:t>
      </w:r>
      <w:r w:rsidRPr="002D0B64">
        <w:rPr>
          <w:i/>
          <w:iCs/>
          <w:sz w:val="28"/>
          <w:szCs w:val="28"/>
        </w:rPr>
        <w:t>AI-Focused HPC Data Centers Can Provide More Power Grid Flexibility and at</w:t>
      </w:r>
      <w:r>
        <w:rPr>
          <w:i/>
          <w:iCs/>
          <w:sz w:val="28"/>
          <w:szCs w:val="28"/>
        </w:rPr>
        <w:t xml:space="preserve"> </w:t>
      </w:r>
      <w:r w:rsidRPr="002D0B64">
        <w:rPr>
          <w:i/>
          <w:iCs/>
          <w:sz w:val="28"/>
          <w:szCs w:val="28"/>
        </w:rPr>
        <w:t xml:space="preserve">Lower </w:t>
      </w:r>
      <w:r w:rsidRPr="002D0B64">
        <w:rPr>
          <w:sz w:val="28"/>
          <w:szCs w:val="28"/>
        </w:rPr>
        <w:t>Cost. arXiv:2410.17435 (2024).</w:t>
      </w:r>
    </w:p>
    <w:sectPr w:rsidR="002D0B64" w:rsidRPr="002D0B6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F8EF1" w14:textId="77777777" w:rsidR="006F066C" w:rsidRDefault="006F066C">
      <w:pPr>
        <w:spacing w:after="0"/>
      </w:pPr>
      <w:r>
        <w:separator/>
      </w:r>
    </w:p>
  </w:endnote>
  <w:endnote w:type="continuationSeparator" w:id="0">
    <w:p w14:paraId="01F6EF27" w14:textId="77777777" w:rsidR="006F066C" w:rsidRDefault="006F066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V Boli">
    <w:panose1 w:val="02000500030200090000"/>
    <w:charset w:val="00"/>
    <w:family w:val="auto"/>
    <w:pitch w:val="variable"/>
    <w:sig w:usb0="00000003" w:usb1="00000000" w:usb2="000001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2B437" w14:textId="77777777" w:rsidR="006F066C" w:rsidRDefault="006F066C">
      <w:r>
        <w:separator/>
      </w:r>
    </w:p>
  </w:footnote>
  <w:footnote w:type="continuationSeparator" w:id="0">
    <w:p w14:paraId="675C7C86" w14:textId="77777777" w:rsidR="006F066C" w:rsidRDefault="006F06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73D4F"/>
    <w:multiLevelType w:val="hybridMultilevel"/>
    <w:tmpl w:val="77DEE540"/>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36423A"/>
    <w:multiLevelType w:val="hybridMultilevel"/>
    <w:tmpl w:val="F20667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02F3BAD"/>
    <w:multiLevelType w:val="hybridMultilevel"/>
    <w:tmpl w:val="2C76FA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3155BD3"/>
    <w:multiLevelType w:val="hybridMultilevel"/>
    <w:tmpl w:val="1B2CAD62"/>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D32661"/>
    <w:multiLevelType w:val="hybridMultilevel"/>
    <w:tmpl w:val="02667978"/>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0A4BFD"/>
    <w:multiLevelType w:val="hybridMultilevel"/>
    <w:tmpl w:val="ED0C7866"/>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4291490"/>
    <w:multiLevelType w:val="hybridMultilevel"/>
    <w:tmpl w:val="1506E470"/>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9CD7A0C"/>
    <w:multiLevelType w:val="hybridMultilevel"/>
    <w:tmpl w:val="BED6C3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58174F1"/>
    <w:multiLevelType w:val="hybridMultilevel"/>
    <w:tmpl w:val="2B1E6C96"/>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213650"/>
    <w:multiLevelType w:val="hybridMultilevel"/>
    <w:tmpl w:val="B28C19BE"/>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CB545E9"/>
    <w:multiLevelType w:val="hybridMultilevel"/>
    <w:tmpl w:val="5AA49800"/>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D9E4CD3"/>
    <w:multiLevelType w:val="hybridMultilevel"/>
    <w:tmpl w:val="FD5416C0"/>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DA30E09"/>
    <w:multiLevelType w:val="hybridMultilevel"/>
    <w:tmpl w:val="5032DE44"/>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DBA00DC"/>
    <w:multiLevelType w:val="hybridMultilevel"/>
    <w:tmpl w:val="66FAE8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FF63013"/>
    <w:multiLevelType w:val="hybridMultilevel"/>
    <w:tmpl w:val="0DD02DB8"/>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2147B6"/>
    <w:multiLevelType w:val="hybridMultilevel"/>
    <w:tmpl w:val="9DB487DA"/>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9D2665D"/>
    <w:multiLevelType w:val="hybridMultilevel"/>
    <w:tmpl w:val="A9FE2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0460E17"/>
    <w:multiLevelType w:val="hybridMultilevel"/>
    <w:tmpl w:val="6D1A1F2C"/>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97A1DF6"/>
    <w:multiLevelType w:val="hybridMultilevel"/>
    <w:tmpl w:val="21E00C1A"/>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A333E88"/>
    <w:multiLevelType w:val="hybridMultilevel"/>
    <w:tmpl w:val="1A80E13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CED5A83"/>
    <w:multiLevelType w:val="hybridMultilevel"/>
    <w:tmpl w:val="4EFC91C8"/>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1429BD"/>
    <w:multiLevelType w:val="hybridMultilevel"/>
    <w:tmpl w:val="CBC85FB8"/>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944216">
    <w:abstractNumId w:val="1"/>
  </w:num>
  <w:num w:numId="2" w16cid:durableId="1856073323">
    <w:abstractNumId w:val="3"/>
  </w:num>
  <w:num w:numId="3" w16cid:durableId="221794629">
    <w:abstractNumId w:val="21"/>
  </w:num>
  <w:num w:numId="4" w16cid:durableId="563292548">
    <w:abstractNumId w:val="13"/>
  </w:num>
  <w:num w:numId="5" w16cid:durableId="1988120229">
    <w:abstractNumId w:val="8"/>
  </w:num>
  <w:num w:numId="6" w16cid:durableId="2136753661">
    <w:abstractNumId w:val="2"/>
  </w:num>
  <w:num w:numId="7" w16cid:durableId="1914778362">
    <w:abstractNumId w:val="11"/>
  </w:num>
  <w:num w:numId="8" w16cid:durableId="389888632">
    <w:abstractNumId w:val="12"/>
  </w:num>
  <w:num w:numId="9" w16cid:durableId="1949509870">
    <w:abstractNumId w:val="18"/>
  </w:num>
  <w:num w:numId="10" w16cid:durableId="1696153493">
    <w:abstractNumId w:val="16"/>
  </w:num>
  <w:num w:numId="11" w16cid:durableId="244732886">
    <w:abstractNumId w:val="17"/>
  </w:num>
  <w:num w:numId="12" w16cid:durableId="476458633">
    <w:abstractNumId w:val="20"/>
  </w:num>
  <w:num w:numId="13" w16cid:durableId="1772234463">
    <w:abstractNumId w:val="15"/>
  </w:num>
  <w:num w:numId="14" w16cid:durableId="1977250548">
    <w:abstractNumId w:val="5"/>
  </w:num>
  <w:num w:numId="15" w16cid:durableId="1510219409">
    <w:abstractNumId w:val="14"/>
  </w:num>
  <w:num w:numId="16" w16cid:durableId="1033772145">
    <w:abstractNumId w:val="9"/>
  </w:num>
  <w:num w:numId="17" w16cid:durableId="1476414160">
    <w:abstractNumId w:val="10"/>
  </w:num>
  <w:num w:numId="18" w16cid:durableId="1987472135">
    <w:abstractNumId w:val="4"/>
  </w:num>
  <w:num w:numId="19" w16cid:durableId="732852304">
    <w:abstractNumId w:val="0"/>
  </w:num>
  <w:num w:numId="20" w16cid:durableId="1459951280">
    <w:abstractNumId w:val="19"/>
  </w:num>
  <w:num w:numId="21" w16cid:durableId="1213809376">
    <w:abstractNumId w:val="7"/>
  </w:num>
  <w:num w:numId="22" w16cid:durableId="788358382">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0BD"/>
    <w:rsid w:val="00061A09"/>
    <w:rsid w:val="00065131"/>
    <w:rsid w:val="000863F9"/>
    <w:rsid w:val="000A6FDA"/>
    <w:rsid w:val="000B2C9D"/>
    <w:rsid w:val="000B7531"/>
    <w:rsid w:val="000E54D8"/>
    <w:rsid w:val="000E70B2"/>
    <w:rsid w:val="00101ABF"/>
    <w:rsid w:val="00142361"/>
    <w:rsid w:val="00143B9D"/>
    <w:rsid w:val="001640F1"/>
    <w:rsid w:val="001756D3"/>
    <w:rsid w:val="00183127"/>
    <w:rsid w:val="001A2575"/>
    <w:rsid w:val="001C3C58"/>
    <w:rsid w:val="001D2675"/>
    <w:rsid w:val="001E0E08"/>
    <w:rsid w:val="001E6CC4"/>
    <w:rsid w:val="001F7A4B"/>
    <w:rsid w:val="0025036A"/>
    <w:rsid w:val="00255FAA"/>
    <w:rsid w:val="002A31A6"/>
    <w:rsid w:val="002B08C1"/>
    <w:rsid w:val="002D0B64"/>
    <w:rsid w:val="002D2B52"/>
    <w:rsid w:val="002E1003"/>
    <w:rsid w:val="002E216E"/>
    <w:rsid w:val="003169FD"/>
    <w:rsid w:val="00324221"/>
    <w:rsid w:val="00330FF1"/>
    <w:rsid w:val="00363F35"/>
    <w:rsid w:val="003B16A3"/>
    <w:rsid w:val="003E7C23"/>
    <w:rsid w:val="00414623"/>
    <w:rsid w:val="00447292"/>
    <w:rsid w:val="004616BF"/>
    <w:rsid w:val="00465282"/>
    <w:rsid w:val="00480E2F"/>
    <w:rsid w:val="004813BA"/>
    <w:rsid w:val="004A1164"/>
    <w:rsid w:val="004A7482"/>
    <w:rsid w:val="004C455B"/>
    <w:rsid w:val="004D33B4"/>
    <w:rsid w:val="00502FF6"/>
    <w:rsid w:val="00511D6E"/>
    <w:rsid w:val="0051647B"/>
    <w:rsid w:val="00544270"/>
    <w:rsid w:val="00584B4F"/>
    <w:rsid w:val="00586219"/>
    <w:rsid w:val="005908C4"/>
    <w:rsid w:val="005946F0"/>
    <w:rsid w:val="0059685F"/>
    <w:rsid w:val="005A1171"/>
    <w:rsid w:val="005A1827"/>
    <w:rsid w:val="005A243C"/>
    <w:rsid w:val="005C00BD"/>
    <w:rsid w:val="005C6C9C"/>
    <w:rsid w:val="005F1086"/>
    <w:rsid w:val="006102FE"/>
    <w:rsid w:val="006553B5"/>
    <w:rsid w:val="006750E7"/>
    <w:rsid w:val="006A087E"/>
    <w:rsid w:val="006B61CE"/>
    <w:rsid w:val="006C1726"/>
    <w:rsid w:val="006F066C"/>
    <w:rsid w:val="006F33B0"/>
    <w:rsid w:val="0070741C"/>
    <w:rsid w:val="0071613D"/>
    <w:rsid w:val="00722431"/>
    <w:rsid w:val="007430A6"/>
    <w:rsid w:val="0076489A"/>
    <w:rsid w:val="00765CD5"/>
    <w:rsid w:val="0079453F"/>
    <w:rsid w:val="007A7626"/>
    <w:rsid w:val="007B67F2"/>
    <w:rsid w:val="007C14BF"/>
    <w:rsid w:val="007D6B8A"/>
    <w:rsid w:val="00810BCB"/>
    <w:rsid w:val="00813DFE"/>
    <w:rsid w:val="008151EA"/>
    <w:rsid w:val="00833BB0"/>
    <w:rsid w:val="00846B35"/>
    <w:rsid w:val="00851889"/>
    <w:rsid w:val="00863F01"/>
    <w:rsid w:val="008B1E6F"/>
    <w:rsid w:val="008D79E5"/>
    <w:rsid w:val="008E5782"/>
    <w:rsid w:val="009542B3"/>
    <w:rsid w:val="00964AF4"/>
    <w:rsid w:val="00971A3D"/>
    <w:rsid w:val="009729F2"/>
    <w:rsid w:val="009777C8"/>
    <w:rsid w:val="00981D21"/>
    <w:rsid w:val="009B735E"/>
    <w:rsid w:val="009C143D"/>
    <w:rsid w:val="009D2827"/>
    <w:rsid w:val="009D4592"/>
    <w:rsid w:val="009E3D88"/>
    <w:rsid w:val="009E699C"/>
    <w:rsid w:val="009F1BFB"/>
    <w:rsid w:val="009F2B30"/>
    <w:rsid w:val="00A01C26"/>
    <w:rsid w:val="00A05ABB"/>
    <w:rsid w:val="00A175F4"/>
    <w:rsid w:val="00A3194E"/>
    <w:rsid w:val="00A360D1"/>
    <w:rsid w:val="00A42F83"/>
    <w:rsid w:val="00A958A3"/>
    <w:rsid w:val="00A97414"/>
    <w:rsid w:val="00AB1883"/>
    <w:rsid w:val="00AC3DF2"/>
    <w:rsid w:val="00AD11D3"/>
    <w:rsid w:val="00AF1A54"/>
    <w:rsid w:val="00B2206B"/>
    <w:rsid w:val="00B22652"/>
    <w:rsid w:val="00B33308"/>
    <w:rsid w:val="00B41C57"/>
    <w:rsid w:val="00B42202"/>
    <w:rsid w:val="00B6000D"/>
    <w:rsid w:val="00B83C0B"/>
    <w:rsid w:val="00B8415C"/>
    <w:rsid w:val="00BA1903"/>
    <w:rsid w:val="00BA2940"/>
    <w:rsid w:val="00BB62FE"/>
    <w:rsid w:val="00BC2500"/>
    <w:rsid w:val="00BD330F"/>
    <w:rsid w:val="00BF4681"/>
    <w:rsid w:val="00C01028"/>
    <w:rsid w:val="00C111BA"/>
    <w:rsid w:val="00C16BC5"/>
    <w:rsid w:val="00C32E09"/>
    <w:rsid w:val="00C3349A"/>
    <w:rsid w:val="00C45327"/>
    <w:rsid w:val="00C46C5B"/>
    <w:rsid w:val="00C55D65"/>
    <w:rsid w:val="00C57134"/>
    <w:rsid w:val="00C76F92"/>
    <w:rsid w:val="00C90579"/>
    <w:rsid w:val="00C9324E"/>
    <w:rsid w:val="00C9385A"/>
    <w:rsid w:val="00CD7C05"/>
    <w:rsid w:val="00CF3C27"/>
    <w:rsid w:val="00CF6008"/>
    <w:rsid w:val="00D004DF"/>
    <w:rsid w:val="00D373F3"/>
    <w:rsid w:val="00D55A9C"/>
    <w:rsid w:val="00D6735F"/>
    <w:rsid w:val="00D70E48"/>
    <w:rsid w:val="00D9611E"/>
    <w:rsid w:val="00DB6C7A"/>
    <w:rsid w:val="00DC24CA"/>
    <w:rsid w:val="00DE2175"/>
    <w:rsid w:val="00DE3DDD"/>
    <w:rsid w:val="00DE5F02"/>
    <w:rsid w:val="00DF4104"/>
    <w:rsid w:val="00DF685C"/>
    <w:rsid w:val="00E01C6C"/>
    <w:rsid w:val="00E249C2"/>
    <w:rsid w:val="00E25EFB"/>
    <w:rsid w:val="00E55AA8"/>
    <w:rsid w:val="00E60661"/>
    <w:rsid w:val="00E74250"/>
    <w:rsid w:val="00E751A9"/>
    <w:rsid w:val="00E77D03"/>
    <w:rsid w:val="00E86D31"/>
    <w:rsid w:val="00EC3247"/>
    <w:rsid w:val="00EE723B"/>
    <w:rsid w:val="00F40DFD"/>
    <w:rsid w:val="00F44C3A"/>
    <w:rsid w:val="00F46C88"/>
    <w:rsid w:val="00F93715"/>
    <w:rsid w:val="00F9460C"/>
    <w:rsid w:val="00FC1101"/>
    <w:rsid w:val="00FC391B"/>
    <w:rsid w:val="00FC7C49"/>
    <w:rsid w:val="00FD25D5"/>
    <w:rsid w:val="00FE4F93"/>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1"/>
    <o:shapelayout v:ext="edit">
      <o:idmap v:ext="edit" data="1"/>
    </o:shapelayout>
  </w:shapeDefaults>
  <w:decimalSymbol w:val="."/>
  <w:listSeparator w:val=","/>
  <w14:docId w14:val="509F8E48"/>
  <w15:docId w15:val="{DD8584DD-9A8F-434F-B823-703EC0D60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7430A6"/>
    <w:rPr>
      <w:color w:val="605E5C"/>
      <w:shd w:val="clear" w:color="auto" w:fill="E1DFDD"/>
    </w:rPr>
  </w:style>
  <w:style w:type="character" w:styleId="CommentReference">
    <w:name w:val="annotation reference"/>
    <w:basedOn w:val="DefaultParagraphFont"/>
    <w:rsid w:val="00971A3D"/>
    <w:rPr>
      <w:sz w:val="16"/>
      <w:szCs w:val="16"/>
    </w:rPr>
  </w:style>
  <w:style w:type="paragraph" w:styleId="CommentText">
    <w:name w:val="annotation text"/>
    <w:basedOn w:val="Normal"/>
    <w:link w:val="CommentTextChar"/>
    <w:rsid w:val="00971A3D"/>
    <w:rPr>
      <w:sz w:val="20"/>
      <w:szCs w:val="20"/>
    </w:rPr>
  </w:style>
  <w:style w:type="character" w:customStyle="1" w:styleId="CommentTextChar">
    <w:name w:val="Comment Text Char"/>
    <w:basedOn w:val="DefaultParagraphFont"/>
    <w:link w:val="CommentText"/>
    <w:rsid w:val="00971A3D"/>
    <w:rPr>
      <w:sz w:val="20"/>
      <w:szCs w:val="20"/>
    </w:rPr>
  </w:style>
  <w:style w:type="paragraph" w:styleId="CommentSubject">
    <w:name w:val="annotation subject"/>
    <w:basedOn w:val="CommentText"/>
    <w:next w:val="CommentText"/>
    <w:link w:val="CommentSubjectChar"/>
    <w:rsid w:val="00971A3D"/>
    <w:rPr>
      <w:b/>
      <w:bCs/>
    </w:rPr>
  </w:style>
  <w:style w:type="character" w:customStyle="1" w:styleId="CommentSubjectChar">
    <w:name w:val="Comment Subject Char"/>
    <w:basedOn w:val="CommentTextChar"/>
    <w:link w:val="CommentSubject"/>
    <w:rsid w:val="00971A3D"/>
    <w:rPr>
      <w:b/>
      <w:bCs/>
      <w:sz w:val="20"/>
      <w:szCs w:val="20"/>
    </w:rPr>
  </w:style>
  <w:style w:type="character" w:styleId="Emphasis">
    <w:name w:val="Emphasis"/>
    <w:basedOn w:val="DefaultParagraphFont"/>
    <w:uiPriority w:val="20"/>
    <w:qFormat/>
    <w:rsid w:val="00F44C3A"/>
    <w:rPr>
      <w:i/>
      <w:iCs/>
    </w:rPr>
  </w:style>
  <w:style w:type="table" w:styleId="GridTable1Light">
    <w:name w:val="Grid Table 1 Light"/>
    <w:basedOn w:val="TableNormal"/>
    <w:rsid w:val="00F44C3A"/>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1">
    <w:name w:val="Plain Table 1"/>
    <w:basedOn w:val="TableNormal"/>
    <w:rsid w:val="00FE4F93"/>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rsid w:val="00E751A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rsid w:val="00DC24CA"/>
    <w:pPr>
      <w:ind w:left="720"/>
      <w:contextualSpacing/>
    </w:pPr>
  </w:style>
  <w:style w:type="character" w:styleId="PlaceholderText">
    <w:name w:val="Placeholder Text"/>
    <w:basedOn w:val="DefaultParagraphFont"/>
    <w:rsid w:val="002D0B6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12D2F-7BF7-411A-9B2B-DD98909FD2B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34</Pages>
  <Words>11017</Words>
  <Characters>68202</Characters>
  <Application>Microsoft Office Word</Application>
  <DocSecurity>0</DocSecurity>
  <Lines>1311</Lines>
  <Paragraphs>501</Paragraphs>
  <ScaleCrop>false</ScaleCrop>
  <HeadingPairs>
    <vt:vector size="2" baseType="variant">
      <vt:variant>
        <vt:lpstr>Title</vt:lpstr>
      </vt:variant>
      <vt:variant>
        <vt:i4>1</vt:i4>
      </vt:variant>
    </vt:vector>
  </HeadingPairs>
  <TitlesOfParts>
    <vt:vector size="1" baseType="lpstr">
      <vt:lpstr>Technical Appendix: Ten-Parameter Cascade Derivation</vt:lpstr>
    </vt:vector>
  </TitlesOfParts>
  <Company/>
  <LinksUpToDate>false</LinksUpToDate>
  <CharactersWithSpaces>78718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Ten-Parameter Cascade Derivation</dc:title>
  <dc:creator>Chris Dunlap</dc:creator>
  <cp:keywords/>
  <cp:lastModifiedBy>Chris Dunlap</cp:lastModifiedBy>
  <cp:revision>2</cp:revision>
  <dcterms:created xsi:type="dcterms:W3CDTF">2026-04-27T17:42:00Z</dcterms:created>
  <dcterms:modified xsi:type="dcterms:W3CDTF">2026-04-27T17:42:00Z</dcterms:modified>
</cp:coreProperties>
</file>