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image1.png" ContentType="image/png"/>
  <Override PartName="/word/media/image2.png" ContentType="image/png"/>
  <Override PartName="/word/media/image3.png" ContentType="image/png"/>
  <Override PartName="/word/media/image4.png" ContentType="image/png"/>
  <Override PartName="/word/media/image5.png" ContentType="image/png"/>
</Types>
</file>

<file path=_rels/.rels><?xml version="1.0" encoding="UTF-8"?><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57" w:name="Xd59876483ab804565fd51242f7fc3a29437d17e"/>
    <w:p>
      <w:pPr>
        <w:pStyle w:val="Heading1"/>
      </w:pPr>
      <w:r>
        <w:t xml:space="preserve">Technical Appendix: Policy Framework and Market Integration</w:t>
      </w:r>
    </w:p>
    <w:p>
      <w:pPr>
        <w:pStyle w:val="FirstParagraph"/>
      </w:pPr>
      <w:r>
        <w:rPr>
          <w:iCs/>
          <w:i/>
        </w:rPr>
        <w:t xml:space="preserve">This document describes how data center spatial flexibility integrates with PJM’s capacity construct, details the sequential policy framework connecting pre-interconnection and post-interconnection participation pathways, and provides the institutional and regulatory grounding for the market design proposals in the Nature Energy manuscript. It is intended as the companion to NE paper §6 and the EPIC policy brief.</w:t>
      </w:r>
    </w:p>
    <w:p>
      <w:r>
        <w:pict>
          <v:rect style="width:0;height:1.5pt" o:hralign="center" o:hrstd="t" o:hr="t"/>
        </w:pict>
      </w:r>
    </w:p>
    <w:bookmarkStart w:id="20" w:name="analytical-framing"/>
    <w:p>
      <w:pPr>
        <w:pStyle w:val="Heading2"/>
      </w:pPr>
      <w:r>
        <w:t xml:space="preserve">1. Analytical Framing</w:t>
      </w:r>
    </w:p>
    <w:p>
      <w:pPr>
        <w:pStyle w:val="FirstParagraph"/>
      </w:pPr>
      <w:r>
        <w:t xml:space="preserve">The paper’s quantitative results establish what fraction of data center load can credibly participate in demand response through spatial migration and local power management. This appendix addresses the institutional question: </w:t>
      </w:r>
      <w:r>
        <w:rPr>
          <w:iCs/>
          <w:i/>
        </w:rPr>
        <w:t xml:space="preserve">given those commitment depths, how does the flexibility enter the capacity market, and what policy design enables it?</w:t>
      </w:r>
    </w:p>
    <w:p>
      <w:pPr>
        <w:pStyle w:val="BodyText"/>
      </w:pPr>
      <w:r>
        <w:t xml:space="preserve">Four interlocking questions structure the analysis:</w:t>
      </w:r>
    </w:p>
    <w:p>
      <w:pPr>
        <w:numPr>
          <w:ilvl w:val="0"/>
          <w:numId w:val="1001"/>
        </w:numPr>
        <w:pStyle w:val="Compact"/>
      </w:pPr>
      <w:r>
        <w:rPr>
          <w:bCs/>
          <w:b/>
        </w:rPr>
        <w:t xml:space="preserve">Technical feasibility</w:t>
      </w:r>
      <w:r>
        <w:t xml:space="preserve"> — Can inference workloads physically migrate across regions within dispatch-relevant timescales? (Addressed in NE paper §§3–4 and the cascade derivation appendix.)</w:t>
      </w:r>
    </w:p>
    <w:p>
      <w:pPr>
        <w:numPr>
          <w:ilvl w:val="0"/>
          <w:numId w:val="1001"/>
        </w:numPr>
        <w:pStyle w:val="Compact"/>
      </w:pPr>
      <w:r>
        <w:rPr>
          <w:bCs/>
          <w:b/>
        </w:rPr>
        <w:t xml:space="preserve">Grid physical feasibility</w:t>
      </w:r>
      <w:r>
        <w:t xml:space="preserve"> — When the source zone is stressed, is power available at destination zones? (Addressed in NE paper §3 and the stress decorrelation appendix.)</w:t>
      </w:r>
    </w:p>
    <w:p>
      <w:pPr>
        <w:numPr>
          <w:ilvl w:val="0"/>
          <w:numId w:val="1001"/>
        </w:numPr>
        <w:pStyle w:val="Compact"/>
      </w:pPr>
      <w:r>
        <w:rPr>
          <w:bCs/>
          <w:b/>
        </w:rPr>
        <w:t xml:space="preserve">Administrative and market integration</w:t>
      </w:r>
      <w:r>
        <w:t xml:space="preserve"> — How does this capability fit into PJM’s capacity construct? Given PJM’s existing 92% ELCC class rating for demand response, what commitment depth can a data center fleet credibly sustain, and what are the avoided cost implications?</w:t>
      </w:r>
    </w:p>
    <w:p>
      <w:pPr>
        <w:numPr>
          <w:ilvl w:val="0"/>
          <w:numId w:val="1001"/>
        </w:numPr>
        <w:pStyle w:val="Compact"/>
      </w:pPr>
      <w:r>
        <w:rPr>
          <w:bCs/>
          <w:b/>
        </w:rPr>
        <w:t xml:space="preserve">Mechanical implementation</w:t>
      </w:r>
      <w:r>
        <w:t xml:space="preserve"> — What does the operational protocol look like for both the grid operator and the data center?</w:t>
      </w:r>
    </w:p>
    <w:p>
      <w:pPr>
        <w:pStyle w:val="FirstParagraph"/>
      </w:pPr>
      <w:r>
        <w:t xml:space="preserve">This appendix focuses on questions 3 and 4. The paper’s ten-parameter cascade model and conditional Monte Carlo simulation answer questions 1 and 2.</w:t>
      </w:r>
    </w:p>
    <w:p>
      <w:r>
        <w:pict>
          <v:rect style="width:0;height:1.5pt" o:hralign="center" o:hrstd="t" o:hr="t"/>
        </w:pict>
      </w:r>
    </w:p>
    <w:bookmarkEnd w:id="20"/>
    <w:bookmarkStart w:id="33" w:name="pjms-capacity-market-mechanics"/>
    <w:p>
      <w:pPr>
        <w:pStyle w:val="Heading2"/>
      </w:pPr>
      <w:r>
        <w:t xml:space="preserve">2. PJM’s Capacity Market Mechanics</w:t>
      </w:r>
    </w:p>
    <w:bookmarkStart w:id="25" w:name="the-base-residual-auction"/>
    <w:p>
      <w:pPr>
        <w:pStyle w:val="Heading3"/>
      </w:pPr>
      <w:r>
        <w:t xml:space="preserve">2.1 The Base Residual Auction</w:t>
      </w:r>
    </w:p>
    <w:p>
      <w:pPr>
        <w:pStyle w:val="FirstParagraph"/>
      </w:pPr>
      <w:r>
        <w:t xml:space="preserve">PJM runs a forward capacity auction approximately three years ahead of each delivery year. All resource types — gas, nuclear, solar, storage, demand response — compete on the same $/MW-day basis. PJM constructs a Variable Resource Requirement (VRR) curve representing needed capacity, and resources bid to fill it. The auction clears at a single price for the RTO, with possible locational adders for constrained Locational Deliverability Areas (LDAs). ComEd territory is now classified as one such constrained zone.</w:t>
      </w:r>
    </w:p>
    <w:p>
      <w:pPr>
        <w:pStyle w:val="BodyText"/>
      </w:pPr>
      <w:r>
        <w:t xml:space="preserve">For the 2027/2028 delivery year, the auction cleared at the FERC-approved price cap of $333.44/MW-day for the entire PJM footprint.</w:t>
      </w:r>
      <w:r>
        <w:rPr>
          <w:rStyle w:val="FootnoteReference"/>
        </w:rPr>
        <w:footnoteReference w:id="21"/>
      </w:r>
      <w:r>
        <w:t xml:space="preserve"> This translates to approximately $121,700/MW-year. The cap has been binding for three consecutive auctions, confirming in dollar terms what the empirical stress analysis establishes independently: the system is supply-constrained.</w:t>
      </w:r>
      <w:r>
        <w:rPr>
          <w:rStyle w:val="FootnoteReference"/>
        </w:rPr>
        <w:footnoteReference w:id="22"/>
      </w:r>
    </w:p>
    <w:p>
      <w:pPr>
        <w:pStyle w:val="BodyText"/>
      </w:pPr>
      <w:r>
        <w:t xml:space="preserve">The magnitude of the capacity procurement obligation underscores the urgency. Absent the price cap, industry estimates suggest the 2027/28 auction would have cleared at levels implying roughly $26 billion in total capacity procurement. Even with the cap binding, ratepayers face approximately $16 billion in annual capacity costs.</w:t>
      </w:r>
      <w:r>
        <w:rPr>
          <w:rStyle w:val="FootnoteReference"/>
        </w:rPr>
        <w:footnoteReference w:id="23"/>
      </w:r>
      <w:r>
        <w:t xml:space="preserve"> Price caps blunt the build signal to developers, but the binding constraint reflects hard physical limits — transmission bottlenecks, permitting timelines, and equipment lead times — rather than insufficient price incentive. This context motivates the DR discussion: demand-side flexibility can alleviate part of the capacity shortfall in a way that new supply physically cannot on the relevant timescale.</w:t>
      </w:r>
    </w:p>
    <w:p>
      <w:pPr>
        <w:pStyle w:val="BodyText"/>
      </w:pPr>
      <w:r>
        <w:t xml:space="preserve">There is no hard MW cap on DR participation. In the 2027/2028 BRA, approximately 7,299 MW of DR cleared, roughly 5% of total cleared capacity.</w:t>
      </w:r>
      <w:r>
        <w:rPr>
          <w:rStyle w:val="FootnoteReference"/>
        </w:rPr>
        <w:footnoteReference w:id="24"/>
      </w:r>
    </w:p>
    <w:bookmarkEnd w:id="25"/>
    <w:bookmarkStart w:id="27" w:name="Xc8fb8b4a820da9f4699cdd035d3b31a369bb33d"/>
    <w:p>
      <w:pPr>
        <w:pStyle w:val="Heading3"/>
      </w:pPr>
      <w:r>
        <w:t xml:space="preserve">2.2 Revenue Structure and Performance Obligations</w:t>
      </w:r>
    </w:p>
    <w:p>
      <w:pPr>
        <w:pStyle w:val="FirstParagraph"/>
      </w:pPr>
      <w:r>
        <w:t xml:space="preserve">A resource that clears in the BRA receives the clearing price for every day of the delivery year — an annual revenue stream paid monthly for availability, not a per-event payment. A 100 MW DR resource with 92% ELCC can offer 92 MW UCAP. At $333.44/MW-day, this yields approximately $11.2 million per year in capacity revenue regardless of whether PJM dispatches zero times or fifty times.</w:t>
      </w:r>
    </w:p>
    <w:p>
      <w:pPr>
        <w:pStyle w:val="BodyText"/>
      </w:pPr>
      <w:r>
        <w:t xml:space="preserve">The obligation is that during a Performance Assessment Interval (PAI), the resource must deliver. Failure triggers Non-Performance Charges that can reach 3–4× annual capacity revenues. These penalties are automatic.</w:t>
      </w:r>
      <w:r>
        <w:rPr>
          <w:rStyle w:val="FootnoteReference"/>
        </w:rPr>
        <w:footnoteReference w:id="26"/>
      </w:r>
    </w:p>
    <w:bookmarkEnd w:id="27"/>
    <w:bookmarkStart w:id="30" w:name="dispatch-frequency"/>
    <w:p>
      <w:pPr>
        <w:pStyle w:val="Heading3"/>
      </w:pPr>
      <w:r>
        <w:t xml:space="preserve">2.3 Dispatch Frequency</w:t>
      </w:r>
    </w:p>
    <w:p>
      <w:pPr>
        <w:pStyle w:val="FirstParagraph"/>
      </w:pPr>
      <w:r>
        <w:t xml:space="preserve">Historically, PJM has called 1–2 emergency dispatches per year in any given zone. Since 2007, PJM has called approximately 70 total emergency dispatches across the entire footprint, with very few mandatory events since 2014.</w:t>
      </w:r>
      <w:r>
        <w:rPr>
          <w:rStyle w:val="FootnoteReference"/>
        </w:rPr>
        <w:footnoteReference w:id="28"/>
      </w:r>
      <w:r>
        <w:t xml:space="preserve"> The last major mandatory event was Winter Storm Elliott (December 2022), lasting approximately 17 hours total.</w:t>
      </w:r>
      <w:r>
        <w:rPr>
          <w:rStyle w:val="FootnoteReference"/>
        </w:rPr>
        <w:footnoteReference w:id="29"/>
      </w:r>
    </w:p>
    <w:p>
      <w:pPr>
        <w:pStyle w:val="BodyText"/>
      </w:pPr>
      <w:r>
        <w:t xml:space="preserve">This dispatch frequency profile is critical for expected value calculations. Annual capacity revenue of ~$11.2M faces expected dispatch costs of perhaps 1–2 events × 4–8 hours × per-hour mechanism cost. Even in a worst-case year like Elliott, 17 hours of dispatch cost compares against a full year of payments. The revenue-to-cost ratio is favorable for any facility that can deliver via DVFS, spatial migration, or both.</w:t>
      </w:r>
    </w:p>
    <w:p>
      <w:pPr>
        <w:pStyle w:val="BodyText"/>
      </w:pPr>
      <w:r>
        <w:t xml:space="preserve">However, the capacity revenue itself is unlikely to be the primary motivator for hyperscale data center operators, whose facility-level revenues dwarf capacity payments by orders of magnitude. The expected value calculation is more relevant as a risk assessment framework: operators considering how much flexibility to offer must weigh the probability and cost of dispatch against their core business operations.</w:t>
      </w:r>
    </w:p>
    <w:bookmarkEnd w:id="30"/>
    <w:bookmarkStart w:id="32" w:name="locational-dispatch"/>
    <w:p>
      <w:pPr>
        <w:pStyle w:val="Heading3"/>
      </w:pPr>
      <w:r>
        <w:t xml:space="preserve">2.4 Locational Dispatch</w:t>
      </w:r>
    </w:p>
    <w:p>
      <w:pPr>
        <w:pStyle w:val="FirstParagraph"/>
      </w:pPr>
      <w:r>
        <w:t xml:space="preserve">DR dispatch in PJM is location-sensitive. PJM dispatches based on availability, location, dispatch price, and load reduction quantity, subject to transmission constraints. Emergency procedures can be implemented on a Control Zone-specific basis or subset thereof.</w:t>
      </w:r>
      <w:r>
        <w:rPr>
          <w:rStyle w:val="FootnoteReference"/>
        </w:rPr>
        <w:footnoteReference w:id="31"/>
      </w:r>
      <w:r>
        <w:t xml:space="preserve"> A data center in ComEd territory would primarily be dispatched for ComEd-zone or RTO-wide emergencies, not for localized congestion in a distant zone.</w:t>
      </w:r>
    </w:p>
    <w:p>
      <w:r>
        <w:pict>
          <v:rect style="width:0;height:1.5pt" o:hralign="center" o:hrstd="t" o:hr="t"/>
        </w:pict>
      </w:r>
    </w:p>
    <w:bookmarkEnd w:id="32"/>
    <w:bookmarkEnd w:id="33"/>
    <w:bookmarkStart w:id="42" w:name="the-92-elcc-derivation-and-implications"/>
    <w:p>
      <w:pPr>
        <w:pStyle w:val="Heading2"/>
      </w:pPr>
      <w:r>
        <w:t xml:space="preserve">3. The 92% ELCC: Derivation and Implications</w:t>
      </w:r>
    </w:p>
    <w:p>
      <w:pPr>
        <w:pStyle w:val="FirstParagraph"/>
      </w:pPr>
      <w:r>
        <w:t xml:space="preserve">PJM assigns demand response a 92% ELCC class rating, derived from a Loss of Load Probability (LOLP) simulation. This rating is well-grounded and the paper treats it as given rather than proposing an alternative methodology. The key modeling assumptions:</w:t>
      </w:r>
    </w:p>
    <w:bookmarkStart w:id="35" w:name="dispatch-order"/>
    <w:p>
      <w:pPr>
        <w:pStyle w:val="Heading3"/>
      </w:pPr>
      <w:r>
        <w:t xml:space="preserve">3.1 Dispatch Order</w:t>
      </w:r>
    </w:p>
    <w:p>
      <w:pPr>
        <w:pStyle w:val="FirstParagraph"/>
      </w:pPr>
      <w:r>
        <w:t xml:space="preserve">DR is dispatched last — position 11 of 11 in the ELCC model’s dispatch stack, after thermals, renewables, all storage durations, and hydro.</w:t>
      </w:r>
      <w:r>
        <w:rPr>
          <w:rStyle w:val="FootnoteReference"/>
        </w:rPr>
        <w:footnoteReference w:id="34"/>
      </w:r>
      <w:r>
        <w:t xml:space="preserve"> DR is an emergency resource; the model calls on it only after the entire conventional fleet is exhausted. DR therefore only needs to cover residual stress after all other supply has fired.</w:t>
      </w:r>
    </w:p>
    <w:bookmarkEnd w:id="35"/>
    <w:bookmarkStart w:id="37" w:name="load-adjustment-factor"/>
    <w:p>
      <w:pPr>
        <w:pStyle w:val="Heading3"/>
      </w:pPr>
      <w:r>
        <w:t xml:space="preserve">3.2 Load Adjustment Factor</w:t>
      </w:r>
    </w:p>
    <w:p>
      <w:pPr>
        <w:pStyle w:val="FirstParagraph"/>
      </w:pPr>
      <w:r>
        <w:t xml:space="preserve">DR availability is not modeled as a fixed block. Available DR = Nominated MW × (Hourly Simulated Load ÷ 50/50 Simulated Load).</w:t>
      </w:r>
      <w:r>
        <w:rPr>
          <w:rStyle w:val="FootnoteReference"/>
        </w:rPr>
        <w:footnoteReference w:id="36"/>
      </w:r>
      <w:r>
        <w:t xml:space="preserve"> Under 90/10 conditions (load 6% above median peak), the model assumes DR provides 6% more curtailment than nominated, because the load base being curtailed from is higher. This Firm Service Level (FSL) treatment inflates DR’s effective contribution during the highest-stress hours.</w:t>
      </w:r>
    </w:p>
    <w:bookmarkEnd w:id="37"/>
    <w:bookmarkStart w:id="39" w:name="availability-window"/>
    <w:p>
      <w:pPr>
        <w:pStyle w:val="Heading3"/>
      </w:pPr>
      <w:r>
        <w:t xml:space="preserve">3.3 24/7 Availability Window</w:t>
      </w:r>
    </w:p>
    <w:p>
      <w:pPr>
        <w:pStyle w:val="FirstParagraph"/>
      </w:pPr>
      <w:r>
        <w:t xml:space="preserve">The increase from 69% to 92% ELCC was a direct result of eliminating the DR performance window, making DR a 24/7 resource.</w:t>
      </w:r>
      <w:r>
        <w:rPr>
          <w:rStyle w:val="FootnoteReference"/>
        </w:rPr>
        <w:footnoteReference w:id="38"/>
      </w:r>
      <w:r>
        <w:t xml:space="preserve"> Previously, the model assumed DR delivered zero outside a limited window (essentially summer afternoons). Once DR could be dispatched during winter stress events, the ELCC increased by 23 percentage points. This was a modeling assumption change reflecting updated rules, not a change in measured performance.</w:t>
      </w:r>
    </w:p>
    <w:bookmarkEnd w:id="39"/>
    <w:bookmarkStart w:id="41" w:name="no-duration-limitation"/>
    <w:p>
      <w:pPr>
        <w:pStyle w:val="Heading3"/>
      </w:pPr>
      <w:r>
        <w:t xml:space="preserve">3.4 No Duration Limitation</w:t>
      </w:r>
    </w:p>
    <w:p>
      <w:pPr>
        <w:pStyle w:val="FirstParagraph"/>
      </w:pPr>
      <w:r>
        <w:t>PJM’s DR dispatch methodology imposes no energy constraint. Storage resources receive elaborate two-part dispatch with state-of-charge tracking; DR is dispatched whenever load exceeds available supply with no “runs out after X hours” mechanic.</w:t>
      </w:r>
      <w:r>
        <w:rPr>
          <w:rStyle w:val="FootnoteReference"/>
        </w:rPr>
        <w:footnoteReference w:id="40"/>
      </w:r>
      <w:r>
        <w:t xml:space="preserve"> The model treats DR as capable of sustaining delivery indefinitely. This places the nomination decision squarely on the participating load: the question becomes what MW level can the facility credibly sustain across the full range of plausible dispatch durations.</w:t>
      </w:r>
    </w:p>
    <w:p>
      <w:r>
        <w:pict>
          <v:rect style="width:0;height:1.5pt" o:hralign="center" o:hrstd="t" o:hr="t"/>
        </w:pict>
      </w:r>
    </w:p>
    <w:bookmarkEnd w:id="41"/>
    <w:bookmarkEnd w:id="42"/>
    <w:bookmarkStart w:id="43" w:name="mechanism-level-saturation"/>
    <w:p>
      <w:pPr>
        <w:pStyle w:val="Heading2"/>
      </w:pPr>
      <w:r>
        <w:t xml:space="preserve">4. Mechanism-Level Saturation</w:t>
      </w:r>
    </w:p>
    <w:p>
      <w:pPr>
        <w:pStyle w:val="FirstParagraph"/>
      </w:pPr>
      <w:r>
        <w:t xml:space="preserve">Not all flexibility mechanisms face saturation equally:</w:t>
      </w:r>
    </w:p>
    <w:p>
      <w:pPr>
        <w:pStyle w:val="BodyText"/>
      </w:pPr>
      <w:r>
        <w:rPr>
          <w:bCs/>
          <w:b/>
        </w:rPr>
        <w:t xml:space="preserve">BTM battery storage.</w:t>
      </w:r>
      <w:r>
        <w:t xml:space="preserve"> No cross-facility saturation. Each facility’s battery operates independently. The binding constraint is duration, not coordination.</w:t>
      </w:r>
    </w:p>
    <w:p>
      <w:pPr>
        <w:pStyle w:val="BodyText"/>
      </w:pPr>
      <w:r>
        <w:rPr>
          <w:bCs/>
          <w:b/>
        </w:rPr>
        <w:t xml:space="preserve">Temporal shifting / DVFS.</w:t>
      </w:r>
      <w:r>
        <w:t xml:space="preserve"> No cross-facility saturation. Each facility reduces its own GPU power draw independently. The binding constraint is depth — approximately 25% of compute load per Colangelo et al. (2026), yielding a DVFS-only floor of FLEX_FRAC × S1 = 0.25 × 0.70 = 17.5% of facility load for inference-dominant facilities.</w:t>
      </w:r>
    </w:p>
    <w:p>
      <w:pPr>
        <w:pStyle w:val="BodyText"/>
      </w:pPr>
      <w:r>
        <w:rPr>
          <w:bCs/>
          <w:b/>
        </w:rPr>
        <w:t xml:space="preserve">Spatial migration at scale.</w:t>
      </w:r>
      <w:r>
        <w:t xml:space="preserve"> Real saturation with a physical mechanism. If multiple GW of data center load in PJM attempt simultaneous migration during a stress event, destination regions absorb load from all participants, transmission paths congest, and destinations that were unstressed begin to stress precisely because of aggregate landing load. The paper’s per-GW sweep quantifies this: commitment depth declines from 46.4% at 1 GW to 23.8% at 15 GW, with contention onset (&gt;50% of Monte Carlo draws destination-constrained) at 3.0 GW.</w:t>
      </w:r>
    </w:p>
    <w:p>
      <w:r>
        <w:pict>
          <v:rect style="width:0;height:1.5pt" o:hralign="center" o:hrstd="t" o:hr="t"/>
        </w:pict>
      </w:r>
    </w:p>
    <w:bookmarkEnd w:id="43"/>
    <w:bookmarkStart w:id="50" w:name="the-sequential-framework"/>
    <w:p>
      <w:pPr>
        <w:pStyle w:val="Heading2"/>
      </w:pPr>
      <w:r>
        <w:t xml:space="preserve">5. The Sequential Framework</w:t>
      </w:r>
    </w:p>
    <w:p>
      <w:pPr>
        <w:pStyle w:val="FirstParagraph"/>
      </w:pPr>
      <w:r>
        <w:t xml:space="preserve">The central policy contribution is a sequential two-phase framework. These are not competing alternatives; they are different entry points on the same timeline, determined by interconnection status.</w:t>
      </w:r>
    </w:p>
    <w:bookmarkStart w:id="44" w:name="X50e60d21e15adbaac092206479d4cdb7537b5cc"/>
    <w:p>
      <w:pPr>
        <w:pStyle w:val="Heading3"/>
      </w:pPr>
      <w:r>
        <w:t xml:space="preserve">5.1 Option A: DR into the BRA (Post-Interconnection)</w:t>
      </w:r>
    </w:p>
    <w:p>
      <w:pPr>
        <w:pStyle w:val="FirstParagraph"/>
      </w:pPr>
      <w:r>
        <w:t xml:space="preserve">The data center is already interconnected and operating. It nominates MW into the BRA as demand response. Its full nameplate load appears in PJM’s load forecast, inflating the Reliability Requirement. Its DR offer appears as supply meeting that requirement. It collects capacity payments. This is PJM’s existing framework — flexibility enters on the supply side of the ledger. The circularity (data centers creating capacity need and then being paid to address it) is real but economically sound: once cleared as a resource, the commitment is binding and backed by Non-Performance Charges.</w:t>
      </w:r>
    </w:p>
    <w:bookmarkEnd w:id="44"/>
    <w:bookmarkStart w:id="47" w:name="X45301f1ff18635ffaf73fe387ec3f1d4317a9ae"/>
    <w:p>
      <w:pPr>
        <w:pStyle w:val="Heading3"/>
      </w:pPr>
      <w:r>
        <w:t xml:space="preserve">5.2 Option B: Flexible Interconnection (Pre-Interconnection)</w:t>
      </w:r>
    </w:p>
    <w:p>
      <w:pPr>
        <w:pStyle w:val="FirstParagraph"/>
      </w:pPr>
      <w:r>
        <w:t xml:space="preserve">The data center is in the interconnection queue. PJM requires 3–5 years and potentially $200M+ in network upgrades before energization at 500 MW firm. The data center proposes to interconnect immediately at 500 MW nameplate with a binding commitment to curtail to approximately 265 MW during stress events (reflecting a single-facility commitment depth of ~47%).</w:t>
      </w:r>
      <w:r>
        <w:rPr>
          <w:rStyle w:val="FootnoteReference"/>
        </w:rPr>
        <w:footnoteReference w:id="45"/>
      </w:r>
      <w:r>
        <w:t xml:space="preserve"> PJM can approve this because the system only needs to accommodate 265 MW of firm load; upgrade requirements shrink or disappear. The data center comes online years faster. The flexibility commitment is embedded in the interconnection agreement itself. PJM’s load forecast reflects the effective firm service level (265 MW), not the nameplate (500 MW). The Reliability Requirement is lower. No DR offer, no capacity payment, no circularity.</w:t>
      </w:r>
    </w:p>
    <w:p>
      <w:pPr>
        <w:pStyle w:val="BodyText"/>
      </w:pPr>
      <w:r>
        <w:t xml:space="preserve">This connect-and-manage model already exists in ERCOT for generators. ERCOT interconnected 14.2 GW in 2021–2022 using this approach — more than any other U.S. grid operator over the same period.</w:t>
      </w:r>
      <w:r>
        <w:rPr>
          <w:rStyle w:val="FootnoteReference"/>
        </w:rPr>
        <w:footnoteReference w:id="46"/>
      </w:r>
      <w:r>
        <w:t xml:space="preserve"> A November 2025 proposal at ERCOT explicitly extends the framework to load, creating the basis for connect-and-manage of demand using the existing system ERCOT already operates for generators and batteries.</w:t>
      </w:r>
    </w:p>
    <w:bookmarkEnd w:id="47"/>
    <w:bookmarkStart w:id="48" w:name="phase-sequencing"/>
    <w:p>
      <w:pPr>
        <w:pStyle w:val="Heading3"/>
      </w:pPr>
      <w:r>
        <w:t xml:space="preserve">5.3 Phase Sequencing</w:t>
      </w:r>
    </w:p>
    <w:p>
      <w:pPr>
        <w:pStyle w:val="FirstParagraph"/>
      </w:pPr>
      <w:r>
        <w:t xml:space="preserve">The choice between Option A and Option B is not a policy design decision. It is a function of where the facility sits in the interconnection process:</w:t>
      </w:r>
    </w:p>
    <w:p>
      <w:pPr>
        <w:pStyle w:val="BodyText"/>
      </w:pPr>
      <w:r>
        <w:rPr>
          <w:bCs/>
          <w:b/>
        </w:rPr>
        <w:t xml:space="preserve">Phase 1 — Pre-Interconnection.</w:t>
      </w:r>
      <w:r>
        <w:t xml:space="preserve"> Option B is the only available path. The facility cannot offer DR because it does not yet exist on the grid. But flexible interconnection gets it online years faster. The “payment” is the NPV of accelerated operations, which the paper estimates at $23.1 billion for a 1 GW facility over three years of queue acceleration — dwarfing any capacity payment.</w:t>
      </w:r>
    </w:p>
    <w:p>
      <w:pPr>
        <w:pStyle w:val="BodyText"/>
      </w:pPr>
      <w:r>
        <w:rPr>
          <w:bCs/>
          <w:b/>
        </w:rPr>
        <w:t xml:space="preserve">Phase 2 — Post-Interconnection.</w:t>
      </w:r>
      <w:r>
        <w:t xml:space="preserve"> The facility now has a choice: remain on flexible interconnection (no capacity payment, but flexibility is already reflected as reduced demand), or convert to firm service and offer DR into the BRA (collect capacity revenue, but full load now increases the Reliability Requirement). The economically rational choice depends on whether capacity payments exceed the value of the demand-side accounting treatment. Given that the interconnection NPV advantage has already been captured in Phase 1, the Phase 2 decision is purely about annual revenue versus operational simplicity.</w:t>
      </w:r>
    </w:p>
    <w:bookmarkEnd w:id="48"/>
    <w:bookmarkStart w:id="49" w:name="the-double-counting-constraint"/>
    <w:p>
      <w:pPr>
        <w:pStyle w:val="Heading3"/>
      </w:pPr>
      <w:r>
        <w:t xml:space="preserve">5.4 The Double-Counting Constraint</w:t>
      </w:r>
    </w:p>
    <w:p>
      <w:pPr>
        <w:pStyle w:val="FirstParagraph"/>
      </w:pPr>
      <w:r>
        <w:t xml:space="preserve">A given MW of flexibility can only be counted once. If the interconnection agreement already commits ~235 MW of flexibility (and PJM’s load forecast reflects ~265 MW firm for a 500 MW facility), the same 235 MW cannot also be offered as DR into the BRA. That would count the same flexibility twice — once as reduced demand, once as added supply. To participate in the BRA, the facility would need to convert to full firm service (putting 500 MW back into the load forecast) and then offer DR on the full flexibility.</w:t>
      </w:r>
    </w:p>
    <w:p>
      <w:r>
        <w:pict>
          <v:rect style="width:0;height:1.5pt" o:hralign="center" o:hrstd="t" o:hr="t"/>
        </w:pict>
      </w:r>
    </w:p>
    <w:bookmarkEnd w:id="49"/>
    <w:bookmarkEnd w:id="50"/>
    <w:bookmarkStart w:id="52" w:name="non-firm-service-scenarios"/>
    <w:p>
      <w:pPr>
        <w:pStyle w:val="Heading2"/>
      </w:pPr>
      <w:r>
        <w:t xml:space="preserve">6. Non-Firm Service Scenarios</w:t>
      </w:r>
    </w:p>
    <w:p>
      <w:pPr>
        <w:pStyle w:val="FirstParagraph"/>
      </w:pPr>
      <w:r>
        <w:t xml:space="preserve">PJM does not currently have a formal connect-and-manage framework for load. The following scenarios are analytical constructions based on existing PJM tariff provisions and the ERCOT precedent, intended to illustrate the design space any implementation would need to address.</w:t>
      </w:r>
      <w:r>
        <w:rPr>
          <w:rStyle w:val="FootnoteReference"/>
        </w:rPr>
        <w:footnoteReference w:id="51"/>
      </w:r>
    </w:p>
    <w:p>
      <w:pPr>
        <w:pStyle w:val="BodyText"/>
      </w:pPr>
      <w:r>
        <w:t xml:space="preserve">All scenarios assume a 500 MW inference-dominant facility with a conditional Monte Carlo mean commitment depth of approximately 47% (single-facility scale, NE paper §5).</w:t>
      </w:r>
    </w:p>
    <w:p>
      <w:pPr>
        <w:pStyle w:val="BodyText"/>
      </w:pPr>
      <w:r>
        <w:rPr>
          <w:bCs/>
          <w:b/>
        </w:rPr>
        <w:t xml:space="preserve">Scenario 1: Non-firm, no BRA participation.</w:t>
      </w:r>
      <w:r>
        <w:t xml:space="preserve"> The facility operates at 500 MW nameplate with ~235 MW interruptible. The load forecast shows ~265 MW. No capacity payment. The value was captured through accelerated interconnection. This is the cleanest implementation with no accounting complications.</w:t>
      </w:r>
    </w:p>
    <w:p>
      <w:pPr>
        <w:pStyle w:val="BodyText"/>
      </w:pPr>
      <w:r>
        <w:rPr>
          <w:bCs/>
          <w:b/>
        </w:rPr>
        <w:t xml:space="preserve">Scenario 2: Non-firm, incremental BRA participation.</w:t>
      </w:r>
      <w:r>
        <w:t xml:space="preserve"> If the facility can curtail more than the ~235 MW committed in its interconnection agreement — through progressive BTM buildout, improved DVFS capability, or expanded spatial migration capacity — the incremental flexibility above the interconnection commitment is genuinely additional. In principle, this increment could be offered as DR without double-counting. However, verifying additionality would require new PJM measurement and verification mechanisms.</w:t>
      </w:r>
    </w:p>
    <w:p>
      <w:pPr>
        <w:pStyle w:val="BodyText"/>
      </w:pPr>
      <w:r>
        <w:rPr>
          <w:bCs/>
          <w:b/>
        </w:rPr>
        <w:t xml:space="preserve">Scenario 3: Convert to firm, full DR.</w:t>
      </w:r>
      <w:r>
        <w:t xml:space="preserve"> Once transmission upgrades are built (via PJM’s RTEP process or self-funded), the facility renegotiates to full firm service. The full 500 MW enters the load forecast and the Reliability Requirement increases. But the facility can now offer its full flexibility as DR and collect capacity revenue. The interconnection NPV advantage from Phase 1 has already been captured; the non-firm agreement persists until the underlying transmission constraint is resolved.</w:t>
      </w:r>
    </w:p>
    <w:p>
      <w:pPr>
        <w:pStyle w:val="BodyText"/>
      </w:pPr>
      <w:r>
        <w:rPr>
          <w:bCs/>
          <w:b/>
        </w:rPr>
        <w:t xml:space="preserve">Scenario 4: The prohibited case.</w:t>
      </w:r>
      <w:r>
        <w:t xml:space="preserve"> Convert to firm service without needing the upgrades because the facility intends to curtail anyway. This would game the system: the facility inflates the Reliability Requirement by ~235 MW (converting from 265 to 500 firm) and then “solves” the inflated requirement by bidding 235 MW of DR. Net grid impact: zero. But the facility would collect capacity payments for flexibility it was already providing. Any implementation must include safeguards against this outcome.</w:t>
      </w:r>
    </w:p>
    <w:p>
      <w:r>
        <w:pict>
          <v:rect style="width:0;height:1.5pt" o:hralign="center" o:hrstd="t" o:hr="t"/>
        </w:pict>
      </w:r>
    </w:p>
    <w:bookmarkEnd w:id="52"/>
    <w:bookmarkStart w:id="54" w:name="impact-on-the-reliability-requirement"/>
    <w:p>
      <w:pPr>
        <w:pStyle w:val="Heading2"/>
      </w:pPr>
      <w:r>
        <w:t xml:space="preserve">7. Impact on the Reliability Requirement</w:t>
      </w:r>
    </w:p>
    <w:p>
      <w:pPr>
        <w:pStyle w:val="FirstParagraph"/>
      </w:pPr>
      <w:r>
        <w:t xml:space="preserve">PJM’s 2025 ELCC/RRS study projects a UCAP surplus of only 1,059 MW for 2027/2028, deteriorating to a deficit of 26,734 MW by 2035/2036.</w:t>
      </w:r>
      <w:r>
        <w:rPr>
          <w:rStyle w:val="FootnoteReference"/>
        </w:rPr>
        <w:footnoteReference w:id="53"/>
      </w:r>
      <w:r>
        <w:t xml:space="preserve"> These projections assume data center load at full nameplate draw, 24/7.</w:t>
      </w:r>
    </w:p>
    <w:p>
      <w:pPr>
        <w:pStyle w:val="BodyText"/>
      </w:pPr>
      <w:r>
        <w:rPr>
          <w:bCs/>
          <w:b/>
        </w:rPr>
        <w:t xml:space="preserve">Under Option A (DR into BRA),</w:t>
      </w:r>
      <w:r>
        <w:t xml:space="preserve"> the deficit does not improve on the demand side. Full data center load remains in the forecast. DR adds supply, but the requirement stays high.</w:t>
      </w:r>
    </w:p>
    <w:p>
      <w:pPr>
        <w:pStyle w:val="BodyText"/>
      </w:pPr>
      <w:r>
        <w:rPr>
          <w:bCs/>
          <w:b/>
        </w:rPr>
        <w:t xml:space="preserve">Under Option B (flexible interconnection),</w:t>
      </w:r>
      <w:r>
        <w:t xml:space="preserve"> the deficit improves on the demand side. With the DVFS + spatial portfolio enabling material commitment depth for inference-dominant facilities, aggregate data center fleets can remove non-firm load directly from the Reliability Requirement before any supply-side DR enters the picture. Because each MW of load removed from the planning process avoids building (1 + IRM) MW of installed generation capacity, the total avoided installed capacity is amplified by the reserve margin. This represents a fundamentally different accounting outcome — avoidance or delay of gas turbine buildout — with identical physical grid behavior.</w:t>
      </w:r>
    </w:p>
    <w:p>
      <w:r>
        <w:pict>
          <v:rect style="width:0;height:1.5pt" o:hralign="center" o:hrstd="t" o:hr="t"/>
        </w:pict>
      </w:r>
    </w:p>
    <w:bookmarkEnd w:id="54"/>
    <w:bookmarkStart w:id="55" w:name="long-term-trajectory"/>
    <w:p>
      <w:pPr>
        <w:pStyle w:val="Heading2"/>
      </w:pPr>
      <w:r>
        <w:t xml:space="preserve">8. Long-Term Trajectory</w:t>
      </w:r>
    </w:p>
    <w:p>
      <w:pPr>
        <w:pStyle w:val="FirstParagraph"/>
      </w:pPr>
      <w:r>
        <w:t xml:space="preserve">The sequential framework describes the near-to-medium term. A longer arc exists.</w:t>
      </w:r>
    </w:p>
    <w:p>
      <w:pPr>
        <w:pStyle w:val="BodyText"/>
      </w:pPr>
      <w:r>
        <w:t xml:space="preserve">If small modular reactors or other behind-the-meter generation becomes viable at data center scale, the facility’s relationship with the grid inverts. A facility with BTM generation sufficient to cover its own load could theoretically nominate its entire load as DR, then sell surplus generation in real time. At that point the facility is no longer demand response — it is a dispatchable supply resource with a captive load that can be modulated in either direction: consume less from the grid, or inject surplus into it. This is a fundamentally different resource class from anything PJM currently categorizes at scale.</w:t>
      </w:r>
    </w:p>
    <w:p>
      <w:pPr>
        <w:pStyle w:val="BodyText"/>
      </w:pPr>
      <w:r>
        <w:t xml:space="preserve">The economics could close. Capacity payments and energy market revenue from surplus sales offset BTM generation CapEx. The facility gets power assurance (which hyperscalers want for reliability and operational independence) and revenue for the excess. At sufficient scale, a network of such facilities connected via private fiber constitutes a virtually connected power system optimized for data center operations, using the public grid opportunistically.</w:t>
      </w:r>
    </w:p>
    <w:p>
      <w:pPr>
        <w:pStyle w:val="BodyText"/>
      </w:pPr>
      <w:r>
        <w:t xml:space="preserve">This trajectory would create competitive pressure on utilities. Today, utilities have captive customer bases and guaranteed rates of return on infrastructure investment, with limited incentive to accelerate interconnection or modernize grid operations. If hyperscalers demonstrate a credible path to energy independence via BTM generation, private campus networks, and geographic load optimization, the utility value proposition narrows. The utility either accelerates interconnection and service quality to retain these customers, or watches them build around the grid entirely. That market discipline mechanism does not exist today; it emerges from the flexibility capability the paper describes.</w:t>
      </w:r>
    </w:p>
    <w:p>
      <w:r>
        <w:pict>
          <v:rect style="width:0;height:1.5pt" o:hralign="center" o:hrstd="t" o:hr="t"/>
        </w:pict>
      </w:r>
    </w:p>
    <w:bookmarkEnd w:id="55"/>
    <w:bookmarkStart w:id="56" w:name="references"/>
    <w:p>
      <w:pPr>
        <w:pStyle w:val="Heading2"/>
      </w:pPr>
      <w:r>
        <w:t xml:space="preserve">References</w:t>
      </w:r>
    </w:p>
    <w:p>
      <w:pPr>
        <w:numPr>
          <w:ilvl w:val="0"/>
          <w:numId w:val="1002"/>
        </w:numPr>
      </w:pPr>
      <w:r>
        <w:t xml:space="preserve">E3 Illinois RA Study: Illinois Power Agency, Illinois Commerce Commission, and Illinois Environmental Protection Agency. </w:t>
      </w:r>
      <w:r>
        <w:rPr>
          <w:iCs/>
          <w:i/>
        </w:rPr>
        <w:t xml:space="preserve">2025 Resource Adequacy Study.</w:t>
      </w:r>
      <w:r>
        <w:t xml:space="preserve"> Prepared by Energy and Environmental Economics, Inc. (E3). December 15, 2025. https://ipa.illinois.gov/content/dam/soi/en/web/ipa/documents/20251215-illinois-ra-study-2025-final.pdf.</w:t>
      </w:r>
    </w:p>
    <w:p>
      <w:pPr>
        <w:numPr>
          <w:ilvl w:val="0"/>
          <w:numId w:val="1002"/>
        </w:numPr>
      </w:pPr>
      <w:r>
        <w:t xml:space="preserve">Colangelo, Philip, et al. “AI Data Centres as Grid-Interactive Assets.” </w:t>
      </w:r>
      <w:r>
        <w:rPr>
          <w:iCs/>
          <w:i/>
        </w:rPr>
        <w:t xml:space="preserve">Nature Energy</w:t>
      </w:r>
      <w:r>
        <w:t xml:space="preserve"> 11, 254–261 (2026). https://doi.org/10.1038/s41560-025-01927-1.</w:t>
      </w:r>
    </w:p>
    <w:p>
      <w:pPr>
        <w:numPr>
          <w:ilvl w:val="0"/>
          <w:numId w:val="1002"/>
        </w:numPr>
      </w:pPr>
      <w:r>
        <w:t xml:space="preserve">Howland, Ethan. “Can ERCOT Show the Way to Faster and Cheaper Grid Interconnection?” </w:t>
      </w:r>
      <w:r>
        <w:rPr>
          <w:iCs/>
          <w:i/>
        </w:rPr>
        <w:t xml:space="preserve">Utility Dive,</w:t>
      </w:r>
      <w:r>
        <w:t xml:space="preserve"> November 27, 2023. https://www.utilitydive.com/news/connect-and-manage-grid-interconnection-ferc-ercot-transmission-planning/698949/.</w:t>
      </w:r>
    </w:p>
    <w:p>
      <w:pPr>
        <w:numPr>
          <w:ilvl w:val="0"/>
          <w:numId w:val="1002"/>
        </w:numPr>
      </w:pPr>
      <w:r>
        <w:t xml:space="preserve">PJM Interconnection. </w:t>
      </w:r>
      <w:r>
        <w:rPr>
          <w:iCs/>
          <w:i/>
        </w:rPr>
        <w:t xml:space="preserve">2027/2028 Base Residual Auction Report.</w:t>
      </w:r>
      <w:r>
        <w:t xml:space="preserve"> Valley Forge, PA: PJM Interconnection, December 17, 2025. https://www.pjm.com/-/media/markets-ops/rpm/rpm-auction-info/2027-2028/2027-2028-bra-report.pdf.</w:t>
      </w:r>
    </w:p>
    <w:p>
      <w:pPr>
        <w:numPr>
          <w:ilvl w:val="0"/>
          <w:numId w:val="1002"/>
        </w:numPr>
      </w:pPr>
      <w:r>
        <w:t>PJM Interconnection. “PJM Auction Procures 134,479 MW of Generation Resources.” News release, December 17, 2025. https://insidelines.pjm.com/pjm-auction-procures-134479-mw-of-generation-resources/.</w:t>
      </w:r>
    </w:p>
    <w:p>
      <w:pPr>
        <w:numPr>
          <w:ilvl w:val="0"/>
          <w:numId w:val="1002"/>
        </w:numPr>
      </w:pPr>
      <w:r>
        <w:t xml:space="preserve">PJM Interconnection. </w:t>
      </w:r>
      <w:r>
        <w:rPr>
          <w:iCs/>
          <w:i/>
        </w:rPr>
        <w:t xml:space="preserve">2025 PJM Effective Load Carrying Capability and Reserve Requirement Study.</w:t>
      </w:r>
      <w:r>
        <w:t xml:space="preserve"> Valley Forge, PA: PJM Interconnection, 2025. https://www.pjm.com/-/media/planning/res-adeq/elcc/2025-pjm-elcc-rrs.pdf.</w:t>
      </w:r>
    </w:p>
    <w:p>
      <w:pPr>
        <w:numPr>
          <w:ilvl w:val="0"/>
          <w:numId w:val="1002"/>
        </w:numPr>
      </w:pPr>
      <w:r>
        <w:t xml:space="preserve">PJM Interconnection. </w:t>
      </w:r>
      <w:r>
        <w:rPr>
          <w:iCs/>
          <w:i/>
        </w:rPr>
        <w:t xml:space="preserve">PJM Manual 13: Emergency Operations.</w:t>
      </w:r>
      <w:r>
        <w:t xml:space="preserve"> Rev. 86. Valley Forge, PA: PJM Interconnection, 2025.</w:t>
      </w:r>
    </w:p>
    <w:p>
      <w:pPr>
        <w:numPr>
          <w:ilvl w:val="0"/>
          <w:numId w:val="1002"/>
        </w:numPr>
      </w:pPr>
      <w:r>
        <w:t xml:space="preserve">PJM Interconnection. </w:t>
      </w:r>
      <w:r>
        <w:rPr>
          <w:iCs/>
          <w:i/>
        </w:rPr>
        <w:t xml:space="preserve">PJM Manual 18: PJM Capacity Market.</w:t>
      </w:r>
      <w:r>
        <w:t xml:space="preserve"> Rev. 48. Valley Forge, PA: PJM Interconnection, 2025.</w:t>
      </w:r>
    </w:p>
    <w:p>
      <w:pPr>
        <w:numPr>
          <w:ilvl w:val="0"/>
          <w:numId w:val="1002"/>
        </w:numPr>
      </w:pPr>
      <w:r>
        <w:t xml:space="preserve">PJM Interconnection. </w:t>
      </w:r>
      <w:r>
        <w:rPr>
          <w:iCs/>
          <w:i/>
        </w:rPr>
        <w:t xml:space="preserve">PJM Manual 20A: Resource Adequacy Analysis.</w:t>
      </w:r>
      <w:r>
        <w:t xml:space="preserve"> Rev. 2. Valley Forge, PA: PJM Interconnection, 2025. https://www.pjm.com/-/media/documents/manuals/m20a.ashx.</w:t>
      </w:r>
    </w:p>
    <w:p>
      <w:pPr>
        <w:numPr>
          <w:ilvl w:val="0"/>
          <w:numId w:val="1002"/>
        </w:numPr>
      </w:pPr>
      <w:r>
        <w:t xml:space="preserve">PJM Interconnection. </w:t>
      </w:r>
      <w:r>
        <w:rPr>
          <w:iCs/>
          <w:i/>
        </w:rPr>
        <w:t xml:space="preserve">Winter Storm Elliott Event Analysis and Recommendation Report.</w:t>
      </w:r>
      <w:r>
        <w:t xml:space="preserve"> Valley Forge, PA: PJM Interconnection, July 2023. https://www.pjm.com/markets-and-operations/winter-storm-elliott.</w:t>
      </w:r>
    </w:p>
    <w:p>
      <w:r>
        <w:pict>
          <v:rect style="width:0;height:1.5pt" o:hralign="center" o:hrstd="t" o:hr="t"/>
        </w:pict>
      </w:r>
    </w:p>
    <w:bookmarkEnd w:id="56"/>
    <w:bookmarkEnd w:id="57"/>
    <w:sectPr w:rsidR="00877A4C">
      <w:pgSz w:h="15840" w:w="12240"/>
      <w:pgMar w:bottom="1440" w:footer="720" w:gutter="0" w:header="720" w:left="1440" w:right="144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21">
    <w:p>
      <w:pPr>
        <w:pStyle w:val="FootnoteText"/>
      </w:pPr>
      <w:r>
        <w:rPr>
          <w:rStyle w:val="FootnoteReference"/>
        </w:rPr>
        <w:footnoteRef/>
      </w:r>
      <w:r>
        <w:t xml:space="preserve"> </w:t>
      </w:r>
      <w:r>
        <w:t xml:space="preserve">PJM Interconnection,</w:t>
      </w:r>
      <w:r>
        <w:t xml:space="preserve"> </w:t>
      </w:r>
      <w:r>
        <w:t xml:space="preserve">“</w:t>
      </w:r>
      <w:r>
        <w:t xml:space="preserve">PJM Auction Procures 134,479 MW of Generation Resources,</w:t>
      </w:r>
      <w:r>
        <w:t xml:space="preserve">”</w:t>
      </w:r>
      <w:r>
        <w:t xml:space="preserve"> </w:t>
      </w:r>
      <w:r>
        <w:t xml:space="preserve">news release, December 17, 2025.</w:t>
      </w:r>
    </w:p>
  </w:footnote>
  <w:footnote w:id="22">
    <w:p>
      <w:pPr>
        <w:pStyle w:val="FootnoteText"/>
      </w:pPr>
      <w:r>
        <w:rPr>
          <w:rStyle w:val="FootnoteReference"/>
        </w:rPr>
        <w:footnoteRef/>
      </w:r>
      <w:r>
        <w:t xml:space="preserve"> </w:t>
      </w:r>
      <w:r>
        <w:t xml:space="preserve">The 2025/2026 BRA cleared at $269.92/MW-day (the effective cap under pre-reform VRR curve parameters); the 2026/2027 BRA cleared at $329.17/MW-day; the 2027/2028 BRA cleared at $333.44/MW-day. See PJM Interconnection,</w:t>
      </w:r>
      <w:r>
        <w:t xml:space="preserve"> </w:t>
      </w:r>
      <w:r>
        <w:rPr>
          <w:iCs/>
          <w:i/>
        </w:rPr>
        <w:t xml:space="preserve">2027/2028 Base Residual Auction Report,</w:t>
      </w:r>
      <w:r>
        <w:t xml:space="preserve"> </w:t>
      </w:r>
      <w:r>
        <w:t xml:space="preserve">December 17, 2025.</w:t>
      </w:r>
    </w:p>
  </w:footnote>
  <w:footnote w:id="23">
    <w:p>
      <w:pPr>
        <w:pStyle w:val="FootnoteText"/>
      </w:pPr>
      <w:r>
        <w:rPr>
          <w:rStyle w:val="FootnoteReference"/>
        </w:rPr>
        <w:footnoteRef/>
      </w:r>
      <w:r>
        <w:t xml:space="preserve"> </w:t>
      </w:r>
      <w:r>
        <w:t xml:space="preserve">The cleared supply times the clearing price totals $16.4 billion. PJM Interconnection,</w:t>
      </w:r>
      <w:r>
        <w:t xml:space="preserve"> </w:t>
      </w:r>
      <w:r>
        <w:rPr>
          <w:iCs/>
          <w:i/>
        </w:rPr>
        <w:t xml:space="preserve">2027/2028 Base Residual Auction Report,</w:t>
      </w:r>
      <w:r>
        <w:t xml:space="preserve"> </w:t>
      </w:r>
      <w:r>
        <w:t xml:space="preserve">December 17, 2025. The $26 billion uncapped counterfactual is an industry estimate derived from the 6,623 MW shortfall relative to the reliability requirement in the same report; it should be characterized as approximate.</w:t>
      </w:r>
    </w:p>
  </w:footnote>
  <w:footnote w:id="24">
    <w:p>
      <w:pPr>
        <w:pStyle w:val="FootnoteText"/>
      </w:pPr>
      <w:r>
        <w:rPr>
          <w:rStyle w:val="FootnoteReference"/>
        </w:rPr>
        <w:footnoteRef/>
      </w:r>
      <w:r>
        <w:t xml:space="preserve"> </w:t>
      </w:r>
      <w:r>
        <w:t xml:space="preserve">PJM Interconnection,</w:t>
      </w:r>
      <w:r>
        <w:t xml:space="preserve"> </w:t>
      </w:r>
      <w:r>
        <w:t xml:space="preserve">“</w:t>
      </w:r>
      <w:r>
        <w:t xml:space="preserve">PJM Auction Procures 134,479 MW,</w:t>
      </w:r>
      <w:r>
        <w:t xml:space="preserve">”</w:t>
      </w:r>
      <w:r>
        <w:t xml:space="preserve"> </w:t>
      </w:r>
      <w:r>
        <w:t xml:space="preserve">December 17, 2025. DR rose from 5,531 MW in the 2026/2027 auction to 7,299 MW, driven by increased ELCC ratings.</w:t>
      </w:r>
    </w:p>
  </w:footnote>
  <w:footnote w:id="26">
    <w:p>
      <w:pPr>
        <w:pStyle w:val="FootnoteText"/>
      </w:pPr>
      <w:r>
        <w:rPr>
          <w:rStyle w:val="FootnoteReference"/>
        </w:rPr>
        <w:footnoteRef/>
      </w:r>
      <w:r>
        <w:t xml:space="preserve"> </w:t>
      </w:r>
      <w:r>
        <w:t xml:space="preserve">PJM Interconnection,</w:t>
      </w:r>
      <w:r>
        <w:t xml:space="preserve"> </w:t>
      </w:r>
      <w:r>
        <w:rPr>
          <w:iCs/>
          <w:i/>
        </w:rPr>
        <w:t xml:space="preserve">PJM Manual 18: PJM Capacity Market,</w:t>
      </w:r>
      <w:r>
        <w:t xml:space="preserve"> </w:t>
      </w:r>
      <w:r>
        <w:t xml:space="preserve">rev. 48, Section 11: Non-Performance Assessment. The Non-Performance Charge Rate is derived from Net CONE × the number of Performance Assessment Hours, resulting in potential charges that substantially exceed annual capacity revenues.</w:t>
      </w:r>
    </w:p>
  </w:footnote>
  <w:footnote w:id="28">
    <w:p>
      <w:pPr>
        <w:pStyle w:val="FootnoteText"/>
      </w:pPr>
      <w:r>
        <w:rPr>
          <w:rStyle w:val="FootnoteReference"/>
        </w:rPr>
        <w:footnoteRef/>
      </w:r>
      <w:r>
        <w:t xml:space="preserve"> </w:t>
      </w:r>
      <w:r>
        <w:t xml:space="preserve">PJM Interconnection,</w:t>
      </w:r>
      <w:r>
        <w:t xml:space="preserve"> </w:t>
      </w:r>
      <w:r>
        <w:rPr>
          <w:iCs/>
          <w:i/>
        </w:rPr>
        <w:t xml:space="preserve">PJM Manual 13: Emergency Operations,</w:t>
      </w:r>
      <w:r>
        <w:t xml:space="preserve"> </w:t>
      </w:r>
      <w:r>
        <w:t xml:space="preserve">rev. 86; PJM Interconnection,</w:t>
      </w:r>
      <w:r>
        <w:t xml:space="preserve"> </w:t>
      </w:r>
      <w:r>
        <w:rPr>
          <w:iCs/>
          <w:i/>
        </w:rPr>
        <w:t xml:space="preserve">State of the Market Report</w:t>
      </w:r>
      <w:r>
        <w:t xml:space="preserve"> </w:t>
      </w:r>
      <w:r>
        <w:t xml:space="preserve">(Monitoring Analytics, various years). See also the stress decorrelation appendix, which derives empirical dispatch frequency from four years of pricing data.</w:t>
      </w:r>
    </w:p>
  </w:footnote>
  <w:footnote w:id="29">
    <w:p>
      <w:pPr>
        <w:pStyle w:val="FootnoteText"/>
      </w:pPr>
      <w:r>
        <w:rPr>
          <w:rStyle w:val="FootnoteReference"/>
        </w:rPr>
        <w:footnoteRef/>
      </w:r>
      <w:r>
        <w:t xml:space="preserve"> </w:t>
      </w:r>
      <w:r>
        <w:t xml:space="preserve">PJM Interconnection,</w:t>
      </w:r>
      <w:r>
        <w:t xml:space="preserve"> </w:t>
      </w:r>
      <w:r>
        <w:rPr>
          <w:iCs/>
          <w:i/>
        </w:rPr>
        <w:t xml:space="preserve">Winter Storm Elliott Event Analysis and Recommendation Report,</w:t>
      </w:r>
      <w:r>
        <w:t xml:space="preserve"> </w:t>
      </w:r>
      <w:r>
        <w:t xml:space="preserve">July 2023. The storm affected the PJM region December 23–25, 2022, with emergency procedures spanning approximately 17 hours.</w:t>
      </w:r>
    </w:p>
  </w:footnote>
  <w:footnote w:id="31">
    <w:p>
      <w:pPr>
        <w:pStyle w:val="FootnoteText"/>
      </w:pPr>
      <w:r>
        <w:rPr>
          <w:rStyle w:val="FootnoteReference"/>
        </w:rPr>
        <w:footnoteRef/>
      </w:r>
      <w:r>
        <w:t xml:space="preserve"> </w:t>
      </w:r>
      <w:r>
        <w:t xml:space="preserve">PJM Interconnection,</w:t>
      </w:r>
      <w:r>
        <w:t xml:space="preserve"> </w:t>
      </w:r>
      <w:r>
        <w:rPr>
          <w:iCs/>
          <w:i/>
        </w:rPr>
        <w:t xml:space="preserve">PJM Manual 13: Emergency Operations,</w:t>
      </w:r>
      <w:r>
        <w:t xml:space="preserve"> </w:t>
      </w:r>
      <w:r>
        <w:t xml:space="preserve">rev. 86, Section 2: Emergency Procedures.</w:t>
      </w:r>
    </w:p>
  </w:footnote>
  <w:footnote w:id="34">
    <w:p>
      <w:pPr>
        <w:pStyle w:val="FootnoteText"/>
      </w:pPr>
      <w:r>
        <w:rPr>
          <w:rStyle w:val="FootnoteReference"/>
        </w:rPr>
        <w:footnoteRef/>
      </w:r>
      <w:r>
        <w:t xml:space="preserve"> </w:t>
      </w:r>
      <w:r>
        <w:t xml:space="preserve">PJM Interconnection,</w:t>
      </w:r>
      <w:r>
        <w:t xml:space="preserve"> </w:t>
      </w:r>
      <w:r>
        <w:rPr>
          <w:iCs/>
          <w:i/>
        </w:rPr>
        <w:t xml:space="preserve">2025 PJM Effective Load Carrying Capability and Reserve Requirement Study,</w:t>
      </w:r>
      <w:r>
        <w:t xml:space="preserve"> </w:t>
      </w:r>
      <w:r>
        <w:t xml:space="preserve">2025. See dispatch order assumptions in ELCC methodology documentation.</w:t>
      </w:r>
    </w:p>
  </w:footnote>
  <w:footnote w:id="36">
    <w:p>
      <w:pPr>
        <w:pStyle w:val="FootnoteText"/>
      </w:pPr>
      <w:r>
        <w:rPr>
          <w:rStyle w:val="FootnoteReference"/>
        </w:rPr>
        <w:footnoteRef/>
      </w:r>
      <w:r>
        <w:t xml:space="preserve"> </w:t>
      </w:r>
      <w:r>
        <w:t xml:space="preserve">PJM Interconnection,</w:t>
      </w:r>
      <w:r>
        <w:t xml:space="preserve"> </w:t>
      </w:r>
      <w:r>
        <w:rPr>
          <w:iCs/>
          <w:i/>
        </w:rPr>
        <w:t xml:space="preserve">PJM Manual 20A: Resource Adequacy Analysis,</w:t>
      </w:r>
      <w:r>
        <w:t xml:space="preserve"> </w:t>
      </w:r>
      <w:r>
        <w:t xml:space="preserve">rev. 2.</w:t>
      </w:r>
    </w:p>
  </w:footnote>
  <w:footnote w:id="38">
    <w:p>
      <w:pPr>
        <w:pStyle w:val="FootnoteText"/>
      </w:pPr>
      <w:r>
        <w:rPr>
          <w:rStyle w:val="FootnoteReference"/>
        </w:rPr>
        <w:footnoteRef/>
      </w:r>
      <w:r>
        <w:t xml:space="preserve"> </w:t>
      </w:r>
      <w:r>
        <w:t xml:space="preserve">PJM Interconnection,</w:t>
      </w:r>
      <w:r>
        <w:t xml:space="preserve"> </w:t>
      </w:r>
      <w:r>
        <w:rPr>
          <w:iCs/>
          <w:i/>
        </w:rPr>
        <w:t xml:space="preserve">2025 PJM ELCC/RRS Study,</w:t>
      </w:r>
      <w:r>
        <w:t xml:space="preserve"> </w:t>
      </w:r>
      <w:r>
        <w:t xml:space="preserve">2025. See also American Public Power Association,</w:t>
      </w:r>
      <w:r>
        <w:t xml:space="preserve"> </w:t>
      </w:r>
      <w:r>
        <w:t xml:space="preserve">“</w:t>
      </w:r>
      <w:r>
        <w:t xml:space="preserve">PJM Details Auction Procurement Results,</w:t>
      </w:r>
      <w:r>
        <w:t xml:space="preserve">”</w:t>
      </w:r>
      <w:r>
        <w:t xml:space="preserve"> </w:t>
      </w:r>
      <w:r>
        <w:t xml:space="preserve">December 17, 2025.</w:t>
      </w:r>
    </w:p>
  </w:footnote>
  <w:footnote w:id="40">
    <w:p>
      <w:pPr>
        <w:pStyle w:val="FootnoteText"/>
      </w:pPr>
      <w:r>
        <w:rPr>
          <w:rStyle w:val="FootnoteReference"/>
        </w:rPr>
        <w:footnoteRef/>
      </w:r>
      <w:r>
        <w:t xml:space="preserve"> </w:t>
      </w:r>
      <w:r>
        <w:t xml:space="preserve">PJM Interconnection,</w:t>
      </w:r>
      <w:r>
        <w:t xml:space="preserve"> </w:t>
      </w:r>
      <w:r>
        <w:rPr>
          <w:iCs/>
          <w:i/>
        </w:rPr>
        <w:t xml:space="preserve">2025 PJM ELCC/RRS Study,</w:t>
      </w:r>
      <w:r>
        <w:t xml:space="preserve"> </w:t>
      </w:r>
      <w:r>
        <w:t xml:space="preserve">2025. Storage resources are modeled with two-part dispatch and state-of-charge tracking; DR is modeled without an energy constraint.</w:t>
      </w:r>
    </w:p>
  </w:footnote>
  <w:footnote w:id="45">
    <w:p>
      <w:pPr>
        <w:pStyle w:val="FootnoteText"/>
      </w:pPr>
      <w:r>
        <w:rPr>
          <w:rStyle w:val="FootnoteReference"/>
        </w:rPr>
        <w:footnoteRef/>
      </w:r>
      <w:r>
        <w:t xml:space="preserve"> </w:t>
      </w:r>
      <w:r>
        <w:t xml:space="preserve">Based on the paper’s conditional Monte Carlo single-facility mean commitment depth of 46.9% (NE paper §5, Table 2). Curtailable load = 500 MW × 0.469 ≈ 235 MW; firm service level ≈ 265 MW.</w:t>
      </w:r>
    </w:p>
  </w:footnote>
  <w:footnote w:id="46">
    <w:p>
      <w:pPr>
        <w:pStyle w:val="FootnoteText"/>
      </w:pPr>
      <w:r>
        <w:rPr>
          <w:rStyle w:val="FootnoteReference"/>
        </w:rPr>
        <w:footnoteRef/>
      </w:r>
      <w:r>
        <w:t xml:space="preserve"> </w:t>
      </w:r>
      <w:r>
        <w:t xml:space="preserve">Ethan Howland,</w:t>
      </w:r>
      <w:r>
        <w:t xml:space="preserve"> </w:t>
      </w:r>
      <w:r>
        <w:t xml:space="preserve">“</w:t>
      </w:r>
      <w:r>
        <w:t xml:space="preserve">Can ERCOT Show the Way to Faster and Cheaper Grid Interconnection?,</w:t>
      </w:r>
      <w:r>
        <w:t xml:space="preserve">”</w:t>
      </w:r>
      <w:r>
        <w:t xml:space="preserve"> </w:t>
      </w:r>
      <w:r>
        <w:rPr>
          <w:iCs/>
          <w:i/>
        </w:rPr>
        <w:t xml:space="preserve">Utility Dive,</w:t>
      </w:r>
      <w:r>
        <w:t xml:space="preserve"> </w:t>
      </w:r>
      <w:r>
        <w:t xml:space="preserve">November 27, 2023. Data from S&amp;P Global. ERCOT interconnected 14.2 GW in 2021–2022, compared to 5.6 GW for PJM over the same period.</w:t>
      </w:r>
    </w:p>
  </w:footnote>
  <w:footnote w:id="51">
    <w:p>
      <w:pPr>
        <w:pStyle w:val="FootnoteText"/>
      </w:pPr>
      <w:r>
        <w:rPr>
          <w:rStyle w:val="FootnoteReference"/>
        </w:rPr>
        <w:footnoteRef/>
      </w:r>
      <w:r>
        <w:t xml:space="preserve"> </w:t>
      </w:r>
      <w:r>
        <w:t xml:space="preserve">PJM does not currently have a formal connect-and-manage framework for load. See PJM Interconnection,</w:t>
      </w:r>
      <w:r>
        <w:t xml:space="preserve"> </w:t>
      </w:r>
      <w:r>
        <w:t xml:space="preserve">“</w:t>
      </w:r>
      <w:r>
        <w:t xml:space="preserve">Large Load Additions: Stakeholder Feedback,</w:t>
      </w:r>
      <w:r>
        <w:t xml:space="preserve">”</w:t>
      </w:r>
      <w:r>
        <w:t xml:space="preserve"> </w:t>
      </w:r>
      <w:r>
        <w:t xml:space="preserve">September 15, 2025; White &amp; Case LLP,</w:t>
      </w:r>
      <w:r>
        <w:t xml:space="preserve"> </w:t>
      </w:r>
      <w:r>
        <w:t xml:space="preserve">“</w:t>
      </w:r>
      <w:r>
        <w:t xml:space="preserve">Grid Operators Propose Innovative Measures to Manage Electricity Demand from Data Centers,</w:t>
      </w:r>
      <w:r>
        <w:t xml:space="preserve">”</w:t>
      </w:r>
      <w:r>
        <w:t xml:space="preserve"> </w:t>
      </w:r>
      <w:r>
        <w:t xml:space="preserve">2025.</w:t>
      </w:r>
    </w:p>
  </w:footnote>
  <w:footnote w:id="53">
    <w:p>
      <w:pPr>
        <w:pStyle w:val="FootnoteText"/>
      </w:pPr>
      <w:r>
        <w:rPr>
          <w:rStyle w:val="FootnoteReference"/>
        </w:rPr>
        <w:footnoteRef/>
      </w:r>
      <w:r>
        <w:t xml:space="preserve"> </w:t>
      </w:r>
      <w:r>
        <w:t xml:space="preserve">PJM Interconnection,</w:t>
      </w:r>
      <w:r>
        <w:t xml:space="preserve"> </w:t>
      </w:r>
      <w:r>
        <w:rPr>
          <w:iCs/>
          <w:i/>
        </w:rPr>
        <w:t xml:space="preserve">2025 PJM Effective Load Carrying Capability and Reserve Requirement Study,</w:t>
      </w:r>
      <w:r>
        <w:t xml:space="preserve"> </w:t>
      </w:r>
      <w:r>
        <w:t xml:space="preserve">2025. See forward-year projections in Section: Delivery Years 2028/2029 Through 2035/2036.</w:t>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savePreviewPicture/>
  <w:rsids/>
  <w:clrSchemeMapping w:accent1="accent1" w:accent2="accent2" w:accent3="accent3" w:accent4="accent4" w:accent5="accent5" w:accent6="accent6" w:bg1="light1" w:bg2="light2" w:followedHyperlink="followedHyperlink" w:hyperlink="hyperlink" w:t1="dark1" w:t2="dark2"/>
  <w:zoom w:percent="118"/>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m:mathPr>
    <m:mathFont m:val="Cambria Math"/>
    <m:brkBin m:val="before"/>
    <m:brkBinSub m:val="--"/>
    <m:smallFrac m:val="0"/>
    <m:dispDef/>
    <m:lMargin m:val="0"/>
    <m:rMargin m:val="0"/>
    <m:defJc m:val="centerGroup"/>
    <m:wrapIndent m:val="1440"/>
    <m:intLim m:val="subSup"/>
    <m:naryLim m:val="undOvr"/>
  </m:mathPr>
  <w:themeFontLang w:val="en-US"/>
  <w:decimalSymbol w:val="."/>
  <w:listSeparator w:val=","/>
</w:settings>
</file>

<file path=word/styles.xml><?xml version="1.0" encoding="utf-8"?>
<styles xmlns="http://schemas.openxmlformats.org/wordprocessingml/2006/main" xmlns:ns1="http://schemas.openxmlformats.org/markup-compatibility/2006" xmlns:ns2="http://schemas.microsoft.com/office/word/2010/wordml" ns1:Ignorable="w14 w15 w16se w16cid w16 w16cex w16sdtdh w16sdtfl w16du">
  <docDefaults>
    <rPrDefault>
      <rPr>
        <rFonts asciiTheme="minorHAnsi" cstheme="minorBidi" eastAsiaTheme="minorHAnsi" hAnsiTheme="minorHAnsi"/>
        <kern val="2"/>
        <sz val="24"/>
        <szCs val="24"/>
        <lang bidi="ar-SA" eastAsia="en-US" val="en-US"/>
        <ns2:ligatures ns2:val="standardContextual"/>
      </rPr>
    </rPrDefault>
    <pPrDefault>
      <pPr>
        <spacing after="160" line="278" lineRule="auto"/>
      </pPr>
    </pPrDefault>
  </docDefaults>
  <latentStyles count="376" defLockedState="0" defQFormat="0" defSemiHidden="0" defUIPriority="99" defUnhideWhenUsed="0">
    <lsdException name="Normal" qFormat="1" uiPriority="0"/>
    <lsdException name="heading 1" qFormat="1" uiPriority="9"/>
    <lsdException name="heading 2" qFormat="1" semiHidden="1" uiPriority="9" unhideWhenUsed="1"/>
    <lsdException name="heading 3" qFormat="1" semiHidden="1" uiPriority="9" unhideWhenUsed="1"/>
    <lsdException name="heading 4" qFormat="1" semiHidden="1" uiPriority="9" unhideWhenUsed="1"/>
    <lsdException name="heading 5" qFormat="1" semiHidden="1" uiPriority="9" unhideWhenUsed="1"/>
    <lsdException name="heading 6" qFormat="1" semiHidden="1" uiPriority="9" unhideWhenUsed="1"/>
    <lsdException name="heading 7" qFormat="1" semiHidden="1" uiPriority="9" unhideWhenUsed="1"/>
    <lsdException name="heading 8" qFormat="1" semiHidden="1" uiPriority="9" unhideWhenUsed="1"/>
    <lsdException name="heading 9" qFormat="1" semiHidden="1" uiPriority="9" unhideWhenUsed="1"/>
    <lsdException name="index 1" semiHidden="1" unhideWhenUsed="1"/>
    <lsdException name="index 2" semiHidden="1" unhideWhenUsed="1"/>
    <lsdException name="index 3" semiHidden="1" unhideWhenUsed="1"/>
    <lsdException name="index 4" semiHidden="1" unhideWhenUsed="1"/>
    <lsdException name="index 5" semiHidden="1" unhideWhenUsed="1"/>
    <lsdException name="index 6" semiHidden="1" unhideWhenUsed="1"/>
    <lsdException name="index 7" semiHidden="1" unhideWhenUsed="1"/>
    <lsdException name="index 8" semiHidden="1" unhideWhenUsed="1"/>
    <lsdException name="index 9" semiHidden="1" unhideWhenUsed="1"/>
    <lsdException name="toc 1" semiHidden="1" uiPriority="39" unhideWhenUsed="1"/>
    <lsdException name="toc 2" semiHidden="1" uiPriority="39" unhideWhenUsed="1"/>
    <lsdException name="toc 3" semiHidden="1" uiPriority="39" unhideWhenUsed="1"/>
    <lsdException name="toc 4" semiHidden="1" uiPriority="39" unhideWhenUsed="1"/>
    <lsdException name="toc 5" semiHidden="1" uiPriority="39" unhideWhenUsed="1"/>
    <lsdException name="toc 6" semiHidden="1" uiPriority="39" unhideWhenUsed="1"/>
    <lsdException name="toc 7" semiHidden="1" uiPriority="39" unhideWhenUsed="1"/>
    <lsdException name="toc 8" semiHidden="1" uiPriority="39" unhideWhenUsed="1"/>
    <lsdException name="toc 9" semiHidden="1" uiPriority="39" unhideWhenUsed="1"/>
    <lsdException name="Normal Indent" semiHidden="1" unhideWhenUsed="1"/>
    <lsdException name="footnote text" semiHidden="1" unhideWhenUsed="1"/>
    <lsdException name="annotation text" semiHidden="1" unhideWhenUsed="1"/>
    <lsdException name="header" semiHidden="1" unhideWhenUsed="1"/>
    <lsdException name="footer" semiHidden="1" unhideWhenUsed="1"/>
    <lsdException name="index heading" semiHidden="1" unhideWhenUsed="1"/>
    <lsdException name="caption" qFormat="1" semiHidden="1" uiPriority="35" unhideWhenUsed="1"/>
    <lsdException name="table of figures" semiHidden="1" unhideWhenUsed="1"/>
    <lsdException name="envelope address" semiHidden="1" unhideWhenUsed="1"/>
    <lsdException name="envelope return" semiHidden="1" unhideWhenUsed="1"/>
    <lsdException name="footnote reference" semiHidden="1" unhideWhenUsed="1"/>
    <lsdException name="annotation reference" semiHidden="1" unhideWhenUsed="1"/>
    <lsdException name="line number" semiHidden="1" unhideWhenUsed="1"/>
    <lsdException name="page number" semiHidden="1" unhideWhenUsed="1"/>
    <lsdException name="endnote reference" semiHidden="1" unhideWhenUsed="1"/>
    <lsdException name="endnote text" semiHidden="1" unhideWhenUsed="1"/>
    <lsdException name="table of authorities" semiHidden="1" unhideWhenUsed="1"/>
    <lsdException name="macro" semiHidden="1" unhideWhenUsed="1"/>
    <lsdException name="toa heading" semiHidden="1" unhideWhenUsed="1"/>
    <lsdException name="List" semiHidden="1" unhideWhenUsed="1"/>
    <lsdException name="List Bullet" semiHidden="1" unhideWhenUsed="1"/>
    <lsdException name="List Number" semiHidden="1" unhideWhenUsed="1"/>
    <lsdException name="List 2" semiHidden="1" unhideWhenUsed="1"/>
    <lsdException name="List 3" semiHidden="1" unhideWhenUsed="1"/>
    <lsdException name="List 4" semiHidden="1" unhideWhenUsed="1"/>
    <lsdException name="List 5" semiHidden="1" unhideWhenUsed="1"/>
    <lsdException name="List Bullet 2" semiHidden="1" unhideWhenUsed="1"/>
    <lsdException name="List Bullet 3" semiHidden="1" unhideWhenUsed="1"/>
    <lsdException name="List Bullet 4" semiHidden="1" unhideWhenUsed="1"/>
    <lsdException name="List Bullet 5" semiHidden="1" unhideWhenUsed="1"/>
    <lsdException name="List Number 2" semiHidden="1" unhideWhenUsed="1"/>
    <lsdException name="List Number 3" semiHidden="1" unhideWhenUsed="1"/>
    <lsdException name="List Number 4" semiHidden="1" unhideWhenUsed="1"/>
    <lsdException name="List Number 5" semiHidden="1" unhideWhenUsed="1"/>
    <lsdException name="Title" qFormat="1" uiPriority="10"/>
    <lsdException name="Closing" semiHidden="1" unhideWhenUsed="1"/>
    <lsdException name="Signature" semiHidden="1" unhideWhenUsed="1"/>
    <lsdException name="Default Paragraph Font" semiHidden="1" uiPriority="1" unhideWhenUsed="1"/>
    <lsdException name="Body Text" semiHidden="1" unhideWhenUsed="1"/>
    <lsdException name="Body Text Indent" semiHidden="1" unhideWhenUsed="1"/>
    <lsdException name="List Continue" semiHidden="1" unhideWhenUsed="1"/>
    <lsdException name="List Continue 2" semiHidden="1" unhideWhenUsed="1"/>
    <lsdException name="List Continue 3" semiHidden="1" unhideWhenUsed="1"/>
    <lsdException name="List Continue 4" semiHidden="1" unhideWhenUsed="1"/>
    <lsdException name="List Continue 5" semiHidden="1" unhideWhenUsed="1"/>
    <lsdException name="Message Header" semiHidden="1" unhideWhenUsed="1"/>
    <lsdException name="Subtitle" qFormat="1" uiPriority="11"/>
    <lsdException name="Salutation" semiHidden="1" unhideWhenUsed="1"/>
    <lsdException name="Date" semiHidden="1" unhideWhenUsed="1"/>
    <lsdException name="Body Text First Indent" semiHidden="1" unhideWhenUsed="1"/>
    <lsdException name="Body Text First Indent 2" semiHidden="1" unhideWhenUsed="1"/>
    <lsdException name="Note Heading" semiHidden="1" unhideWhenUsed="1"/>
    <lsdException name="Body Text 2" semiHidden="1" unhideWhenUsed="1"/>
    <lsdException name="Body Text 3" semiHidden="1" unhideWhenUsed="1"/>
    <lsdException name="Body Text Indent 2" semiHidden="1" unhideWhenUsed="1"/>
    <lsdException name="Body Text Indent 3" semiHidden="1" unhideWhenUsed="1"/>
    <lsdException name="Block Text" semiHidden="1" unhideWhenUsed="1"/>
    <lsdException name="Hyperlink" semiHidden="1" unhideWhenUsed="1"/>
    <lsdException name="FollowedHyperlink" semiHidden="1" unhideWhenUsed="1"/>
    <lsdException name="Strong" qFormat="1" uiPriority="22"/>
    <lsdException name="Emphasis" qFormat="1" uiPriority="20"/>
    <lsdException name="Document Map" semiHidden="1" unhideWhenUsed="1"/>
    <lsdException name="Plain Text" semiHidden="1" unhideWhenUsed="1"/>
    <lsdException name="E-mail Signature" semiHidden="1" unhideWhenUsed="1"/>
    <lsdException name="HTML Top of Form" semiHidden="1" unhideWhenUsed="1"/>
    <lsdException name="HTML Bottom of Form" semiHidden="1" unhideWhenUsed="1"/>
    <lsdException name="Normal (Web)" semiHidden="1" unhideWhenUsed="1"/>
    <lsdException name="HTML Acronym" semiHidden="1" unhideWhenUsed="1"/>
    <lsdException name="HTML Address" semiHidden="1" unhideWhenUsed="1"/>
    <lsdException name="HTML Cite" semiHidden="1" unhideWhenUsed="1"/>
    <lsdException name="HTML Code" semiHidden="1" unhideWhenUsed="1"/>
    <lsdException name="HTML Definition" semiHidden="1" unhideWhenUsed="1"/>
    <lsdException name="HTML Keyboard" semiHidden="1" unhideWhenUsed="1"/>
    <lsdException name="HTML Preformatted" semiHidden="1" unhideWhenUsed="1"/>
    <lsdException name="HTML Sample" semiHidden="1" unhideWhenUsed="1"/>
    <lsdException name="HTML Typewriter" semiHidden="1" unhideWhenUsed="1"/>
    <lsdException name="HTML Variable" semiHidden="1" unhideWhenUsed="1"/>
    <lsdException name="Normal Table" semiHidden="1" unhideWhenUsed="1"/>
    <lsdException name="annotation subject" semiHidden="1" unhideWhenUsed="1"/>
    <lsdException name="No List" semiHidden="1" unhideWhenUsed="1"/>
    <lsdException name="Outline List 1" semiHidden="1" unhideWhenUsed="1"/>
    <lsdException name="Outline List 2" semiHidden="1" unhideWhenUsed="1"/>
    <lsdException name="Outline List 3" semiHidden="1" unhideWhenUsed="1"/>
    <lsdException name="Table Simple 1" semiHidden="1" unhideWhenUsed="1"/>
    <lsdException name="Table Simple 2" semiHidden="1" unhideWhenUsed="1"/>
    <lsdException name="Table Simple 3" semiHidden="1" unhideWhenUsed="1"/>
    <lsdException name="Table Classic 1" semiHidden="1" unhideWhenUsed="1"/>
    <lsdException name="Table Classic 2" semiHidden="1" unhideWhenUsed="1"/>
    <lsdException name="Table Classic 3" semiHidden="1" unhideWhenUsed="1"/>
    <lsdException name="Table Classic 4" semiHidden="1" unhideWhenUsed="1"/>
    <lsdException name="Table Colorful 1" semiHidden="1" unhideWhenUsed="1"/>
    <lsdException name="Table Colorful 2" semiHidden="1" unhideWhenUsed="1"/>
    <lsdException name="Table Colorful 3" semiHidden="1" unhideWhenUsed="1"/>
    <lsdException name="Table Columns 1" semiHidden="1" unhideWhenUsed="1"/>
    <lsdException name="Table Columns 2" semiHidden="1" unhideWhenUsed="1"/>
    <lsdException name="Table Columns 3" semiHidden="1" unhideWhenUsed="1"/>
    <lsdException name="Table Columns 4" semiHidden="1" unhideWhenUsed="1"/>
    <lsdException name="Table Columns 5" semiHidden="1" unhideWhenUsed="1"/>
    <lsdException name="Table Grid 1" semiHidden="1" unhideWhenUsed="1"/>
    <lsdException name="Table Grid 2" semiHidden="1" unhideWhenUsed="1"/>
    <lsdException name="Table Grid 3" semiHidden="1" unhideWhenUsed="1"/>
    <lsdException name="Table Grid 4" semiHidden="1" unhideWhenUsed="1"/>
    <lsdException name="Table Grid 5" semiHidden="1" unhideWhenUsed="1"/>
    <lsdException name="Table Grid 6" semiHidden="1" unhideWhenUsed="1"/>
    <lsdException name="Table Grid 7" semiHidden="1" unhideWhenUsed="1"/>
    <lsdException name="Table Grid 8" semiHidden="1" unhideWhenUsed="1"/>
    <lsdException name="Table List 1" semiHidden="1" unhideWhenUsed="1"/>
    <lsdException name="Table List 2" semiHidden="1" unhideWhenUsed="1"/>
    <lsdException name="Table List 3" semiHidden="1" unhideWhenUsed="1"/>
    <lsdException name="Table List 4" semiHidden="1" unhideWhenUsed="1"/>
    <lsdException name="Table List 5" semiHidden="1" unhideWhenUsed="1"/>
    <lsdException name="Table List 6" semiHidden="1" unhideWhenUsed="1"/>
    <lsdException name="Table List 7" semiHidden="1" unhideWhenUsed="1"/>
    <lsdException name="Table List 8" semiHidden="1" unhideWhenUsed="1"/>
    <lsdException name="Table 3D effects 1" semiHidden="1" unhideWhenUsed="1"/>
    <lsdException name="Table 3D effects 2" semiHidden="1" unhideWhenUsed="1"/>
    <lsdException name="Table 3D effects 3" semiHidden="1" unhideWhenUsed="1"/>
    <lsdException name="Table Contemporary" semiHidden="1" unhideWhenUsed="1"/>
    <lsdException name="Table Elegant" semiHidden="1" unhideWhenUsed="1"/>
    <lsdException name="Table Professional" semiHidden="1" unhideWhenUsed="1"/>
    <lsdException name="Table Subtle 1" semiHidden="1" unhideWhenUsed="1"/>
    <lsdException name="Table Subtle 2" semiHidden="1" unhideWhenUsed="1"/>
    <lsdException name="Table Web 1" semiHidden="1" unhideWhenUsed="1"/>
    <lsdException name="Table Web 2" semiHidden="1" unhideWhenUsed="1"/>
    <lsdException name="Table Web 3" semiHidden="1" unhideWhenUsed="1"/>
    <lsdException name="Balloon Text" semiHidden="1" unhideWhenUsed="1"/>
    <lsdException name="Table Grid" uiPriority="39"/>
    <lsdException name="Table Theme" semiHidden="1" unhideWhenUsed="1"/>
    <lsdException name="Placeholder Text" semiHidden="1"/>
    <lsdException name="No Spacing" qFormat="1" uiPriority="1"/>
    <lsdException name="Light Shading" uiPriority="60"/>
    <lsdException name="Light List" uiPriority="61"/>
    <lsdException name="Light Grid" uiPriority="62"/>
    <lsdException name="Medium Shading 1" uiPriority="63"/>
    <lsdException name="Medium Shading 2" uiPriority="64"/>
    <lsdException name="Medium List 1" uiPriority="65"/>
    <lsdException name="Medium List 2" uiPriority="66"/>
    <lsdException name="Medium Grid 1" uiPriority="67"/>
    <lsdException name="Medium Grid 2" uiPriority="68"/>
    <lsdException name="Medium Grid 3" uiPriority="69"/>
    <lsdException name="Dark List" uiPriority="70"/>
    <lsdException name="Colorful Shading" uiPriority="71"/>
    <lsdException name="Colorful List" uiPriority="72"/>
    <lsdException name="Colorful Grid" uiPriority="73"/>
    <lsdException name="Light Shading Accent 1" uiPriority="60"/>
    <lsdException name="Light List Accent 1" uiPriority="61"/>
    <lsdException name="Light Grid Accent 1" uiPriority="62"/>
    <lsdException name="Medium Shading 1 Accent 1" uiPriority="63"/>
    <lsdException name="Medium Shading 2 Accent 1" uiPriority="64"/>
    <lsdException name="Medium List 1 Accent 1" uiPriority="65"/>
    <lsdException name="Revision" semiHidden="1"/>
    <lsdException name="List Paragraph" qFormat="1" uiPriority="34"/>
    <lsdException name="Quote" qFormat="1" uiPriority="29"/>
    <lsdException name="Intense Quote" qFormat="1" uiPriority="30"/>
    <lsdException name="Medium List 2 Accent 1" uiPriority="66"/>
    <lsdException name="Medium Grid 1 Accent 1" uiPriority="67"/>
    <lsdException name="Medium Grid 2 Accent 1" uiPriority="68"/>
    <lsdException name="Medium Grid 3 Accent 1" uiPriority="69"/>
    <lsdException name="Dark List Accent 1" uiPriority="70"/>
    <lsdException name="Colorful Shading Accent 1" uiPriority="71"/>
    <lsdException name="Colorful List Accent 1" uiPriority="72"/>
    <lsdException name="Colorful Grid Accent 1" uiPriority="73"/>
    <lsdException name="Light Shading Accent 2" uiPriority="60"/>
    <lsdException name="Light List Accent 2" uiPriority="61"/>
    <lsdException name="Light Grid Accent 2" uiPriority="62"/>
    <lsdException name="Medium Shading 1 Accent 2" uiPriority="63"/>
    <lsdException name="Medium Shading 2 Accent 2" uiPriority="64"/>
    <lsdException name="Medium List 1 Accent 2" uiPriority="65"/>
    <lsdException name="Medium List 2 Accent 2" uiPriority="66"/>
    <lsdException name="Medium Grid 1 Accent 2" uiPriority="67"/>
    <lsdException name="Medium Grid 2 Accent 2" uiPriority="68"/>
    <lsdException name="Medium Grid 3 Accent 2" uiPriority="69"/>
    <lsdException name="Dark List Accent 2" uiPriority="70"/>
    <lsdException name="Colorful Shading Accent 2" uiPriority="71"/>
    <lsdException name="Colorful List Accent 2" uiPriority="72"/>
    <lsdException name="Colorful Grid Accent 2" uiPriority="73"/>
    <lsdException name="Light Shading Accent 3" uiPriority="60"/>
    <lsdException name="Light List Accent 3" uiPriority="61"/>
    <lsdException name="Light Grid Accent 3" uiPriority="62"/>
    <lsdException name="Medium Shading 1 Accent 3" uiPriority="63"/>
    <lsdException name="Medium Shading 2 Accent 3" uiPriority="64"/>
    <lsdException name="Medium List 1 Accent 3" uiPriority="65"/>
    <lsdException name="Medium List 2 Accent 3" uiPriority="66"/>
    <lsdException name="Medium Grid 1 Accent 3" uiPriority="67"/>
    <lsdException name="Medium Grid 2 Accent 3" uiPriority="68"/>
    <lsdException name="Medium Grid 3 Accent 3" uiPriority="69"/>
    <lsdException name="Dark List Accent 3" uiPriority="70"/>
    <lsdException name="Colorful Shading Accent 3" uiPriority="71"/>
    <lsdException name="Colorful List Accent 3" uiPriority="72"/>
    <lsdException name="Colorful Grid Accent 3" uiPriority="73"/>
    <lsdException name="Light Shading Accent 4" uiPriority="60"/>
    <lsdException name="Light List Accent 4" uiPriority="61"/>
    <lsdException name="Light Grid Accent 4" uiPriority="62"/>
    <lsdException name="Medium Shading 1 Accent 4" uiPriority="63"/>
    <lsdException name="Medium Shading 2 Accent 4" uiPriority="64"/>
    <lsdException name="Medium List 1 Accent 4" uiPriority="65"/>
    <lsdException name="Medium List 2 Accent 4" uiPriority="66"/>
    <lsdException name="Medium Grid 1 Accent 4" uiPriority="67"/>
    <lsdException name="Medium Grid 2 Accent 4" uiPriority="68"/>
    <lsdException name="Medium Grid 3 Accent 4" uiPriority="69"/>
    <lsdException name="Dark List Accent 4" uiPriority="70"/>
    <lsdException name="Colorful Shading Accent 4" uiPriority="71"/>
    <lsdException name="Colorful List Accent 4" uiPriority="72"/>
    <lsdException name="Colorful Grid Accent 4" uiPriority="73"/>
    <lsdException name="Light Shading Accent 5" uiPriority="60"/>
    <lsdException name="Light List Accent 5" uiPriority="61"/>
    <lsdException name="Light Grid Accent 5" uiPriority="62"/>
    <lsdException name="Medium Shading 1 Accent 5" uiPriority="63"/>
    <lsdException name="Medium Shading 2 Accent 5" uiPriority="64"/>
    <lsdException name="Medium List 1 Accent 5" uiPriority="65"/>
    <lsdException name="Medium List 2 Accent 5" uiPriority="66"/>
    <lsdException name="Medium Grid 1 Accent 5" uiPriority="67"/>
    <lsdException name="Medium Grid 2 Accent 5" uiPriority="68"/>
    <lsdException name="Medium Grid 3 Accent 5" uiPriority="69"/>
    <lsdException name="Dark List Accent 5" uiPriority="70"/>
    <lsdException name="Colorful Shading Accent 5" uiPriority="71"/>
    <lsdException name="Colorful List Accent 5" uiPriority="72"/>
    <lsdException name="Colorful Grid Accent 5" uiPriority="73"/>
    <lsdException name="Light Shading Accent 6" uiPriority="60"/>
    <lsdException name="Light List Accent 6" uiPriority="61"/>
    <lsdException name="Light Grid Accent 6" uiPriority="62"/>
    <lsdException name="Medium Shading 1 Accent 6" uiPriority="63"/>
    <lsdException name="Medium Shading 2 Accent 6" uiPriority="64"/>
    <lsdException name="Medium List 1 Accent 6" uiPriority="65"/>
    <lsdException name="Medium List 2 Accent 6" uiPriority="66"/>
    <lsdException name="Medium Grid 1 Accent 6" uiPriority="67"/>
    <lsdException name="Medium Grid 2 Accent 6" uiPriority="68"/>
    <lsdException name="Medium Grid 3 Accent 6" uiPriority="69"/>
    <lsdException name="Dark List Accent 6" uiPriority="70"/>
    <lsdException name="Colorful Shading Accent 6" uiPriority="71"/>
    <lsdException name="Colorful List Accent 6" uiPriority="72"/>
    <lsdException name="Colorful Grid Accent 6" uiPriority="73"/>
    <lsdException name="Subtle Emphasis" qFormat="1" uiPriority="19"/>
    <lsdException name="Intense Emphasis" qFormat="1" uiPriority="21"/>
    <lsdException name="Subtle Reference" qFormat="1" uiPriority="31"/>
    <lsdException name="Intense Reference" qFormat="1" uiPriority="32"/>
    <lsdException name="Book Title" qFormat="1" uiPriority="33"/>
    <lsdException name="Bibliography" semiHidden="1" uiPriority="37" unhideWhenUsed="1"/>
    <lsdException name="TOC Heading" qFormat="1" semiHidden="1" uiPriority="39" unhideWhenUsed="1"/>
    <lsdException name="Plain Table 1" uiPriority="41"/>
    <lsdException name="Plain Table 2" uiPriority="42"/>
    <lsdException name="Plain Table 3" uiPriority="43"/>
    <lsdException name="Plain Table 4" uiPriority="44"/>
    <lsdException name="Plain Table 5" uiPriority="45"/>
    <lsdException name="Grid Table Light" uiPriority="40"/>
    <lsdException name="Grid Table 1 Light" uiPriority="46"/>
    <lsdException name="Grid Table 2" uiPriority="47"/>
    <lsdException name="Grid Table 3" uiPriority="48"/>
    <lsdException name="Grid Table 4" uiPriority="49"/>
    <lsdException name="Grid Table 5 Dark" uiPriority="50"/>
    <lsdException name="Grid Table 6 Colorful" uiPriority="51"/>
    <lsdException name="Grid Table 7 Colorful" uiPriority="52"/>
    <lsdException name="Grid Table 1 Light Accent 1" uiPriority="46"/>
    <lsdException name="Grid Table 2 Accent 1" uiPriority="47"/>
    <lsdException name="Grid Table 3 Accent 1" uiPriority="48"/>
    <lsdException name="Grid Table 4 Accent 1" uiPriority="49"/>
    <lsdException name="Grid Table 5 Dark Accent 1" uiPriority="50"/>
    <lsdException name="Grid Table 6 Colorful Accent 1" uiPriority="51"/>
    <lsdException name="Grid Table 7 Colorful Accent 1" uiPriority="52"/>
    <lsdException name="Grid Table 1 Light Accent 2" uiPriority="46"/>
    <lsdException name="Grid Table 2 Accent 2" uiPriority="47"/>
    <lsdException name="Grid Table 3 Accent 2" uiPriority="48"/>
    <lsdException name="Grid Table 4 Accent 2" uiPriority="49"/>
    <lsdException name="Grid Table 5 Dark Accent 2" uiPriority="50"/>
    <lsdException name="Grid Table 6 Colorful Accent 2" uiPriority="51"/>
    <lsdException name="Grid Table 7 Colorful Accent 2" uiPriority="52"/>
    <lsdException name="Grid Table 1 Light Accent 3" uiPriority="46"/>
    <lsdException name="Grid Table 2 Accent 3" uiPriority="47"/>
    <lsdException name="Grid Table 3 Accent 3" uiPriority="48"/>
    <lsdException name="Grid Table 4 Accent 3" uiPriority="49"/>
    <lsdException name="Grid Table 5 Dark Accent 3" uiPriority="50"/>
    <lsdException name="Grid Table 6 Colorful Accent 3" uiPriority="51"/>
    <lsdException name="Grid Table 7 Colorful Accent 3" uiPriority="52"/>
    <lsdException name="Grid Table 1 Light Accent 4" uiPriority="46"/>
    <lsdException name="Grid Table 2 Accent 4" uiPriority="47"/>
    <lsdException name="Grid Table 3 Accent 4" uiPriority="48"/>
    <lsdException name="Grid Table 4 Accent 4" uiPriority="49"/>
    <lsdException name="Grid Table 5 Dark Accent 4" uiPriority="50"/>
    <lsdException name="Grid Table 6 Colorful Accent 4" uiPriority="51"/>
    <lsdException name="Grid Table 7 Colorful Accent 4" uiPriority="52"/>
    <lsdException name="Grid Table 1 Light Accent 5" uiPriority="46"/>
    <lsdException name="Grid Table 2 Accent 5" uiPriority="47"/>
    <lsdException name="Grid Table 3 Accent 5" uiPriority="48"/>
    <lsdException name="Grid Table 4 Accent 5" uiPriority="49"/>
    <lsdException name="Grid Table 5 Dark Accent 5" uiPriority="50"/>
    <lsdException name="Grid Table 6 Colorful Accent 5" uiPriority="51"/>
    <lsdException name="Grid Table 7 Colorful Accent 5" uiPriority="52"/>
    <lsdException name="Grid Table 1 Light Accent 6" uiPriority="46"/>
    <lsdException name="Grid Table 2 Accent 6" uiPriority="47"/>
    <lsdException name="Grid Table 3 Accent 6" uiPriority="48"/>
    <lsdException name="Grid Table 4 Accent 6" uiPriority="49"/>
    <lsdException name="Grid Table 5 Dark Accent 6" uiPriority="50"/>
    <lsdException name="Grid Table 6 Colorful Accent 6" uiPriority="51"/>
    <lsdException name="Grid Table 7 Colorful Accent 6" uiPriority="52"/>
    <lsdException name="List Table 1 Light" uiPriority="46"/>
    <lsdException name="List Table 2" uiPriority="47"/>
    <lsdException name="List Table 3" uiPriority="48"/>
    <lsdException name="List Table 4" uiPriority="49"/>
    <lsdException name="List Table 5 Dark" uiPriority="50"/>
    <lsdException name="List Table 6 Colorful" uiPriority="51"/>
    <lsdException name="List Table 7 Colorful" uiPriority="52"/>
    <lsdException name="List Table 1 Light Accent 1" uiPriority="46"/>
    <lsdException name="List Table 2 Accent 1" uiPriority="47"/>
    <lsdException name="List Table 3 Accent 1" uiPriority="48"/>
    <lsdException name="List Table 4 Accent 1" uiPriority="49"/>
    <lsdException name="List Table 5 Dark Accent 1" uiPriority="50"/>
    <lsdException name="List Table 6 Colorful Accent 1" uiPriority="51"/>
    <lsdException name="List Table 7 Colorful Accent 1" uiPriority="52"/>
    <lsdException name="List Table 1 Light Accent 2" uiPriority="46"/>
    <lsdException name="List Table 2 Accent 2" uiPriority="47"/>
    <lsdException name="List Table 3 Accent 2" uiPriority="48"/>
    <lsdException name="List Table 4 Accent 2" uiPriority="49"/>
    <lsdException name="List Table 5 Dark Accent 2" uiPriority="50"/>
    <lsdException name="List Table 6 Colorful Accent 2" uiPriority="51"/>
    <lsdException name="List Table 7 Colorful Accent 2" uiPriority="52"/>
    <lsdException name="List Table 1 Light Accent 3" uiPriority="46"/>
    <lsdException name="List Table 2 Accent 3" uiPriority="47"/>
    <lsdException name="List Table 3 Accent 3" uiPriority="48"/>
    <lsdException name="List Table 4 Accent 3" uiPriority="49"/>
    <lsdException name="List Table 5 Dark Accent 3" uiPriority="50"/>
    <lsdException name="List Table 6 Colorful Accent 3" uiPriority="51"/>
    <lsdException name="List Table 7 Colorful Accent 3" uiPriority="52"/>
    <lsdException name="List Table 1 Light Accent 4" uiPriority="46"/>
    <lsdException name="List Table 2 Accent 4" uiPriority="47"/>
    <lsdException name="List Table 3 Accent 4" uiPriority="48"/>
    <lsdException name="List Table 4 Accent 4" uiPriority="49"/>
    <lsdException name="List Table 5 Dark Accent 4" uiPriority="50"/>
    <lsdException name="List Table 6 Colorful Accent 4" uiPriority="51"/>
    <lsdException name="List Table 7 Colorful Accent 4" uiPriority="52"/>
    <lsdException name="List Table 1 Light Accent 5" uiPriority="46"/>
    <lsdException name="List Table 2 Accent 5" uiPriority="47"/>
    <lsdException name="List Table 3 Accent 5" uiPriority="48"/>
    <lsdException name="List Table 4 Accent 5" uiPriority="49"/>
    <lsdException name="List Table 5 Dark Accent 5" uiPriority="50"/>
    <lsdException name="List Table 6 Colorful Accent 5" uiPriority="51"/>
    <lsdException name="List Table 7 Colorful Accent 5" uiPriority="52"/>
    <lsdException name="List Table 1 Light Accent 6" uiPriority="46"/>
    <lsdException name="List Table 2 Accent 6" uiPriority="47"/>
    <lsdException name="List Table 3 Accent 6" uiPriority="48"/>
    <lsdException name="List Table 4 Accent 6" uiPriority="49"/>
    <lsdException name="List Table 5 Dark Accent 6" uiPriority="50"/>
    <lsdException name="List Table 6 Colorful Accent 6" uiPriority="51"/>
    <lsdException name="List Table 7 Colorful Accent 6" uiPriority="52"/>
    <lsdException name="Mention" semiHidden="1" unhideWhenUsed="1"/>
    <lsdException name="Smart Hyperlink" semiHidden="1" unhideWhenUsed="1"/>
    <lsdException name="Hashtag" semiHidden="1" unhideWhenUsed="1"/>
    <lsdException name="Unresolved Mention" semiHidden="1" unhideWhenUsed="1"/>
    <lsdException name="Smart Link" semiHidden="1" unhideWhenUsed="1"/>
  </latentStyles>
  <style default="1" styleId="Normal" type="paragraph">
    <name val="Normal"/>
    <qFormat/>
  </style>
  <style styleId="Heading1" type="paragraph">
    <name val="heading 1"/>
    <basedOn val="Normal"/>
    <next val="Normal"/>
    <link val="Heading1Char"/>
    <uiPriority val="9"/>
    <qFormat/>
    <rsid val="00C20F55"/>
    <pPr>
      <keepNext/>
      <keepLines/>
      <spacing after="80" before="360"/>
      <outlineLvl val="0"/>
    </pPr>
    <rPr>
      <rFonts asciiTheme="majorHAnsi" cstheme="majorBidi" eastAsiaTheme="majorEastAsia" hAnsiTheme="majorHAnsi"/>
      <color val="000000"/>
      <sz val="40"/>
      <szCs val="40"/>
      <b/>
    </rPr>
  </style>
  <style styleId="Heading2" type="paragraph">
    <name val="heading 2"/>
    <basedOn val="Normal"/>
    <next val="Normal"/>
    <link val="Heading2Char"/>
    <uiPriority val="9"/>
    <semiHidden/>
    <unhideWhenUsed/>
    <qFormat/>
    <rsid val="00C20F55"/>
    <pPr>
      <keepNext/>
      <keepLines/>
      <spacing after="80" before="160"/>
      <outlineLvl val="1"/>
    </pPr>
    <rPr>
      <rFonts asciiTheme="majorHAnsi" cstheme="majorBidi" eastAsiaTheme="majorEastAsia" hAnsiTheme="majorHAnsi"/>
      <color val="000000"/>
      <sz val="32"/>
      <szCs val="32"/>
      <b/>
    </rPr>
  </style>
  <style styleId="Heading3" type="paragraph">
    <name val="heading 3"/>
    <basedOn val="Normal"/>
    <next val="Normal"/>
    <link val="Heading3Char"/>
    <uiPriority val="9"/>
    <semiHidden/>
    <unhideWhenUsed/>
    <qFormat/>
    <rsid val="00C20F55"/>
    <pPr>
      <keepNext/>
      <keepLines/>
      <spacing after="80" before="160"/>
      <outlineLvl val="2"/>
    </pPr>
    <rPr>
      <rFonts cstheme="majorBidi" eastAsiaTheme="majorEastAsia"/>
      <color val="000000"/>
      <sz val="28"/>
      <szCs val="28"/>
      <b/>
    </rPr>
  </style>
  <style styleId="Heading4" type="paragraph">
    <name val="heading 4"/>
    <basedOn val="Normal"/>
    <next val="Normal"/>
    <link val="Heading4Char"/>
    <uiPriority val="9"/>
    <semiHidden/>
    <unhideWhenUsed/>
    <qFormat/>
    <rsid val="00C20F55"/>
    <pPr>
      <keepNext/>
      <keepLines/>
      <spacing after="40" before="80"/>
      <outlineLvl val="3"/>
    </pPr>
    <rPr>
      <rFonts cstheme="majorBidi" eastAsiaTheme="majorEastAsia"/>
      <i/>
      <iCs/>
      <color val="000000"/>
      <b/>
    </rPr>
  </style>
  <style styleId="Heading5" type="paragraph">
    <name val="heading 5"/>
    <basedOn val="Normal"/>
    <next val="Normal"/>
    <link val="Heading5Char"/>
    <uiPriority val="9"/>
    <semiHidden/>
    <unhideWhenUsed/>
    <qFormat/>
    <rsid val="00C20F55"/>
    <pPr>
      <keepNext/>
      <keepLines/>
      <spacing after="40" before="80"/>
      <outlineLvl val="4"/>
    </pPr>
    <rPr>
      <rFonts cstheme="majorBidi" eastAsiaTheme="majorEastAsia"/>
      <color val="000000"/>
      <b/>
    </rPr>
  </style>
  <style styleId="Heading6" type="paragraph">
    <name val="heading 6"/>
    <basedOn val="Normal"/>
    <next val="Normal"/>
    <link val="Heading6Char"/>
    <uiPriority val="9"/>
    <semiHidden/>
    <unhideWhenUsed/>
    <qFormat/>
    <rsid val="00C20F55"/>
    <pPr>
      <keepNext/>
      <keepLines/>
      <spacing after="0" before="40"/>
      <outlineLvl val="5"/>
    </pPr>
    <rPr>
      <rFonts cstheme="majorBidi" eastAsiaTheme="majorEastAsia"/>
      <i/>
      <iCs/>
      <color val="000000"/>
      <b/>
    </rPr>
  </style>
  <style styleId="Heading7" type="paragraph">
    <name val="heading 7"/>
    <basedOn val="Normal"/>
    <next val="Normal"/>
    <link val="Heading7Char"/>
    <uiPriority val="9"/>
    <semiHidden/>
    <unhideWhenUsed/>
    <qFormat/>
    <rsid val="00C20F55"/>
    <pPr>
      <keepNext/>
      <keepLines/>
      <spacing after="0" before="40"/>
      <outlineLvl val="6"/>
    </pPr>
    <rPr>
      <rFonts cstheme="majorBidi" eastAsiaTheme="majorEastAsia"/>
      <color val="000000"/>
      <b/>
    </rPr>
  </style>
  <style styleId="Heading8" type="paragraph">
    <name val="heading 8"/>
    <basedOn val="Normal"/>
    <next val="Normal"/>
    <link val="Heading8Char"/>
    <uiPriority val="9"/>
    <semiHidden/>
    <unhideWhenUsed/>
    <qFormat/>
    <rsid val="00C20F55"/>
    <pPr>
      <keepNext/>
      <keepLines/>
      <spacing after="0"/>
      <outlineLvl val="7"/>
    </pPr>
    <rPr>
      <rFonts cstheme="majorBidi" eastAsiaTheme="majorEastAsia"/>
      <i/>
      <iCs/>
      <color val="000000"/>
      <b/>
    </rPr>
  </style>
  <style styleId="Heading9" type="paragraph">
    <name val="heading 9"/>
    <basedOn val="Normal"/>
    <next val="Normal"/>
    <link val="Heading9Char"/>
    <uiPriority val="9"/>
    <semiHidden/>
    <unhideWhenUsed/>
    <qFormat/>
    <rsid val="00C20F55"/>
    <pPr>
      <keepNext/>
      <keepLines/>
      <spacing after="0"/>
      <outlineLvl val="8"/>
    </pPr>
    <rPr>
      <rFonts cstheme="majorBidi" eastAsiaTheme="majorEastAsia"/>
      <color val="000000"/>
      <b/>
    </rPr>
  </style>
  <style default="1" styleId="DefaultParagraphFont" type="character">
    <name val="Default Paragraph Font"/>
    <uiPriority val="1"/>
    <unhideWhenUsed/>
  </style>
  <style default="1" styleId="TableNormal" type="table">
    <name val="Normal Table"/>
    <uiPriority val="99"/>
    <semiHidden/>
    <unhideWhenUsed/>
    <tblPr>
      <tblInd type="dxa" w="0"/>
      <tblCellMar>
        <top type="dxa" w="0"/>
        <left type="dxa" w="108"/>
        <bottom type="dxa" w="0"/>
        <right type="dxa" w="108"/>
      </tblCellMar>
    </tblPr>
  </style>
  <style default="1" styleId="NoList" type="numbering">
    <name val="No List"/>
    <uiPriority val="99"/>
    <semiHidden/>
    <unhideWhenUsed/>
  </style>
  <style customStyle="1" styleId="Heading1Char" type="character">
    <name val="Heading 1 Char"/>
    <basedOn val="DefaultParagraphFont"/>
    <link val="Heading1"/>
    <uiPriority val="9"/>
    <rsid val="00C20F55"/>
    <rPr>
      <rFonts asciiTheme="majorHAnsi" cstheme="majorBidi" eastAsiaTheme="majorEastAsia" hAnsiTheme="majorHAnsi"/>
      <color val="000000"/>
      <sz val="40"/>
      <szCs val="40"/>
      <b/>
    </rPr>
  </style>
  <style customStyle="1" styleId="Heading2Char" type="character">
    <name val="Heading 2 Char"/>
    <basedOn val="DefaultParagraphFont"/>
    <link val="Heading2"/>
    <uiPriority val="9"/>
    <semiHidden/>
    <rsid val="00C20F55"/>
    <rPr>
      <rFonts asciiTheme="majorHAnsi" cstheme="majorBidi" eastAsiaTheme="majorEastAsia" hAnsiTheme="majorHAnsi"/>
      <color val="000000"/>
      <sz val="32"/>
      <szCs val="32"/>
      <b/>
    </rPr>
  </style>
  <style customStyle="1" styleId="Heading3Char" type="character">
    <name val="Heading 3 Char"/>
    <basedOn val="DefaultParagraphFont"/>
    <link val="Heading3"/>
    <uiPriority val="9"/>
    <semiHidden/>
    <rsid val="00C20F55"/>
    <rPr>
      <rFonts cstheme="majorBidi" eastAsiaTheme="majorEastAsia"/>
      <color val="000000"/>
      <sz val="28"/>
      <szCs val="28"/>
      <b/>
    </rPr>
  </style>
  <style customStyle="1" styleId="Heading4Char" type="character">
    <name val="Heading 4 Char"/>
    <basedOn val="DefaultParagraphFont"/>
    <link val="Heading4"/>
    <uiPriority val="9"/>
    <semiHidden/>
    <rsid val="00C20F55"/>
    <rPr>
      <rFonts cstheme="majorBidi" eastAsiaTheme="majorEastAsia"/>
      <i/>
      <iCs/>
      <color val="000000"/>
      <b/>
    </rPr>
  </style>
  <style customStyle="1" styleId="Heading5Char" type="character">
    <name val="Heading 5 Char"/>
    <basedOn val="DefaultParagraphFont"/>
    <link val="Heading5"/>
    <uiPriority val="9"/>
    <semiHidden/>
    <rsid val="00C20F55"/>
    <rPr>
      <rFonts cstheme="majorBidi" eastAsiaTheme="majorEastAsia"/>
      <color val="000000"/>
      <b/>
    </rPr>
  </style>
  <style customStyle="1" styleId="Heading6Char" type="character">
    <name val="Heading 6 Char"/>
    <basedOn val="DefaultParagraphFont"/>
    <link val="Heading6"/>
    <uiPriority val="9"/>
    <semiHidden/>
    <rsid val="00C20F55"/>
    <rPr>
      <rFonts cstheme="majorBidi" eastAsiaTheme="majorEastAsia"/>
      <i/>
      <iCs/>
      <color val="000000"/>
      <b/>
    </rPr>
  </style>
  <style customStyle="1" styleId="Heading7Char" type="character">
    <name val="Heading 7 Char"/>
    <basedOn val="DefaultParagraphFont"/>
    <link val="Heading7"/>
    <uiPriority val="9"/>
    <semiHidden/>
    <rsid val="00C20F55"/>
    <rPr>
      <rFonts cstheme="majorBidi" eastAsiaTheme="majorEastAsia"/>
      <color val="000000"/>
      <b/>
    </rPr>
  </style>
  <style customStyle="1" styleId="Heading8Char" type="character">
    <name val="Heading 8 Char"/>
    <basedOn val="DefaultParagraphFont"/>
    <link val="Heading8"/>
    <uiPriority val="9"/>
    <semiHidden/>
    <rsid val="00C20F55"/>
    <rPr>
      <rFonts cstheme="majorBidi" eastAsiaTheme="majorEastAsia"/>
      <i/>
      <iCs/>
      <color val="000000"/>
      <b/>
    </rPr>
  </style>
  <style customStyle="1" styleId="Heading9Char" type="character">
    <name val="Heading 9 Char"/>
    <basedOn val="DefaultParagraphFont"/>
    <link val="Heading9"/>
    <uiPriority val="9"/>
    <semiHidden/>
    <rsid val="00C20F55"/>
    <rPr>
      <rFonts cstheme="majorBidi" eastAsiaTheme="majorEastAsia"/>
      <color val="000000"/>
      <b/>
    </rPr>
  </style>
  <style styleId="Title" type="paragraph">
    <name val="Title"/>
    <basedOn val="Normal"/>
    <next val="Normal"/>
    <link val="TitleChar"/>
    <uiPriority val="10"/>
    <qFormat/>
    <rsid val="00C20F55"/>
    <pPr>
      <spacing after="80" line="240" lineRule="auto"/>
      <contextualSpacing/>
    </pPr>
    <rPr>
      <rFonts asciiTheme="majorHAnsi" cstheme="majorBidi" eastAsiaTheme="majorEastAsia" hAnsiTheme="majorHAnsi"/>
      <spacing val="-10"/>
      <kern val="28"/>
      <sz val="56"/>
      <szCs val="56"/>
    </rPr>
  </style>
  <style customStyle="1" styleId="TitleChar" type="character">
    <name val="Title Char"/>
    <basedOn val="DefaultParagraphFont"/>
    <link val="Title"/>
    <uiPriority val="10"/>
    <rsid val="00C20F55"/>
    <rPr>
      <rFonts asciiTheme="majorHAnsi" cstheme="majorBidi" eastAsiaTheme="majorEastAsia" hAnsiTheme="majorHAnsi"/>
      <spacing val="-10"/>
      <kern val="28"/>
      <sz val="56"/>
      <szCs val="56"/>
    </rPr>
  </style>
  <style styleId="Subtitle" type="paragraph">
    <name val="Subtitle"/>
    <basedOn val="Normal"/>
    <next val="Normal"/>
    <link val="SubtitleChar"/>
    <uiPriority val="11"/>
    <qFormat/>
    <rsid val="00C20F55"/>
    <pPr>
      <numPr>
        <ilvl val="1"/>
      </numPr>
    </pPr>
    <rPr>
      <rFonts cstheme="majorBidi" eastAsiaTheme="majorEastAsia"/>
      <color val="000000"/>
      <spacing val="15"/>
      <sz val="28"/>
      <szCs val="28"/>
    </rPr>
  </style>
  <style customStyle="1" styleId="SubtitleChar" type="character">
    <name val="Subtitle Char"/>
    <basedOn val="DefaultParagraphFont"/>
    <link val="Subtitle"/>
    <uiPriority val="11"/>
    <rsid val="00C20F55"/>
    <rPr>
      <rFonts cstheme="majorBidi" eastAsiaTheme="majorEastAsia"/>
      <color val="000000"/>
      <spacing val="15"/>
      <sz val="28"/>
      <szCs val="28"/>
    </rPr>
  </style>
  <style styleId="Quote" type="paragraph">
    <name val="Quote"/>
    <basedOn val="Normal"/>
    <next val="Normal"/>
    <link val="QuoteChar"/>
    <uiPriority val="29"/>
    <qFormat/>
    <rsid val="00C20F55"/>
    <pPr>
      <spacing before="160"/>
      <jc val="center"/>
    </pPr>
    <rPr>
      <i/>
      <iCs/>
      <color val="404040"/>
    </rPr>
  </style>
  <style customStyle="1" styleId="QuoteChar" type="character">
    <name val="Quote Char"/>
    <basedOn val="DefaultParagraphFont"/>
    <link val="Quote"/>
    <uiPriority val="29"/>
    <rsid val="00C20F55"/>
    <rPr>
      <i/>
      <iCs/>
      <color val="404040"/>
    </rPr>
  </style>
  <style styleId="ListParagraph" type="paragraph">
    <name val="List Paragraph"/>
    <basedOn val="Normal"/>
    <uiPriority val="34"/>
    <qFormat/>
    <rsid val="00C20F55"/>
    <pPr>
      <ind left="720"/>
      <contextualSpacing/>
    </pPr>
  </style>
  <style styleId="IntenseEmphasis" type="character">
    <name val="Intense Emphasis"/>
    <basedOn val="DefaultParagraphFont"/>
    <uiPriority val="21"/>
    <qFormat/>
    <rsid val="00C20F55"/>
    <rPr>
      <i/>
      <iCs/>
      <color val="0F4761"/>
    </rPr>
  </style>
  <style styleId="IntenseQuote" type="paragraph">
    <name val="Intense Quote"/>
    <basedOn val="Normal"/>
    <next val="Normal"/>
    <link val="IntenseQuoteChar"/>
    <uiPriority val="30"/>
    <qFormat/>
    <rsid val="00C20F55"/>
    <pPr>
      <pBdr>
        <top color="0F4761" space="10" sz="4" val="single"/>
        <bottom color="0F4761" space="10" sz="4" val="single"/>
      </pBdr>
      <spacing after="360" before="360"/>
      <ind left="864" right="864"/>
      <jc val="center"/>
    </pPr>
    <rPr>
      <i/>
      <iCs/>
      <color val="0F4761"/>
    </rPr>
  </style>
  <style customStyle="1" styleId="IntenseQuoteChar" type="character">
    <name val="Intense Quote Char"/>
    <basedOn val="DefaultParagraphFont"/>
    <link val="IntenseQuote"/>
    <uiPriority val="30"/>
    <rsid val="00C20F55"/>
    <rPr>
      <i/>
      <iCs/>
      <color val="0F4761"/>
    </rPr>
  </style>
  <style styleId="IntenseReference" type="character">
    <name val="Intense Reference"/>
    <basedOn val="DefaultParagraphFont"/>
    <uiPriority val="32"/>
    <qFormat/>
    <rsid val="00C20F55"/>
    <rPr>
      <b/>
      <bCs/>
      <smallCaps/>
      <color val="0F4761"/>
      <spacing val="5"/>
    </rPr>
  </style>
  <style styleId="CommentReference" type="character">
    <name val="annotation reference"/>
    <basedOn val="DefaultParagraphFont"/>
    <uiPriority val="99"/>
    <semiHidden/>
    <unhideWhenUsed/>
    <rsid val="00EA5CD3"/>
    <rPr>
      <sz val="16"/>
      <szCs val="16"/>
    </rPr>
  </style>
  <style styleId="CommentText" type="paragraph">
    <name val="annotation text"/>
    <basedOn val="Normal"/>
    <link val="CommentTextChar"/>
    <uiPriority val="99"/>
    <unhideWhenUsed/>
    <rsid val="00EA5CD3"/>
    <pPr>
      <spacing line="240" lineRule="auto"/>
    </pPr>
    <rPr>
      <sz val="20"/>
      <szCs val="20"/>
    </rPr>
  </style>
  <style customStyle="1" styleId="CommentTextChar" type="character">
    <name val="Comment Text Char"/>
    <basedOn val="DefaultParagraphFont"/>
    <link val="CommentText"/>
    <uiPriority val="99"/>
    <rsid val="00EA5CD3"/>
    <rPr>
      <sz val="20"/>
      <szCs val="20"/>
    </rPr>
  </style>
  <style styleId="CommentSubject" type="paragraph">
    <name val="annotation subject"/>
    <basedOn val="CommentText"/>
    <next val="CommentText"/>
    <link val="CommentSubjectChar"/>
    <uiPriority val="99"/>
    <semiHidden/>
    <unhideWhenUsed/>
    <rsid val="00EA5CD3"/>
    <rPr>
      <b/>
      <bCs/>
    </rPr>
  </style>
  <style customStyle="1" styleId="CommentSubjectChar" type="character">
    <name val="Comment Subject Char"/>
    <basedOn val="CommentTextChar"/>
    <link val="CommentSubject"/>
    <uiPriority val="99"/>
    <semiHidden/>
    <rsid val="00EA5CD3"/>
    <rPr>
      <b/>
      <bCs/>
      <sz val="20"/>
      <szCs val="20"/>
    </rPr>
  </style>
  <style styleId="PlaceholderText" type="character">
    <name val="Placeholder Text"/>
    <basedOn val="DefaultParagraphFont"/>
    <uiPriority val="99"/>
    <semiHidden/>
    <rsid val="00AF7413"/>
    <rPr>
      <color val="666666"/>
    </rPr>
  </style>
  <style styleId="Revision" type="paragraph">
    <name val="Revision"/>
    <hidden/>
    <uiPriority val="99"/>
    <semiHidden/>
    <rsid val="009878E4"/>
    <pPr>
      <spacing after="0" line="240" lineRule="auto"/>
    </pPr>
  </style>
  <style styleId="Caption" type="paragraph">
    <name val="caption"/>
    <basedOn val="Normal"/>
    <next val="Normal"/>
    <uiPriority val="35"/>
    <unhideWhenUsed/>
    <qFormat/>
    <rsid val="00B82F7F"/>
    <pPr>
      <spacing after="200" line="240" lineRule="auto"/>
    </pPr>
    <rPr>
      <i/>
      <iCs/>
      <color val="0E2841"/>
      <sz val="18"/>
      <szCs val="18"/>
    </rPr>
  </style>
  <style styleId="TableGrid" type="table">
    <name val="Table Grid"/>
    <basedOn val="TableNormal"/>
    <uiPriority val="39"/>
    <rsid val="00D85FA0"/>
    <pPr>
      <spacing after="0" line="240" lineRule="auto"/>
    </pPr>
    <tblPr>
      <tblBorders>
        <top color="auto" space="0" sz="4" val="single"/>
        <left color="auto" space="0" sz="4" val="single"/>
        <bottom color="auto" space="0" sz="4" val="single"/>
        <right color="auto" space="0" sz="4" val="single"/>
        <insideH color="auto" space="0" sz="4" val="single"/>
        <insideV color="auto" space="0" sz="4" val="single"/>
      </tblBorders>
    </tblPr>
  </style>
  <style type="paragraph" customStyle="1" styleId="SourceCode">
    <name val="Source Code"/>
    <basedOn val="Normal"/>
    <link val="VerbatimChar"/>
    <pPr>
      <wordWrap val="off"/>
    </pPr>
  </style>
  <style type="character" customStyle="1" styleId="KeywordTok">
    <name val="KeywordTok"/>
    <basedOn val="VerbatimChar"/>
    <rPr>
      <color val="007020"/>
      <b/>
    </rPr>
  </style>
  <style type="character" customStyle="1" styleId="DataTypeTok">
    <name val="DataTypeTok"/>
    <basedOn val="VerbatimChar"/>
    <rPr>
      <color val="902000"/>
    </rPr>
  </style>
  <style type="character" customStyle="1" styleId="DecValTok">
    <name val="DecValTok"/>
    <basedOn val="VerbatimChar"/>
    <rPr>
      <color val="40a070"/>
    </rPr>
  </style>
  <style type="character" customStyle="1" styleId="BaseNTok">
    <name val="BaseNTok"/>
    <basedOn val="VerbatimChar"/>
    <rPr>
      <color val="40a070"/>
    </rPr>
  </style>
  <style type="character" customStyle="1" styleId="FloatTok">
    <name val="FloatTok"/>
    <basedOn val="VerbatimChar"/>
    <rPr>
      <color val="40a070"/>
    </rPr>
  </style>
  <style type="character" customStyle="1" styleId="ConstantTok">
    <name val="ConstantTok"/>
    <basedOn val="VerbatimChar"/>
    <rPr>
      <color val="880000"/>
    </rPr>
  </style>
  <style type="character" customStyle="1" styleId="CharTok">
    <name val="CharTok"/>
    <basedOn val="VerbatimChar"/>
    <rPr>
      <color val="4070a0"/>
    </rPr>
  </style>
  <style type="character" customStyle="1" styleId="SpecialCharTok">
    <name val="SpecialCharTok"/>
    <basedOn val="VerbatimChar"/>
    <rPr>
      <color val="4070a0"/>
    </rPr>
  </style>
  <style type="character" customStyle="1" styleId="StringTok">
    <name val="StringTok"/>
    <basedOn val="VerbatimChar"/>
    <rPr>
      <color val="4070a0"/>
    </rPr>
  </style>
  <style type="character" customStyle="1" styleId="VerbatimStringTok">
    <name val="VerbatimStringTok"/>
    <basedOn val="VerbatimChar"/>
    <rPr>
      <color val="4070a0"/>
    </rPr>
  </style>
  <style type="character" customStyle="1" styleId="SpecialStringTok">
    <name val="SpecialStringTok"/>
    <basedOn val="VerbatimChar"/>
    <rPr>
      <color val="bb6688"/>
    </rPr>
  </style>
  <style type="character" customStyle="1" styleId="ImportTok">
    <name val="ImportTok"/>
    <basedOn val="VerbatimChar"/>
    <rPr>
      <color val="008000"/>
      <b/>
    </rPr>
  </style>
  <style type="character" customStyle="1" styleId="CommentTok">
    <name val="CommentTok"/>
    <basedOn val="VerbatimChar"/>
    <rPr>
      <color val="60a0b0"/>
      <i/>
    </rPr>
  </style>
  <style type="character" customStyle="1" styleId="DocumentationTok">
    <name val="DocumentationTok"/>
    <basedOn val="VerbatimChar"/>
    <rPr>
      <color val="ba2121"/>
      <i/>
    </rPr>
  </style>
  <style type="character" customStyle="1" styleId="AnnotationTok">
    <name val="AnnotationTok"/>
    <basedOn val="VerbatimChar"/>
    <rPr>
      <color val="60a0b0"/>
      <b/>
      <i/>
    </rPr>
  </style>
  <style type="character" customStyle="1" styleId="CommentVarTok">
    <name val="CommentVarTok"/>
    <basedOn val="VerbatimChar"/>
    <rPr>
      <color val="60a0b0"/>
      <b/>
      <i/>
    </rPr>
  </style>
  <style type="character" customStyle="1" styleId="OtherTok">
    <name val="OtherTok"/>
    <basedOn val="VerbatimChar"/>
    <rPr>
      <color val="007020"/>
    </rPr>
  </style>
  <style type="character" customStyle="1" styleId="FunctionTok">
    <name val="FunctionTok"/>
    <basedOn val="VerbatimChar"/>
    <rPr>
      <color val="06287e"/>
    </rPr>
  </style>
  <style type="character" customStyle="1" styleId="VariableTok">
    <name val="VariableTok"/>
    <basedOn val="VerbatimChar"/>
    <rPr>
      <color val="19177c"/>
    </rPr>
  </style>
  <style type="character" customStyle="1" styleId="ControlFlowTok">
    <name val="ControlFlowTok"/>
    <basedOn val="VerbatimChar"/>
    <rPr>
      <color val="007020"/>
      <b/>
    </rPr>
  </style>
  <style type="character" customStyle="1" styleId="OperatorTok">
    <name val="OperatorTok"/>
    <basedOn val="VerbatimChar"/>
    <rPr>
      <color val="666666"/>
    </rPr>
  </style>
  <style type="character" customStyle="1" styleId="BuiltInTok">
    <name val="BuiltInTok"/>
    <basedOn val="VerbatimChar"/>
    <rPr>
      <color val="008000"/>
    </rPr>
  </style>
  <style type="character" customStyle="1" styleId="ExtensionTok">
    <name val="ExtensionTok"/>
    <basedOn val="VerbatimChar"/>
    <rPr/>
  </style>
  <style type="character" customStyle="1" styleId="PreprocessorTok">
    <name val="PreprocessorTok"/>
    <basedOn val="VerbatimChar"/>
    <rPr>
      <color val="bc7a00"/>
    </rPr>
  </style>
  <style type="character" customStyle="1" styleId="AttributeTok">
    <name val="AttributeTok"/>
    <basedOn val="VerbatimChar"/>
    <rPr>
      <color val="7d9029"/>
    </rPr>
  </style>
  <style type="character" customStyle="1" styleId="RegionMarkerTok">
    <name val="RegionMarkerTok"/>
    <basedOn val="VerbatimChar"/>
    <rPr/>
  </style>
  <style type="character" customStyle="1" styleId="InformationTok">
    <name val="InformationTok"/>
    <basedOn val="VerbatimChar"/>
    <rPr>
      <color val="60a0b0"/>
      <b/>
      <i/>
    </rPr>
  </style>
  <style type="character" customStyle="1" styleId="WarningTok">
    <name val="WarningTok"/>
    <basedOn val="VerbatimChar"/>
    <rPr>
      <color val="60a0b0"/>
      <b/>
      <i/>
    </rPr>
  </style>
  <style type="character" customStyle="1" styleId="AlertTok">
    <name val="AlertTok"/>
    <basedOn val="VerbatimChar"/>
    <rPr>
      <color val="ff0000"/>
      <b/>
    </rPr>
  </style>
  <style type="character" customStyle="1" styleId="ErrorTok">
    <name val="ErrorTok"/>
    <basedOn val="VerbatimChar"/>
    <rPr>
      <color val="ff0000"/>
      <b/>
    </rPr>
  </style>
  <style type="character" customStyle="1" styleId="NormalTok">
    <name val="NormalTok"/>
    <basedOn val="VerbatimChar"/>
    <rPr/>
  </style>
</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Relationships xmlns="http://schemas.openxmlformats.org/package/2006/relationships"><Relationship Type="http://schemas.openxmlformats.org/officeDocument/2006/relationships/numbering" Id="rId1" Target="numbering.xml"/><Relationship Type="http://schemas.openxmlformats.org/officeDocument/2006/relationships/styles" Id="rId2" Target="styles.xml"/><Relationship Type="http://schemas.openxmlformats.org/officeDocument/2006/relationships/settings" Id="rId3" Target="settings.xml"/><Relationship Type="http://schemas.openxmlformats.org/officeDocument/2006/relationships/webSettings" Id="rId4" Target="webSettings.xml"/><Relationship Type="http://schemas.openxmlformats.org/officeDocument/2006/relationships/fontTable" Id="rId5" Target="fontTable.xml"/><Relationship Type="http://schemas.openxmlformats.org/officeDocument/2006/relationships/theme" Id="rId6" Target="theme/theme1.xml"/><Relationship Type="http://schemas.openxmlformats.org/officeDocument/2006/relationships/footnotes" Id="rId7" Target="footnotes.xml"/><Relationship Type="http://schemas.openxmlformats.org/officeDocument/2006/relationships/comments" Id="rId8" Target="comments.xml"/></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341</TotalTime>
  <Pages>19</Pages>
  <Words>6114</Words>
  <Characters>37725</Characters>
  <Application>Microsoft Office Word</Application>
  <DocSecurity>0</DocSecurity>
  <Lines>1300</Lines>
  <Paragraphs>876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42963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2026-04-16T21:24:26Z</dcterms:created>
  <dcterms:modified xsi:type="dcterms:W3CDTF">2026-04-16T21:24:26Z</dcterms:modified>
</cp:coreProperties>
</file>

<file path=docProps/custom.xml><?xml version="1.0" encoding="utf-8"?>
<Properties xmlns="http://schemas.openxmlformats.org/officeDocument/2006/custom-properties" xmlns:vt="http://schemas.openxmlformats.org/officeDocument/2006/docPropsVTypes"/>
</file>