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Appendix: Cross-Region Stress Decorrelation Analysis</w:t>
      </w:r>
    </w:p>
    <w:bookmarkStart w:id="49" w:name="X109b820a7195feb1a1919ab45bf4b3d069e26e7"/>
    <w:p>
      <w:pPr>
        <w:pStyle w:val="Heading1"/>
      </w:pPr>
      <w:r>
        <w:t xml:space="preserve">Technical Appendix: Cross-Region Stress Decorrelation Analysis</w:t>
      </w:r>
    </w:p>
    <w:p>
      <w:pPr>
        <w:pStyle w:val="FirstParagraph"/>
      </w:pPr>
      <w:r>
        <w:rPr>
          <w:iCs/>
          <w:i/>
        </w:rPr>
        <w:t xml:space="preserve">This document provides the complete methodology, results, and interpretation</w:t>
      </w:r>
      <w:r>
        <w:rPr>
          <w:iCs/>
          <w:i/>
        </w:rPr>
        <w:t xml:space="preserve"> </w:t>
      </w:r>
      <w:r>
        <w:rPr>
          <w:iCs/>
          <w:i/>
        </w:rPr>
        <w:t xml:space="preserve">of the cross-region stress decorrelation analysis underpinning the cascade</w:t>
      </w:r>
      <w:r>
        <w:rPr>
          <w:iCs/>
          <w:i/>
        </w:rPr>
        <w:t xml:space="preserve"> </w:t>
      </w:r>
      <w:r>
        <w:rPr>
          <w:iCs/>
          <w:i/>
        </w:rPr>
        <w:t xml:space="preserve">model’s destination availability parameter (D1) and the conditional Monte</w:t>
      </w:r>
      <w:r>
        <w:rPr>
          <w:iCs/>
          <w:i/>
        </w:rPr>
        <w:t xml:space="preserve"> </w:t>
      </w:r>
      <w:r>
        <w:rPr>
          <w:iCs/>
          <w:i/>
        </w:rPr>
        <w:t xml:space="preserve">Carlo simulation. It serves as the extended companion to NE paper §3.</w:t>
      </w:r>
    </w:p>
    <w:p>
      <w:r>
        <w:pict>
          <v:rect style="width:0;height:1.5pt" o:hralign="center" o:hrstd="t" o:hr="t"/>
        </w:pict>
      </w:r>
    </w:p>
    <w:bookmarkStart w:id="20" w:name="research-question"/>
    <w:p>
      <w:pPr>
        <w:pStyle w:val="Heading2"/>
      </w:pPr>
      <w:r>
        <w:t xml:space="preserve">1. Research Question</w:t>
      </w:r>
    </w:p>
    <w:p>
      <w:pPr>
        <w:pStyle w:val="FirstParagraph"/>
      </w:pPr>
      <w:r>
        <w:t xml:space="preserve">Spatial compute migration requires that at least one destination grid region</w:t>
      </w:r>
      <w:r>
        <w:t xml:space="preserve"> </w:t>
      </w:r>
      <w:r>
        <w:t xml:space="preserve">is operating under normal conditions when the source region is stressed.</w:t>
      </w:r>
      <w:r>
        <w:t xml:space="preserve"> </w:t>
      </w:r>
      <w:r>
        <w:t xml:space="preserve">This document establishes the empirical basis for that condition using four</w:t>
      </w:r>
      <w:r>
        <w:t xml:space="preserve"> </w:t>
      </w:r>
      <w:r>
        <w:t xml:space="preserve">years of day-ahead electricity pricing data across five U.S. grid regions.</w:t>
      </w:r>
    </w:p>
    <w:p>
      <w:pPr>
        <w:pStyle w:val="BodyText"/>
      </w:pPr>
      <w:r>
        <w:t xml:space="preserve">The central question:</w:t>
      </w:r>
      <w:r>
        <w:t xml:space="preserve"> </w:t>
      </w:r>
      <w:r>
        <w:rPr>
          <w:iCs/>
          <w:i/>
        </w:rPr>
        <w:t xml:space="preserve">during ComEd stress events, is there always somewhere</w:t>
      </w:r>
      <w:r>
        <w:rPr>
          <w:iCs/>
          <w:i/>
        </w:rPr>
        <w:t xml:space="preserve"> </w:t>
      </w:r>
      <w:r>
        <w:rPr>
          <w:iCs/>
          <w:i/>
        </w:rPr>
        <w:t xml:space="preserve">else to send the workload?</w:t>
      </w:r>
    </w:p>
    <w:p>
      <w:r>
        <w:pict>
          <v:rect style="width:0;height:1.5pt" o:hralign="center" o:hrstd="t" o:hr="t"/>
        </w:pict>
      </w:r>
    </w:p>
    <w:bookmarkEnd w:id="20"/>
    <w:bookmarkStart w:id="24" w:name="data"/>
    <w:p>
      <w:pPr>
        <w:pStyle w:val="Heading2"/>
      </w:pPr>
      <w:r>
        <w:t xml:space="preserve">2. Data</w:t>
      </w:r>
    </w:p>
    <w:bookmarkStart w:id="21" w:name="price-data"/>
    <w:p>
      <w:pPr>
        <w:pStyle w:val="Heading3"/>
      </w:pPr>
      <w:r>
        <w:t xml:space="preserve">Price Data</w:t>
      </w:r>
    </w:p>
    <w:p>
      <w:pPr>
        <w:pStyle w:val="FirstParagraph"/>
      </w:pPr>
      <w:r>
        <w:t xml:space="preserve">35,060 hours of day-ahead locational marginal pricing (DA LMP) data from</w:t>
      </w:r>
      <w:r>
        <w:t xml:space="preserve"> </w:t>
      </w:r>
      <w:r>
        <w:t xml:space="preserve">January 2022 through December 2025, spanning five U.S. grid regions: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Timezone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PJM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PJM Data 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ERCOT market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→ 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CAISO OASIS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→ 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 market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NYISO market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EPT</w:t>
            </w:r>
          </w:p>
        </w:tc>
      </w:tr>
    </w:tbl>
    <w:p>
      <w:pPr>
        <w:pStyle w:val="BodyText"/>
      </w:pPr>
      <w:r>
        <w:t xml:space="preserve">All prices are aligned to a common Eastern Prevailing Time datetime index.</w:t>
      </w:r>
      <w:r>
        <w:t xml:space="preserve"> </w:t>
      </w:r>
      <w:r>
        <w:t xml:space="preserve">CAISO coverage begins November 2022 (26,541 overlapping hours); all other</w:t>
      </w:r>
      <w:r>
        <w:t xml:space="preserve"> </w:t>
      </w:r>
      <w:r>
        <w:t xml:space="preserve">regions have full 2022–2025 coverage.</w:t>
      </w:r>
    </w:p>
    <w:p>
      <w:pPr>
        <w:pStyle w:val="BodyText"/>
      </w:pPr>
      <w:r>
        <w:t xml:space="preserve">WECC bilateral trading hubs (Mid-Columbia, Palo Verde) are excluded from the</w:t>
      </w:r>
      <w:r>
        <w:t xml:space="preserve"> </w:t>
      </w:r>
      <w:r>
        <w:t xml:space="preserve">current analysis because their published price data is daily-resolution,</w:t>
      </w:r>
      <w:r>
        <w:t xml:space="preserve"> </w:t>
      </w:r>
      <w:r>
        <w:t xml:space="preserve">insufficient for hourly stress event detection. These hubs represent</w:t>
      </w:r>
      <w:r>
        <w:t xml:space="preserve"> </w:t>
      </w:r>
      <w:r>
        <w:t xml:space="preserve">approximately 10,100 MW of current data center capacity; their inclusion</w:t>
      </w:r>
      <w:r>
        <w:t xml:space="preserve"> </w:t>
      </w:r>
      <w:r>
        <w:t xml:space="preserve">would increase destination headroom and shift fleet commitment depth upward.</w:t>
      </w:r>
    </w:p>
    <w:bookmarkEnd w:id="21"/>
    <w:bookmarkStart w:id="22" w:name="data-center-location-data"/>
    <w:p>
      <w:pPr>
        <w:pStyle w:val="Heading3"/>
      </w:pPr>
      <w:r>
        <w:t xml:space="preserve">Data Center Location Data</w:t>
      </w:r>
    </w:p>
    <w:p>
      <w:pPr>
        <w:pStyle w:val="FirstParagraph"/>
      </w:pPr>
      <w:r>
        <w:t xml:space="preserve">County-level data center capacity from two sources: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Baxtel commercial data center database</w:t>
      </w:r>
      <w:r>
        <w:t xml:space="preserve"> </w:t>
      </w:r>
      <w:r>
        <w:t xml:space="preserve">(baxtel.com) — facility-level</w:t>
      </w:r>
      <w:r>
        <w:t xml:space="preserve"> </w:t>
      </w:r>
      <w:r>
        <w:t xml:space="preserve">records of operational, under construction, and planned capacity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DOE/NREL Accelerating Speed to Power Data Viewer</w:t>
      </w:r>
      <w:r>
        <w:t xml:space="preserve"> </w:t>
      </w:r>
      <w:r>
        <w:t xml:space="preserve">(maps.nrel.gov/speed-to-power) — county-level capacity aggregation from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Data Center Demand Capacity by County</w:t>
      </w:r>
      <w:r>
        <w:t xml:space="preserve">”</w:t>
      </w:r>
      <w:r>
        <w:t xml:space="preserve"> </w:t>
      </w:r>
      <w:r>
        <w:t xml:space="preserve">layer, accessed December 2025</w:t>
      </w:r>
    </w:p>
    <w:p>
      <w:pPr>
        <w:pStyle w:val="FirstParagraph"/>
      </w:pPr>
      <w:r>
        <w:t xml:space="preserve">National totals from the combined dataset: 51,058 MW operational, 36,626 MW</w:t>
      </w:r>
      <w:r>
        <w:t xml:space="preserve"> </w:t>
      </w:r>
      <w:r>
        <w:t xml:space="preserve">under construction, 201,570 MW planned. Only operational capacity is used</w:t>
      </w:r>
      <w:r>
        <w:t xml:space="preserve"> </w:t>
      </w:r>
      <w:r>
        <w:t xml:space="preserve">for the stress correlation analysis, as these facilities were drawing load</w:t>
      </w:r>
      <w:r>
        <w:t xml:space="preserve"> </w:t>
      </w:r>
      <w:r>
        <w:t xml:space="preserve">during the 2022–2025 pricing period.</w:t>
      </w:r>
    </w:p>
    <w:bookmarkEnd w:id="22"/>
    <w:bookmarkStart w:id="23" w:name="county-to-pricing-zone-mapping"/>
    <w:p>
      <w:pPr>
        <w:pStyle w:val="Heading3"/>
      </w:pPr>
      <w:r>
        <w:t xml:space="preserve">County-to-Pricing-Zone Mapping</w:t>
      </w:r>
    </w:p>
    <w:p>
      <w:pPr>
        <w:pStyle w:val="FirstParagraph"/>
      </w:pPr>
      <w:r>
        <w:t xml:space="preserve">Each county in the dataset is mapped to a pricing zone: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PJM counties</w:t>
      </w:r>
      <w:r>
        <w:t xml:space="preserve"> </w:t>
      </w:r>
      <w:r>
        <w:t xml:space="preserve">→ PJM settlement zone (ComEd, DOM, AEP, BGE, PECO, PSEG)</w:t>
      </w:r>
      <w:r>
        <w:t xml:space="preserve"> </w:t>
      </w:r>
      <w:r>
        <w:t xml:space="preserve">based on utility territory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ERCOT counties</w:t>
      </w:r>
      <w:r>
        <w:t xml:space="preserve"> </w:t>
      </w:r>
      <w:r>
        <w:t xml:space="preserve">→ ERCOT load zone (LZ_NORTH, LZ_SOUTH, LZ_WEST,</w:t>
      </w:r>
      <w:r>
        <w:t xml:space="preserve"> </w:t>
      </w:r>
      <w:r>
        <w:t xml:space="preserve">LZ_HOUSTON) based on county-to-load-zone geographic mapping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CAISO counties</w:t>
      </w:r>
      <w:r>
        <w:t xml:space="preserve"> </w:t>
      </w:r>
      <w:r>
        <w:t xml:space="preserve">→ NP15 or SP15 based on latitude (NP15 covers Northern</w:t>
      </w:r>
      <w:r>
        <w:t xml:space="preserve"> </w:t>
      </w:r>
      <w:r>
        <w:t xml:space="preserve">California including Santa Clara County / Silicon Valley)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MISO counties</w:t>
      </w:r>
      <w:r>
        <w:t xml:space="preserve"> </w:t>
      </w:r>
      <w:r>
        <w:t xml:space="preserve">→ MISO commercial pricing hub based on state. Six</w:t>
      </w:r>
      <w:r>
        <w:t xml:space="preserve"> </w:t>
      </w:r>
      <w:r>
        <w:t xml:space="preserve">hub-keyed zones: Minnesota Hub (MN, WI, ND, SD), Indiana Hub (IN),</w:t>
      </w:r>
      <w:r>
        <w:t xml:space="preserve"> </w:t>
      </w:r>
      <w:r>
        <w:t xml:space="preserve">Illinois Hub (IL Ameren territory), Michigan Hub (MI), Arkansas Hub (AR),</w:t>
      </w:r>
      <w:r>
        <w:t xml:space="preserve"> </w:t>
      </w:r>
      <w:r>
        <w:t xml:space="preserve">Louisiana Hub (LA, MS)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NYISO counties</w:t>
      </w:r>
      <w:r>
        <w:t xml:space="preserve"> </w:t>
      </w:r>
      <w:r>
        <w:t xml:space="preserve">→ NYISO zone based on geographic territory (Zones A, F,</w:t>
      </w:r>
      <w:r>
        <w:t xml:space="preserve"> </w:t>
      </w:r>
      <w:r>
        <w:t xml:space="preserve">G, J, K)</w:t>
      </w:r>
    </w:p>
    <w:p>
      <w:pPr>
        <w:pStyle w:val="FirstParagraph"/>
      </w:pPr>
      <w:r>
        <w:t xml:space="preserve">This mapping is stored in</w:t>
      </w:r>
      <w:r>
        <w:t xml:space="preserve"> </w:t>
      </w:r>
      <w:r>
        <w:rPr>
          <w:rStyle w:val="VerbatimChar"/>
        </w:rPr>
        <w:t xml:space="preserve">county_node_mapping.py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dc_capacity_mapped.csv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MISO zone structure note:</w:t>
      </w:r>
      <w:r>
        <w:t xml:space="preserve"> </w:t>
      </w:r>
      <w:r>
        <w:t xml:space="preserve">The current analysis uses six hub-keyed zones</w:t>
      </w:r>
      <w:r>
        <w:t xml:space="preserve"> </w:t>
      </w:r>
      <w:r>
        <w:t xml:space="preserve">rather than the eight MISO Local Resource Zones (LRZs) used in earlier</w:t>
      </w:r>
      <w:r>
        <w:t xml:space="preserve"> </w:t>
      </w:r>
      <w:r>
        <w:t xml:space="preserve">versions. This change was made because MISO publishes day-ahead hub LMPs</w:t>
      </w:r>
      <w:r>
        <w:t xml:space="preserve"> </w:t>
      </w:r>
      <w:r>
        <w:t xml:space="preserve">(not LRZ-level LMPs), making hub-keyed zones the correct unit for price-based</w:t>
      </w:r>
      <w:r>
        <w:t xml:space="preserve"> </w:t>
      </w:r>
      <w:r>
        <w:t xml:space="preserve">stress identification. Two zones with operational data center capacity —</w:t>
      </w:r>
      <w:r>
        <w:t xml:space="preserve"> </w:t>
      </w:r>
      <w:r>
        <w:t xml:space="preserve">Zone 2/Wisconsin (~24 MW operational, ~7,600 MW announced) and Zone 5/Missouri</w:t>
      </w:r>
      <w:r>
        <w:t xml:space="preserve"> </w:t>
      </w:r>
      <w:r>
        <w:t xml:space="preserve">(~411 MW operational) — are excluded because MISO does not publish dedicated</w:t>
      </w:r>
      <w:r>
        <w:t xml:space="preserve"> </w:t>
      </w:r>
      <w:r>
        <w:t xml:space="preserve">hub LMPs for these areas. Iowa counties are mapped to Minnesota Hub (the</w:t>
      </w:r>
      <w:r>
        <w:t xml:space="preserve"> </w:t>
      </w:r>
      <w:r>
        <w:t xml:space="preserve">nearest published hub) rather than to Michigan Hub as in earlier versions.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ethodology"/>
    <w:p>
      <w:pPr>
        <w:pStyle w:val="Heading2"/>
      </w:pPr>
      <w:r>
        <w:t xml:space="preserve">3. Methodology</w:t>
      </w:r>
    </w:p>
    <w:bookmarkStart w:id="25" w:name="stress-hour-identification"/>
    <w:p>
      <w:pPr>
        <w:pStyle w:val="Heading3"/>
      </w:pPr>
      <w:r>
        <w:t xml:space="preserve">Stress Hour Identification</w:t>
      </w:r>
    </w:p>
    <w:p>
      <w:pPr>
        <w:pStyle w:val="FirstParagraph"/>
      </w:pPr>
      <w:r>
        <w:t xml:space="preserve">Stress hours are defined as the top 50 DA LMP hours per year per zone</w:t>
      </w:r>
      <w:r>
        <w:t xml:space="preserve"> </w:t>
      </w:r>
      <w:r>
        <w:t xml:space="preserve">(approximately the 99.4th percentile of each zone’s own four-year</w:t>
      </w:r>
      <w:r>
        <w:t xml:space="preserve"> </w:t>
      </w:r>
      <w:r>
        <w:t xml:space="preserve">distribution), yielding 200 stress hours per zone over the 2022–2025 period.</w:t>
      </w:r>
    </w:p>
    <w:p>
      <w:pPr>
        <w:pStyle w:val="BodyText"/>
      </w:pPr>
      <w:r>
        <w:rPr>
          <w:bCs/>
          <w:b/>
        </w:rPr>
        <w:t xml:space="preserve">Why price-based (not demand-based):</w:t>
      </w:r>
      <w:r>
        <w:t xml:space="preserve"> </w:t>
      </w:r>
      <w:r>
        <w:t xml:space="preserve">Price captures both demand-driven</w:t>
      </w:r>
      <w:r>
        <w:t xml:space="preserve"> </w:t>
      </w:r>
      <w:r>
        <w:t xml:space="preserve">stress (high cooling/heating load) and supply-driven stress (generator</w:t>
      </w:r>
      <w:r>
        <w:t xml:space="preserve"> </w:t>
      </w:r>
      <w:r>
        <w:t xml:space="preserve">outages, gas curtailments, transmission constraints). A high DA LMP results</w:t>
      </w:r>
      <w:r>
        <w:t xml:space="preserve"> </w:t>
      </w:r>
      <w:r>
        <w:t xml:space="preserve">from either cause; both represent grid conditions under which spatial</w:t>
      </w:r>
      <w:r>
        <w:t xml:space="preserve"> </w:t>
      </w:r>
      <w:r>
        <w:t xml:space="preserve">migration would be triggered. A price-only signal captures the union of</w:t>
      </w:r>
      <w:r>
        <w:t xml:space="preserve"> </w:t>
      </w:r>
      <w:r>
        <w:t xml:space="preserve">stress causes without needing to separate them.</w:t>
      </w:r>
    </w:p>
    <w:p>
      <w:pPr>
        <w:pStyle w:val="BodyText"/>
      </w:pPr>
      <w:r>
        <w:rPr>
          <w:bCs/>
          <w:b/>
        </w:rPr>
        <w:t xml:space="preserve">Why top 50 per year:</w:t>
      </w:r>
      <w:r>
        <w:t xml:space="preserve"> </w:t>
      </w:r>
      <w:r>
        <w:t xml:space="preserve">The threshold yields ~50 hours per year,</w:t>
      </w:r>
      <w:r>
        <w:t xml:space="preserve"> </w:t>
      </w:r>
      <w:r>
        <w:t xml:space="preserve">calibrated to existing resource adequacy protocols. PJM’s Performance</w:t>
      </w:r>
      <w:r>
        <w:t xml:space="preserve"> </w:t>
      </w:r>
      <w:r>
        <w:t xml:space="preserve">Assessment Hours (PAH) typically flag 30–50 hours per year. Top-50 is in</w:t>
      </w:r>
      <w:r>
        <w:t xml:space="preserve"> </w:t>
      </w:r>
      <w:r>
        <w:t xml:space="preserve">that range while ensuring adequate sample size for cross-zone coincidence</w:t>
      </w:r>
      <w:r>
        <w:t xml:space="preserve"> </w:t>
      </w:r>
      <w:r>
        <w:t xml:space="preserve">calculation.</w:t>
      </w:r>
    </w:p>
    <w:p>
      <w:pPr>
        <w:pStyle w:val="BodyText"/>
      </w:pPr>
      <w:r>
        <w:rPr>
          <w:bCs/>
          <w:b/>
        </w:rPr>
        <w:t xml:space="preserve">Threshold sensitivity:</w:t>
      </w:r>
      <w:r>
        <w:t xml:space="preserve"> </w:t>
      </w:r>
      <w:r>
        <w:t xml:space="preserve">The cross-region decorrelation result is robust</w:t>
      </w:r>
      <w:r>
        <w:t xml:space="preserve"> </w:t>
      </w:r>
      <w:r>
        <w:t xml:space="preserve">to threshold specification. Sensitivity analysis using top-25 (~99.7th</w:t>
      </w:r>
      <w:r>
        <w:t xml:space="preserve"> </w:t>
      </w:r>
      <w:r>
        <w:t xml:space="preserve">percentile) and top-100 (~98.9th percentile) thresholds (reported in</w:t>
      </w:r>
      <w:r>
        <w:t xml:space="preserve"> </w:t>
      </w:r>
      <w:r>
        <w:t xml:space="preserve">Extended Data Fig. 1 of the NE paper) confirms that the qualitative</w:t>
      </w:r>
      <w:r>
        <w:t xml:space="preserve"> </w:t>
      </w:r>
      <w:r>
        <w:t xml:space="preserve">finding — cross-interconnection destinations are rarely co-stressed with</w:t>
      </w:r>
      <w:r>
        <w:t xml:space="preserve"> </w:t>
      </w:r>
      <w:r>
        <w:t xml:space="preserve">ComEd — holds across thresholds.</w:t>
      </w:r>
    </w:p>
    <w:bookmarkEnd w:id="25"/>
    <w:bookmarkStart w:id="26" w:name="destination-pool"/>
    <w:p>
      <w:pPr>
        <w:pStyle w:val="Heading3"/>
      </w:pPr>
      <w:r>
        <w:t xml:space="preserve">Destination Pool</w:t>
      </w:r>
    </w:p>
    <w:p>
      <w:pPr>
        <w:pStyle w:val="FirstParagraph"/>
      </w:pPr>
      <w:r>
        <w:t xml:space="preserve">The destination pool comprises 17 pricing zones across four grid regions: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DC Capacity (MW)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LZ_NORTH (4,275), LZ_SOUTH (2,866), LZ_WEST (2,480), LZ_HOUSTON (890)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NP15 (1,311), SP15 (397)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Minnesota (2,988), Indiana (599), Illinois (66), Michigan (126), Arkansas (305), Louisiana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(548), J (191), G (86), A (56), K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 zones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~17,200 MW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zone:</w:t>
      </w:r>
      <w:r>
        <w:t xml:space="preserve"> </w:t>
      </w:r>
      <w:r>
        <w:t xml:space="preserve">PJM ComEd (Northern Illinois), approximately 1,647 MW of</w:t>
      </w:r>
      <w:r>
        <w:t xml:space="preserve"> </w:t>
      </w:r>
      <w:r>
        <w:t xml:space="preserve">operational data center capacity. Cook County alone has 1,069 MW; DuPage,</w:t>
      </w:r>
      <w:r>
        <w:t xml:space="preserve"> </w:t>
      </w:r>
      <w:r>
        <w:t xml:space="preserve">Will, Kane, and surrounding collar counties add the rest.</w:t>
      </w:r>
    </w:p>
    <w:p>
      <w:pPr>
        <w:pStyle w:val="BodyText"/>
      </w:pPr>
      <w:r>
        <w:rPr>
          <w:bCs/>
          <w:b/>
        </w:rPr>
        <w:t xml:space="preserve">Intra-PJM control group</w:t>
      </w:r>
      <w:r>
        <w:t xml:space="preserve"> </w:t>
      </w:r>
      <w:r>
        <w:t xml:space="preserve">(5 zones, not used for migration but essential</w:t>
      </w:r>
      <w:r>
        <w:t xml:space="preserve"> </w:t>
      </w:r>
      <w:r>
        <w:t xml:space="preserve">for proving the correlation baseline): DOM/Dominion Virginia (9,431 MW),</w:t>
      </w:r>
      <w:r>
        <w:t xml:space="preserve"> </w:t>
      </w:r>
      <w:r>
        <w:t xml:space="preserve">AEP/Ohio (3,402 MW), PECO/Philadelphia (695 MW), PSEG/New Jersey (747 MW),</w:t>
      </w:r>
      <w:r>
        <w:t xml:space="preserve"> </w:t>
      </w:r>
      <w:r>
        <w:t xml:space="preserve">BGE/Baltimore (75 MW).</w:t>
      </w:r>
    </w:p>
    <w:bookmarkEnd w:id="26"/>
    <w:bookmarkStart w:id="27" w:name="overlap-computation"/>
    <w:p>
      <w:pPr>
        <w:pStyle w:val="Heading3"/>
      </w:pPr>
      <w:r>
        <w:t xml:space="preserve">Overlap Computation</w:t>
      </w:r>
    </w:p>
    <w:p>
      <w:pPr>
        <w:pStyle w:val="FirstParagraph"/>
      </w:pPr>
      <w:r>
        <w:t xml:space="preserve">For each destination zone, stress overlap with ComEd is computed as:</w:t>
      </w:r>
    </w:p>
    <w:p>
      <w:pPr>
        <w:pStyle w:val="BlockText"/>
      </w:pPr>
      <w:r>
        <w:t xml:space="preserve">Overlap % = (hours where BOTH ComEd and destination are in their respective</w:t>
      </w:r>
      <w:r>
        <w:t xml:space="preserve"> </w:t>
      </w:r>
      <w:r>
        <w:t xml:space="preserve">top-50 for that year) / (ComEd stress hours in that year) × 100</w:t>
      </w:r>
    </w:p>
    <w:p>
      <w:pPr>
        <w:pStyle w:val="FirstParagraph"/>
      </w:pPr>
      <w:r>
        <w:t xml:space="preserve">This is computed year-by-year (2022, 2023, 2024, 2025) and as a four-year</w:t>
      </w:r>
      <w:r>
        <w:t xml:space="preserve"> </w:t>
      </w:r>
      <w:r>
        <w:t xml:space="preserve">aggregate. The per-year computation captures temporal variability including</w:t>
      </w:r>
      <w:r>
        <w:t xml:space="preserve"> </w:t>
      </w:r>
      <w:r>
        <w:t xml:space="preserve">extreme event years (2024 Arctic Blast).</w:t>
      </w:r>
    </w:p>
    <w:bookmarkEnd w:id="27"/>
    <w:bookmarkStart w:id="28" w:name="dynamic-availability"/>
    <w:p>
      <w:pPr>
        <w:pStyle w:val="Heading3"/>
      </w:pPr>
      <w:r>
        <w:t xml:space="preserve">Dynamic Availability</w:t>
      </w:r>
    </w:p>
    <w:p>
      <w:pPr>
        <w:pStyle w:val="FirstParagraph"/>
      </w:pPr>
      <w:r>
        <w:t xml:space="preserve">The headline metric: across all 200 ComEd stress hours, how often is at</w:t>
      </w:r>
      <w:r>
        <w:t xml:space="preserve"> </w:t>
      </w:r>
      <w:r>
        <w:t xml:space="preserve">least one cross-region destination zone unstressed?</w:t>
      </w:r>
    </w:p>
    <w:p>
      <w:pPr>
        <w:pStyle w:val="BlockText"/>
      </w:pPr>
      <w:r>
        <w:t xml:space="preserve">Dynamic Availability = (stress hours with at least one available destination)</w:t>
      </w:r>
      <w:r>
        <w:t xml:space="preserve"> </w:t>
      </w:r>
      <w:r>
        <w:t xml:space="preserve">/ (total stress hours)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results"/>
    <w:p>
      <w:pPr>
        <w:pStyle w:val="Heading2"/>
      </w:pPr>
      <w:r>
        <w:t xml:space="preserve">4. Results</w:t>
      </w:r>
    </w:p>
    <w:bookmarkStart w:id="30" w:name="Xbc4d480258eef8541e273793ed0627ee275b3d3"/>
    <w:p>
      <w:pPr>
        <w:pStyle w:val="Heading3"/>
      </w:pPr>
      <w:r>
        <w:t xml:space="preserve">Control Group: Intra-PJM Proves High Correlation</w:t>
      </w:r>
    </w:p>
    <w:p>
      <w:pPr>
        <w:pStyle w:val="FirstParagraph"/>
      </w:pPr>
      <w:r>
        <w:t xml:space="preserve">Before measuring cross-BA decorrelation, we establish the baseline. Intra-PJM</w:t>
      </w:r>
      <w:r>
        <w:t xml:space="preserve"> </w:t>
      </w:r>
      <w:r>
        <w:t xml:space="preserve">zones share common stress drivers: synchronized weather (Midwest-to-East-Coast</w:t>
      </w:r>
      <w:r>
        <w:t xml:space="preserve"> </w:t>
      </w:r>
      <w:r>
        <w:t xml:space="preserve">storm tracks), shared gas infrastructure (Marcellus/Utica pipeline system),</w:t>
      </w:r>
      <w:r>
        <w:t xml:space="preserve"> </w:t>
      </w:r>
      <w:r>
        <w:t xml:space="preserve">and shared AC frequency (Eastern Interconnection).</w:t>
      </w:r>
    </w:p>
    <w:p>
      <w:pPr>
        <w:pStyle w:val="BodyText"/>
      </w:pPr>
      <w:r>
        <w:t xml:space="preserve">Approximately half of ComEd’s stress hours find other PJM zones also in their</w:t>
      </w:r>
      <w:r>
        <w:t xml:space="preserve"> </w:t>
      </w:r>
      <w:r>
        <w:t xml:space="preserve">top-50 price hours. If you migrate ComEd workloads to NoVA (DOM), there is a</w:t>
      </w:r>
      <w:r>
        <w:t xml:space="preserve"> </w:t>
      </w:r>
      <w:r>
        <w:t xml:space="preserve">~36% chance DOM is also stressed. If you migrate to Ohio (AEP), ~45% overlap.</w:t>
      </w:r>
      <w:r>
        <w:t xml:space="preserve"> </w:t>
      </w:r>
      <w:r>
        <w:t xml:space="preserve">Intra-PJM migration helps some of the time, but roughly half the time, the</w:t>
      </w:r>
      <w:r>
        <w:t xml:space="preserve"> </w:t>
      </w:r>
      <w:r>
        <w:t xml:space="preserve">destination is equally expensive. This quantifies the limitation of</w:t>
      </w:r>
      <w:r>
        <w:t xml:space="preserve"> </w:t>
      </w:r>
      <w:r>
        <w:t xml:space="preserve">same-RTO migration and motivates cross-interconnection analysis.</w:t>
      </w:r>
    </w:p>
    <w:bookmarkEnd w:id="30"/>
    <w:bookmarkStart w:id="31" w:name="Xd1737cdd2dd69c9c006f985ecc2982b174b5f64"/>
    <w:p>
      <w:pPr>
        <w:pStyle w:val="Heading3"/>
      </w:pPr>
      <w:r>
        <w:t xml:space="preserve">Headline Result: 99.0% Dynamic Availability</w:t>
      </w:r>
    </w:p>
    <w:p>
      <w:pPr>
        <w:pStyle w:val="FirstParagraph"/>
      </w:pPr>
      <w:r>
        <w:t xml:space="preserve">Of the 200 ComEd stress hours across 2022–2025, at least one cross-region</w:t>
      </w:r>
      <w:r>
        <w:t xml:space="preserve"> </w:t>
      </w:r>
      <w:r>
        <w:t xml:space="preserve">destination was unstressed in 198 hours, yielding</w:t>
      </w:r>
      <w:r>
        <w:t xml:space="preserve"> </w:t>
      </w:r>
      <w:r>
        <w:rPr>
          <w:bCs/>
          <w:b/>
        </w:rPr>
        <w:t xml:space="preserve">99.0% dynamic availability</w:t>
      </w:r>
      <w:r>
        <w:t xml:space="preserve">.</w:t>
      </w:r>
    </w:p>
    <w:p>
      <w:pPr>
        <w:pStyle w:val="BodyText"/>
      </w:pPr>
      <w:r>
        <w:t xml:space="preserve">The two failure hours cluster in a single event: the January 2024 Arctic</w:t>
      </w:r>
      <w:r>
        <w:t xml:space="preserve"> </w:t>
      </w:r>
      <w:r>
        <w:t xml:space="preserve">Blast, a continental-scale cold event that simultaneously stressed every</w:t>
      </w:r>
      <w:r>
        <w:t xml:space="preserve"> </w:t>
      </w:r>
      <w:r>
        <w:t xml:space="preserve">major grid region. These two hours represent 1% of stress hours and 0.006%</w:t>
      </w:r>
      <w:r>
        <w:t xml:space="preserve"> </w:t>
      </w:r>
      <w:r>
        <w:t xml:space="preserve">of total hours in the dataset.</w:t>
      </w:r>
    </w:p>
    <w:bookmarkEnd w:id="31"/>
    <w:bookmarkStart w:id="32" w:name="multi-source-generalizability"/>
    <w:p>
      <w:pPr>
        <w:pStyle w:val="Heading3"/>
      </w:pPr>
      <w:r>
        <w:t xml:space="preserve">Multi-Source Generalizability</w:t>
      </w:r>
    </w:p>
    <w:p>
      <w:pPr>
        <w:pStyle w:val="FirstParagraph"/>
      </w:pPr>
      <w:r>
        <w:t xml:space="preserve">The analysis is replicated from three additional source zones to test whether</w:t>
      </w:r>
      <w:r>
        <w:t xml:space="preserve"> </w:t>
      </w:r>
      <w:r>
        <w:t xml:space="preserve">the ComEd-centric result generalizes: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PJM ComEd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1,647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 (198/200)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(Arctic Blast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PJM Dominion (NoVA)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9,431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(199/200)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(Arctic Blast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ERCOT LZ North (DFW)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4,275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(200/200)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CAISO NP15 (Silicon Valley)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1,311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 (200/200)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Dynamic availability is ≥99% from all four source zones. The single failure</w:t>
      </w:r>
      <w:r>
        <w:t xml:space="preserve"> </w:t>
      </w:r>
      <w:r>
        <w:t xml:space="preserve">mode is the January 2024 Arctic Blast — the only event in four years that</w:t>
      </w:r>
      <w:r>
        <w:t xml:space="preserve"> </w:t>
      </w:r>
      <w:r>
        <w:t xml:space="preserve">produced continental-scale simultaneous grid stress.</w:t>
      </w:r>
    </w:p>
    <w:bookmarkEnd w:id="32"/>
    <w:bookmarkStart w:id="33" w:name="the-interconnection-boundary-effect"/>
    <w:p>
      <w:pPr>
        <w:pStyle w:val="Heading3"/>
      </w:pPr>
      <w:r>
        <w:t xml:space="preserve">The Interconnection Boundary Effect</w:t>
      </w:r>
    </w:p>
    <w:p>
      <w:pPr>
        <w:pStyle w:val="FirstParagraph"/>
      </w:pPr>
      <w:r>
        <w:t xml:space="preserve">The decorrelation structure maps directly onto the electrical topology of the</w:t>
      </w:r>
      <w:r>
        <w:t xml:space="preserve"> </w:t>
      </w:r>
      <w:r>
        <w:t xml:space="preserve">North American transmission system:</w:t>
      </w:r>
    </w:p>
    <w:p>
      <w:pPr>
        <w:pStyle w:val="BodyText"/>
      </w:pPr>
      <w:r>
        <w:rPr>
          <w:bCs/>
          <w:b/>
        </w:rPr>
        <w:t xml:space="preserve">Cross-interconnection destinations (ERCOT, CAISO):</w:t>
      </w:r>
    </w:p>
    <w:p>
      <w:pPr>
        <w:pStyle w:val="BodyText"/>
      </w:pPr>
      <w:r>
        <w:t xml:space="preserve">ERCOT operates as an electrically isolated interconnection with no synchronous</w:t>
      </w:r>
      <w:r>
        <w:t xml:space="preserve"> </w:t>
      </w:r>
      <w:r>
        <w:t xml:space="preserve">AC ties to the Eastern grid. CAISO sits in the Western Interconnection with</w:t>
      </w:r>
      <w:r>
        <w:t xml:space="preserve"> </w:t>
      </w:r>
      <w:r>
        <w:t xml:space="preserve">temporal offset and weather patterns largely independent from the Midwest.</w:t>
      </w:r>
    </w:p>
    <w:p>
      <w:pPr>
        <w:numPr>
          <w:ilvl w:val="0"/>
          <w:numId w:val="1003"/>
        </w:numPr>
        <w:pStyle w:val="Compact"/>
      </w:pPr>
      <w:r>
        <w:t xml:space="preserve">ERCOT annual overlap with ComEd: 10–14% (as low as 4–6% in non-Arctic-Blast years)</w:t>
      </w:r>
    </w:p>
    <w:p>
      <w:pPr>
        <w:numPr>
          <w:ilvl w:val="0"/>
          <w:numId w:val="1003"/>
        </w:numPr>
        <w:pStyle w:val="Compact"/>
      </w:pPr>
      <w:r>
        <w:t xml:space="preserve">CAISO annual overlap with ComEd: 12–14% (zero summer overlap across the full dataset)</w:t>
      </w:r>
    </w:p>
    <w:p>
      <w:pPr>
        <w:numPr>
          <w:ilvl w:val="0"/>
          <w:numId w:val="1003"/>
        </w:numPr>
        <w:pStyle w:val="Compact"/>
      </w:pPr>
      <w:r>
        <w:t xml:space="preserve">Tail price correlations are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(ρ = −0.20 to −0.25), meaning</w:t>
      </w:r>
      <w:r>
        <w:t xml:space="preserve"> </w:t>
      </w:r>
      <w:r>
        <w:t xml:space="preserve">destination prices tend to be below average precisely when ComEd prices</w:t>
      </w:r>
      <w:r>
        <w:t xml:space="preserve"> </w:t>
      </w:r>
      <w:r>
        <w:t xml:space="preserve">are above average</w:t>
      </w:r>
    </w:p>
    <w:p>
      <w:pPr>
        <w:pStyle w:val="FirstParagraph"/>
      </w:pPr>
      <w:r>
        <w:t xml:space="preserve">The negative tail correlation is the strongest empirical result. It means</w:t>
      </w:r>
      <w:r>
        <w:t xml:space="preserve"> </w:t>
      </w:r>
      <w:r>
        <w:t xml:space="preserve">cross-interconnection destinations are not merely uncorrelated with ComEd</w:t>
      </w:r>
      <w:r>
        <w:t xml:space="preserve"> </w:t>
      </w:r>
      <w:r>
        <w:t xml:space="preserve">stress — they are actively anti-correlated. ERCOT’s stress is driven by</w:t>
      </w:r>
      <w:r>
        <w:t xml:space="preserve"> </w:t>
      </w:r>
      <w:r>
        <w:t xml:space="preserve">Texas-specific weather (summer heat, winter ice) with near-zero correlation</w:t>
      </w:r>
      <w:r>
        <w:t xml:space="preserve"> </w:t>
      </w:r>
      <w:r>
        <w:t xml:space="preserve">to Midwest weather patterns. CAISO’s summer stress comes from September/October</w:t>
      </w:r>
      <w:r>
        <w:t xml:space="preserve"> </w:t>
      </w:r>
      <w:r>
        <w:t xml:space="preserve">fire-weather events, not the July/August Midwest heat dome pattern.</w:t>
      </w:r>
    </w:p>
    <w:p>
      <w:pPr>
        <w:pStyle w:val="BodyText"/>
      </w:pPr>
      <w:r>
        <w:rPr>
          <w:bCs/>
          <w:b/>
        </w:rPr>
        <w:t xml:space="preserve">Same-interconnection destinations (MISO, NYISO):</w:t>
      </w:r>
    </w:p>
    <w:p>
      <w:pPr>
        <w:pStyle w:val="BodyText"/>
      </w:pPr>
      <w:r>
        <w:t xml:space="preserve">MISO and NYISO operate independently from PJM (separate capacity markets,</w:t>
      </w:r>
      <w:r>
        <w:t xml:space="preserve"> </w:t>
      </w:r>
      <w:r>
        <w:t xml:space="preserve">separate resource adequacy planning), but share the Eastern Interconnection:</w:t>
      </w:r>
      <w:r>
        <w:t xml:space="preserve"> </w:t>
      </w:r>
      <w:r>
        <w:t xml:space="preserve">same synchronized AC grid, shared gas pipeline infrastructure, shared weather</w:t>
      </w:r>
      <w:r>
        <w:t xml:space="preserve"> </w:t>
      </w:r>
      <w:r>
        <w:t xml:space="preserve">exposure.</w:t>
      </w:r>
    </w:p>
    <w:p>
      <w:pPr>
        <w:pStyle w:val="BodyText"/>
      </w:pPr>
      <w:r>
        <w:t xml:space="preserve">MISO zone-by-zone overlap with ComEd (four-year average):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Capacity (MW)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Illinois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Adjacent to ComEd; shared weather and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Indiana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Adjacent; Great Lakes weather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Michigan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Lakes weather, shared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Minnesota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weather; still connected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Arkansas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weather AND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Louisiana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weather AND gas</w:t>
            </w:r>
          </w:p>
        </w:tc>
      </w:tr>
    </w:tbl>
    <w:p>
      <w:pPr>
        <w:pStyle w:val="BodyText"/>
      </w:pPr>
      <w:r>
        <w:t xml:space="preserve">The gradient from Illinois (66%) to Louisiana (43%) maps geographic distance</w:t>
      </w:r>
      <w:r>
        <w:t xml:space="preserve"> </w:t>
      </w:r>
      <w:r>
        <w:t xml:space="preserve">from ComEd. The closer the MISO hub, the more correlated its stress. The</w:t>
      </w:r>
      <w:r>
        <w:t xml:space="preserve"> </w:t>
      </w:r>
      <w:r>
        <w:t xml:space="preserve">further south, the more the weather diverges — but even at 43%, same-</w:t>
      </w:r>
      <w:r>
        <w:t xml:space="preserve"> </w:t>
      </w:r>
      <w:r>
        <w:t xml:space="preserve">interconnection zones remain meaningfully correlated.</w:t>
      </w:r>
    </w:p>
    <w:p>
      <w:pPr>
        <w:pStyle w:val="BodyText"/>
      </w:pPr>
      <w:r>
        <w:t xml:space="preserve">NYISO zones range from 29% to 41% overlap, intermediate between cross-</w:t>
      </w:r>
      <w:r>
        <w:t xml:space="preserve"> </w:t>
      </w:r>
      <w:r>
        <w:t xml:space="preserve">interconnection (10–14%) and MISO (43–66%), consistent with greater</w:t>
      </w:r>
      <w:r>
        <w:t xml:space="preserve"> </w:t>
      </w:r>
      <w:r>
        <w:t xml:space="preserve">geographic separation from the Midwest but shared Eastern Interconnection</w:t>
      </w:r>
      <w:r>
        <w:t xml:space="preserve"> </w:t>
      </w:r>
      <w:r>
        <w:t xml:space="preserve">membership.</w:t>
      </w:r>
    </w:p>
    <w:p>
      <w:pPr>
        <w:pStyle w:val="BodyText"/>
      </w:pPr>
      <w:r>
        <w:rPr>
          <w:bCs/>
          <w:b/>
        </w:rPr>
        <w:t xml:space="preserve">The honest conclusion:</w:t>
      </w:r>
      <w:r>
        <w:t xml:space="preserve"> </w:t>
      </w:r>
      <w:r>
        <w:t xml:space="preserve">The interconnection boundary, not the balancing</w:t>
      </w:r>
      <w:r>
        <w:t xml:space="preserve"> </w:t>
      </w:r>
      <w:r>
        <w:t xml:space="preserve">authority boundary, creates the strongest decorrelation. Cross-interconnect</w:t>
      </w:r>
      <w:r>
        <w:t xml:space="preserve"> </w:t>
      </w:r>
      <w:r>
        <w:t xml:space="preserve">migration is the strongest case; same-interconnect/cross-BA migration</w:t>
      </w:r>
      <w:r>
        <w:t xml:space="preserve"> </w:t>
      </w:r>
      <w:r>
        <w:t xml:space="preserve">provides partial but limited benefit during correlated events.</w:t>
      </w:r>
    </w:p>
    <w:bookmarkEnd w:id="33"/>
    <w:bookmarkStart w:id="34" w:name="seasonal-decomposition"/>
    <w:p>
      <w:pPr>
        <w:pStyle w:val="Heading3"/>
      </w:pPr>
      <w:r>
        <w:t xml:space="preserve">Seasonal Decomposition</w:t>
      </w:r>
    </w:p>
    <w:p>
      <w:pPr>
        <w:pStyle w:val="FirstParagraph"/>
      </w:pPr>
      <w:r>
        <w:t xml:space="preserve">Stress events have distinct seasonal signatures that affect migration</w:t>
      </w:r>
      <w:r>
        <w:t xml:space="preserve"> </w:t>
      </w:r>
      <w:r>
        <w:t xml:space="preserve">availability:</w:t>
      </w:r>
    </w:p>
    <w:p>
      <w:pPr>
        <w:pStyle w:val="BodyText"/>
      </w:pPr>
      <w:r>
        <w:rPr>
          <w:bCs/>
          <w:b/>
        </w:rPr>
        <w:t xml:space="preserve">Summer:</w:t>
      </w:r>
      <w:r>
        <w:t xml:space="preserve"> </w:t>
      </w:r>
      <w:r>
        <w:t xml:space="preserve">- ERCOT overlap with ComEd: 4–6% — essentially uncorrelated</w:t>
      </w:r>
      <w:r>
        <w:t xml:space="preserve"> </w:t>
      </w:r>
      <w:r>
        <w:t xml:space="preserve">- CAISO overlap: 0% — zero coincident summer stress hours across the entire</w:t>
      </w:r>
      <w:r>
        <w:t xml:space="preserve"> </w:t>
      </w:r>
      <w:r>
        <w:t xml:space="preserve">2022–2025 dataset</w:t>
      </w:r>
      <w:r>
        <w:t xml:space="preserve"> </w:t>
      </w:r>
      <w:r>
        <w:t xml:space="preserve">- MISO: ~52% (same-IC limitation persists regardless of season)</w:t>
      </w:r>
    </w:p>
    <w:p>
      <w:pPr>
        <w:pStyle w:val="BodyText"/>
      </w:pPr>
      <w:r>
        <w:t xml:space="preserve">Summer is the cleanest case for spatial migration. Regional heat events</w:t>
      </w:r>
      <w:r>
        <w:t xml:space="preserve"> </w:t>
      </w:r>
      <w:r>
        <w:t xml:space="preserve">(Midwest heat domes) do not typically affect Texas or California simultaneously.</w:t>
      </w:r>
      <w:r>
        <w:t xml:space="preserve"> </w:t>
      </w:r>
      <w:r>
        <w:t xml:space="preserve">Timezone differences may also contribute: summer peaks tend to be short-</w:t>
      </w:r>
      <w:r>
        <w:t xml:space="preserve"> </w:t>
      </w:r>
      <w:r>
        <w:t xml:space="preserve">duration evening events, and the 1–2 hour offset between Central, Mountain,</w:t>
      </w:r>
      <w:r>
        <w:t xml:space="preserve"> </w:t>
      </w:r>
      <w:r>
        <w:t xml:space="preserve">and Pacific time zones means peak periods do not perfectly overlap.</w:t>
      </w:r>
    </w:p>
    <w:p>
      <w:pPr>
        <w:pStyle w:val="BodyText"/>
      </w:pPr>
      <w:r>
        <w:rPr>
          <w:bCs/>
          <w:b/>
        </w:rPr>
        <w:t xml:space="preserve">Winter:</w:t>
      </w:r>
      <w:r>
        <w:t xml:space="preserve"> </w:t>
      </w:r>
      <w:r>
        <w:t xml:space="preserve">- ERCOT overlap rises to ~28% in 2024 (Arctic Blast year), reflecting events</w:t>
      </w:r>
      <w:r>
        <w:t xml:space="preserve"> </w:t>
      </w:r>
      <w:r>
        <w:t xml:space="preserve">where continental cold reached Texas. But 72% of ComEd’s winter stress</w:t>
      </w:r>
      <w:r>
        <w:t xml:space="preserve"> </w:t>
      </w:r>
      <w:r>
        <w:t xml:space="preserve">hours still find ERCOT unstressed.</w:t>
      </w:r>
      <w:r>
        <w:t xml:space="preserve"> </w:t>
      </w:r>
      <w:r>
        <w:t xml:space="preserve">- CAISO rises to ~38% — broader winter events affect the West Coast. But 62%</w:t>
      </w:r>
      <w:r>
        <w:t xml:space="preserve"> </w:t>
      </w:r>
      <w:r>
        <w:t xml:space="preserve">of winter stress hours still find CAISO available.</w:t>
      </w:r>
      <w:r>
        <w:t xml:space="preserve"> </w:t>
      </w:r>
      <w:r>
        <w:t xml:space="preserve">- MISO: ~51%, roughly flat across seasons (same IC, same weather, same gas)</w:t>
      </w:r>
    </w:p>
    <w:p>
      <w:pPr>
        <w:pStyle w:val="BodyText"/>
      </w:pPr>
      <w:r>
        <w:t xml:space="preserve">Winter is the harder case. Polar vortex intrusions (Elliott 2022, Arctic</w:t>
      </w:r>
      <w:r>
        <w:t xml:space="preserve"> </w:t>
      </w:r>
      <w:r>
        <w:t xml:space="preserve">Blast 2024) can simultaneously affect the Midwest, Texas, and even the West</w:t>
      </w:r>
      <w:r>
        <w:t xml:space="preserve"> </w:t>
      </w:r>
      <w:r>
        <w:t xml:space="preserve">Coast. Gas pipeline constraints propagate across interconnections via fuel-</w:t>
      </w:r>
      <w:r>
        <w:t xml:space="preserve"> </w:t>
      </w:r>
      <w:r>
        <w:t xml:space="preserve">price linkage even where electrical ties do not exist. The two failure hours</w:t>
      </w:r>
      <w:r>
        <w:t xml:space="preserve"> </w:t>
      </w:r>
      <w:r>
        <w:t xml:space="preserve">in the 99.0% dynamic availability result both occur in winter (January 2024).</w:t>
      </w:r>
    </w:p>
    <w:p>
      <w:pPr>
        <w:pStyle w:val="BodyText"/>
      </w:pPr>
      <w:r>
        <w:t xml:space="preserve">The seasonal pattern strengthens the thesis for summer migration and identifies</w:t>
      </w:r>
      <w:r>
        <w:t xml:space="preserve"> </w:t>
      </w:r>
      <w:r>
        <w:t xml:space="preserve">winter continental-scale events as the binding constraint. Multi-destination</w:t>
      </w:r>
      <w:r>
        <w:t xml:space="preserve"> </w:t>
      </w:r>
      <w:r>
        <w:t xml:space="preserve">portfolio selection (maintaining readiness across ERCOT, CAISO, and MISO</w:t>
      </w:r>
      <w:r>
        <w:t xml:space="preserve"> </w:t>
      </w:r>
      <w:r>
        <w:t xml:space="preserve">simultaneously) hedges against the winter correlation.</w:t>
      </w:r>
    </w:p>
    <w:bookmarkEnd w:id="34"/>
    <w:bookmarkStart w:id="35" w:name="year-by-year-stability"/>
    <w:p>
      <w:pPr>
        <w:pStyle w:val="Heading3"/>
      </w:pPr>
      <w:r>
        <w:t xml:space="preserve">Year-by-Year Stability</w:t>
      </w:r>
    </w:p>
    <w:p>
      <w:pPr>
        <w:pStyle w:val="FirstParagraph"/>
      </w:pPr>
      <w:r>
        <w:t xml:space="preserve">The heatmap (NE paper Fig. 1) reveals that the decorrelation pattern is</w:t>
      </w:r>
      <w:r>
        <w:t xml:space="preserve"> </w:t>
      </w:r>
      <w:r>
        <w:t xml:space="preserve">stable across years, with 2024 as the clear outlier:</w:t>
      </w:r>
    </w:p>
    <w:p>
      <w:pPr>
        <w:numPr>
          <w:ilvl w:val="0"/>
          <w:numId w:val="1004"/>
        </w:numPr>
        <w:pStyle w:val="Compact"/>
      </w:pPr>
      <w:r>
        <w:t xml:space="preserve">2022 and 2023: ERCOT overlap 4–6%, CAISO 0%</w:t>
      </w:r>
    </w:p>
    <w:p>
      <w:pPr>
        <w:numPr>
          <w:ilvl w:val="0"/>
          <w:numId w:val="1004"/>
        </w:numPr>
        <w:pStyle w:val="Compact"/>
      </w:pPr>
      <w:r>
        <w:t xml:space="preserve">2024: Elevated across the board (ERCOT 26–30%, CAISO 38–44%) driven by</w:t>
      </w:r>
      <w:r>
        <w:t xml:space="preserve"> </w:t>
      </w:r>
      <w:r>
        <w:t xml:space="preserve">the Arctic Blast</w:t>
      </w:r>
    </w:p>
    <w:p>
      <w:pPr>
        <w:numPr>
          <w:ilvl w:val="0"/>
          <w:numId w:val="1004"/>
        </w:numPr>
        <w:pStyle w:val="Compact"/>
      </w:pPr>
      <w:r>
        <w:t xml:space="preserve">2025: Returns to baseline (ERCOT 4–10%, CAISO 12–18%)</w:t>
      </w:r>
    </w:p>
    <w:p>
      <w:pPr>
        <w:pStyle w:val="FirstParagraph"/>
      </w:pPr>
      <w:r>
        <w:t xml:space="preserve">The 2024 spike is a single-event anomaly, not a regime change. The underlying</w:t>
      </w:r>
      <w:r>
        <w:t xml:space="preserve"> </w:t>
      </w:r>
      <w:r>
        <w:t xml:space="preserve">physical drivers of decorrelation (separate interconnections, independent</w:t>
      </w:r>
      <w:r>
        <w:t xml:space="preserve"> </w:t>
      </w:r>
      <w:r>
        <w:t xml:space="preserve">weather systems, no shared electrical infrastructure) are structural and</w:t>
      </w:r>
      <w:r>
        <w:t xml:space="preserve"> </w:t>
      </w:r>
      <w:r>
        <w:t xml:space="preserve">persistent.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icing-analysis-during-stress-hours"/>
    <w:p>
      <w:pPr>
        <w:pStyle w:val="Heading2"/>
      </w:pPr>
      <w:r>
        <w:t xml:space="preserve">5. Pricing Analysis During Stress Hours</w:t>
      </w:r>
    </w:p>
    <w:bookmarkStart w:id="37" w:name="destination-pricing"/>
    <w:p>
      <w:pPr>
        <w:pStyle w:val="Heading3"/>
      </w:pPr>
      <w:r>
        <w:t xml:space="preserve">Destination Pricing</w:t>
      </w:r>
    </w:p>
    <w:p>
      <w:pPr>
        <w:pStyle w:val="FirstParagraph"/>
      </w:pPr>
      <w:r>
        <w:t xml:space="preserve">During ComEd’s 200 stress hours, destination zone pricing provides indirect</w:t>
      </w:r>
      <w:r>
        <w:t xml:space="preserve"> </w:t>
      </w:r>
      <w:r>
        <w:t xml:space="preserve">evidence on grid conditions at potential migration targets:</w:t>
      </w:r>
    </w:p>
    <w:p>
      <w:pPr>
        <w:numPr>
          <w:ilvl w:val="0"/>
          <w:numId w:val="1005"/>
        </w:numPr>
        <w:pStyle w:val="Compact"/>
      </w:pPr>
      <w:r>
        <w:t xml:space="preserve">Capacity-weighted mean destination LMP: $165.5/MWh</w:t>
      </w:r>
    </w:p>
    <w:p>
      <w:pPr>
        <w:numPr>
          <w:ilvl w:val="0"/>
          <w:numId w:val="1005"/>
        </w:numPr>
        <w:pStyle w:val="Compact"/>
      </w:pPr>
      <w:r>
        <w:t xml:space="preserve">Capacity-weighted median destination LMP: $92.49/MWh</w:t>
      </w:r>
    </w:p>
    <w:p>
      <w:pPr>
        <w:numPr>
          <w:ilvl w:val="0"/>
          <w:numId w:val="1005"/>
        </w:numPr>
        <w:pStyle w:val="Compact"/>
      </w:pPr>
      <w:r>
        <w:t xml:space="preserve">ComEd mean stress-hour LMP: $192.3/MWh</w:t>
      </w:r>
    </w:p>
    <w:p>
      <w:pPr>
        <w:pStyle w:val="FirstParagraph"/>
      </w:pPr>
      <w:r>
        <w:t xml:space="preserve">The large mean-median gap reflects a fat-tailed distribution: a few</w:t>
      </w:r>
      <w:r>
        <w:t xml:space="preserve"> </w:t>
      </w:r>
      <w:r>
        <w:t xml:space="preserve">correlated extreme events (Arctic Blast) pull the mean far above the typical</w:t>
      </w:r>
      <w:r>
        <w:t xml:space="preserve"> </w:t>
      </w:r>
      <w:r>
        <w:t xml:space="preserve">experience. An operator with dynamic destination selection — choosing the</w:t>
      </w:r>
      <w:r>
        <w:t xml:space="preserve"> </w:t>
      </w:r>
      <w:r>
        <w:t xml:space="preserve">cheapest available destination in real time — would realistically face closer</w:t>
      </w:r>
      <w:r>
        <w:t xml:space="preserve"> </w:t>
      </w:r>
      <w:r>
        <w:t xml:space="preserve">to the median than the mean.</w:t>
      </w:r>
    </w:p>
    <w:bookmarkEnd w:id="37"/>
    <w:bookmarkStart w:id="38" w:name="why-energy-arbitrage-is-not-the-point"/>
    <w:p>
      <w:pPr>
        <w:pStyle w:val="Heading3"/>
      </w:pPr>
      <w:r>
        <w:t xml:space="preserve">Why Energy Arbitrage Is Not the Point</w:t>
      </w:r>
    </w:p>
    <w:p>
      <w:pPr>
        <w:pStyle w:val="FirstParagraph"/>
      </w:pPr>
      <w:r>
        <w:t xml:space="preserve">The gross energy spread ($192.3 − $92.5 = $99.8/MWh at the median) is</w:t>
      </w:r>
      <w:r>
        <w:t xml:space="preserve"> </w:t>
      </w:r>
      <w:r>
        <w:t xml:space="preserve">non-trivial but is not the economic driver for spatial migration. The</w:t>
      </w:r>
      <w:r>
        <w:t xml:space="preserve"> </w:t>
      </w:r>
      <w:r>
        <w:t xml:space="preserve">three-prong economic analysis shows that spatial energy-only net value is</w:t>
      </w:r>
      <w:r>
        <w:t xml:space="preserve"> </w:t>
      </w:r>
      <w:r>
        <w:t xml:space="preserve">negative after accounting for destination energy costs during correlated</w:t>
      </w:r>
      <w:r>
        <w:t xml:space="preserve"> </w:t>
      </w:r>
      <w:r>
        <w:t xml:space="preserve">events and operational friction.</w:t>
      </w:r>
    </w:p>
    <w:p>
      <w:pPr>
        <w:pStyle w:val="BodyText"/>
      </w:pPr>
      <w:r>
        <w:t xml:space="preserve">The economic case rests on</w:t>
      </w:r>
      <w:r>
        <w:t xml:space="preserve"> </w:t>
      </w:r>
      <w:r>
        <w:rPr>
          <w:bCs/>
          <w:b/>
        </w:rPr>
        <w:t xml:space="preserve">capacity market revenue</w:t>
      </w:r>
      <w:r>
        <w:t xml:space="preserve">, not energy arbitrage:</w:t>
      </w:r>
    </w:p>
    <w:p>
      <w:pPr>
        <w:numPr>
          <w:ilvl w:val="0"/>
          <w:numId w:val="1006"/>
        </w:numPr>
        <w:pStyle w:val="Compact"/>
      </w:pPr>
      <w:r>
        <w:t xml:space="preserve">PJM assigns demand response a 92% ELCC class rating (exogenous to this</w:t>
      </w:r>
      <w:r>
        <w:t xml:space="preserve"> </w:t>
      </w:r>
      <w:r>
        <w:t xml:space="preserve">analysis)</w:t>
      </w:r>
    </w:p>
    <w:p>
      <w:pPr>
        <w:numPr>
          <w:ilvl w:val="0"/>
          <w:numId w:val="1006"/>
        </w:numPr>
        <w:pStyle w:val="Compact"/>
      </w:pPr>
      <w:r>
        <w:t xml:space="preserve">At the 2027/28 BRA clearing price ($333.44/MW-day), each accredited MW</w:t>
      </w:r>
      <w:r>
        <w:t xml:space="preserve"> </w:t>
      </w:r>
      <w:r>
        <w:t xml:space="preserve">generates approximately $122,000/MW-yr in capacity revenue</w:t>
      </w:r>
    </w:p>
    <w:p>
      <w:pPr>
        <w:numPr>
          <w:ilvl w:val="0"/>
          <w:numId w:val="1006"/>
        </w:numPr>
        <w:pStyle w:val="Compact"/>
      </w:pPr>
      <w:r>
        <w:t xml:space="preserve">This exceeds any plausible energy spread by an order of magnitude</w:t>
      </w:r>
    </w:p>
    <w:p>
      <w:pPr>
        <w:pStyle w:val="FirstParagraph"/>
      </w:pPr>
      <w:r>
        <w:t xml:space="preserve">The stress decorrelation analysis provides the empirical foundation for D1,</w:t>
      </w:r>
      <w:r>
        <w:t xml:space="preserve"> </w:t>
      </w:r>
      <w:r>
        <w:t xml:space="preserve">which determines how deeply the fleet can commit. The capacity market is</w:t>
      </w:r>
      <w:r>
        <w:t xml:space="preserve"> </w:t>
      </w:r>
      <w:r>
        <w:t xml:space="preserve">where that commitment translates to revenue. This is analogous to how a gas</w:t>
      </w:r>
      <w:r>
        <w:t xml:space="preserve"> </w:t>
      </w:r>
      <w:r>
        <w:t xml:space="preserve">peaker earns most of its revenue from capacity payments, not energy sales.</w:t>
      </w:r>
    </w:p>
    <w:bookmarkEnd w:id="38"/>
    <w:bookmarkStart w:id="39" w:name="Xa18f6d2c796e8ff529c2e23b8be87e53a7085a2"/>
    <w:p>
      <w:pPr>
        <w:pStyle w:val="Heading3"/>
      </w:pPr>
      <w:r>
        <w:t xml:space="preserve">Low Destination Prices Signal Available Headroom</w:t>
      </w:r>
    </w:p>
    <w:p>
      <w:pPr>
        <w:pStyle w:val="FirstParagraph"/>
      </w:pPr>
      <w:r>
        <w:t xml:space="preserve">The negative tail correlation has a secondary implication for the cascade</w:t>
      </w:r>
      <w:r>
        <w:t xml:space="preserve"> </w:t>
      </w:r>
      <w:r>
        <w:t xml:space="preserve">model: low destination prices during source stress signal that destination</w:t>
      </w:r>
      <w:r>
        <w:t xml:space="preserve"> </w:t>
      </w:r>
      <w:r>
        <w:t xml:space="preserve">grids have surplus generation capacity. Surplus generation implies</w:t>
      </w:r>
      <w:r>
        <w:t xml:space="preserve"> </w:t>
      </w:r>
      <w:r>
        <w:t xml:space="preserve">underutilized load, which is consistent with GPU headroom being available</w:t>
      </w:r>
      <w:r>
        <w:t xml:space="preserve"> </w:t>
      </w:r>
      <w:r>
        <w:t xml:space="preserve">at destination data centers precisely when migration demand arrives. This</w:t>
      </w:r>
      <w:r>
        <w:t xml:space="preserve"> </w:t>
      </w:r>
      <w:r>
        <w:t xml:space="preserve">provides indirect support for the D2 parameter (utilization headroom).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implications-for-the-cascade-model"/>
    <w:p>
      <w:pPr>
        <w:pStyle w:val="Heading2"/>
      </w:pPr>
      <w:r>
        <w:t xml:space="preserve">6. Implications for the Cascade Model</w:t>
      </w:r>
    </w:p>
    <w:bookmarkStart w:id="41" w:name="d1-parameterization"/>
    <w:p>
      <w:pPr>
        <w:pStyle w:val="Heading3"/>
      </w:pPr>
      <w:r>
        <w:t xml:space="preserve">D1 Parameterization</w:t>
      </w:r>
    </w:p>
    <w:p>
      <w:pPr>
        <w:pStyle w:val="FirstParagraph"/>
      </w:pPr>
      <w:r>
        <w:t xml:space="preserve">The stress decorrelation results directly parameterize D1 in two ways: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Unconditional cascade:</w:t>
      </w:r>
      <w:r>
        <w:t xml:space="preserve"> </w:t>
      </w:r>
      <w:r>
        <w:t xml:space="preserve">D1 = Uniform[0.945, 0.995], central 0.99,</w:t>
      </w:r>
      <w:r>
        <w:t xml:space="preserve"> </w:t>
      </w:r>
      <w:r>
        <w:t xml:space="preserve">derived from the 99.0% empirical dynamic availability with range</w:t>
      </w:r>
      <w:r>
        <w:t xml:space="preserve"> </w:t>
      </w:r>
      <w:r>
        <w:t xml:space="preserve">accounting for climate uncertainty and reflexivity.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Conditional Monte Carlo:</w:t>
      </w:r>
      <w:r>
        <w:t xml:space="preserve"> </w:t>
      </w:r>
      <w:r>
        <w:t xml:space="preserve">D1 is replaced entirely by observed per-hour,</w:t>
      </w:r>
      <w:r>
        <w:t xml:space="preserve"> </w:t>
      </w:r>
      <w:r>
        <w:t xml:space="preserve">per-destination binary stress flags from the DA LMP data. For each of</w:t>
      </w:r>
      <w:r>
        <w:t xml:space="preserve"> </w:t>
      </w:r>
      <w:r>
        <w:t xml:space="preserve">the 200 ComEd stress hours, the simulation knows exactly which</w:t>
      </w:r>
      <w:r>
        <w:t xml:space="preserve"> </w:t>
      </w:r>
      <w:r>
        <w:t xml:space="preserve">destinations are simultaneously stressed — no parametric assumption needed.</w:t>
      </w:r>
    </w:p>
    <w:bookmarkEnd w:id="41"/>
    <w:bookmarkStart w:id="42" w:name="Xfc20d82bbed065aaf3dad9f95eb9f776ecd224d"/>
    <w:p>
      <w:pPr>
        <w:pStyle w:val="Heading3"/>
      </w:pPr>
      <w:r>
        <w:t xml:space="preserve">The Conditional MC’s Additional Information</w:t>
      </w:r>
    </w:p>
    <w:p>
      <w:pPr>
        <w:pStyle w:val="FirstParagraph"/>
      </w:pPr>
      <w:r>
        <w:t xml:space="preserve">The conditional MC extracts more information from the pricing data than D1</w:t>
      </w:r>
      <w:r>
        <w:t xml:space="preserve"> </w:t>
      </w:r>
      <w:r>
        <w:t xml:space="preserve">alone captures. Beyond binary availability, it uses the specific pattern of</w:t>
      </w:r>
      <w:r>
        <w:t xml:space="preserve"> </w:t>
      </w:r>
      <w:r>
        <w:t xml:space="preserve">which destinations are stressed in each hour:</w:t>
      </w:r>
    </w:p>
    <w:p>
      <w:pPr>
        <w:numPr>
          <w:ilvl w:val="0"/>
          <w:numId w:val="1008"/>
        </w:numPr>
        <w:pStyle w:val="Compact"/>
      </w:pPr>
      <w:r>
        <w:t xml:space="preserve">In some stress hours, all four ERCOT zones plus both CAISO zones are</w:t>
      </w:r>
      <w:r>
        <w:t xml:space="preserve"> </w:t>
      </w:r>
      <w:r>
        <w:t xml:space="preserve">available, providing ~12,000 MW of potential destination capacity</w:t>
      </w:r>
    </w:p>
    <w:p>
      <w:pPr>
        <w:numPr>
          <w:ilvl w:val="0"/>
          <w:numId w:val="1008"/>
        </w:numPr>
        <w:pStyle w:val="Compact"/>
      </w:pPr>
      <w:r>
        <w:t xml:space="preserve">In others (Arctic Blast), only MISO Louisiana and NYISO Zone A are</w:t>
      </w:r>
      <w:r>
        <w:t xml:space="preserve"> </w:t>
      </w:r>
      <w:r>
        <w:t xml:space="preserve">available, providing &lt;100 MW</w:t>
      </w:r>
    </w:p>
    <w:p>
      <w:pPr>
        <w:numPr>
          <w:ilvl w:val="0"/>
          <w:numId w:val="1008"/>
        </w:numPr>
        <w:pStyle w:val="Compact"/>
      </w:pPr>
      <w:r>
        <w:t xml:space="preserve">The simulation captures this hour-by-hour variation, which drives the</w:t>
      </w:r>
      <w:r>
        <w:t xml:space="preserve"> </w:t>
      </w:r>
      <w:r>
        <w:t xml:space="preserve">commitment depth distribution’s left tail</w:t>
      </w:r>
    </w:p>
    <w:p>
      <w:pPr>
        <w:pStyle w:val="FirstParagraph"/>
      </w:pPr>
      <w:r>
        <w:t xml:space="preserve">This is why the conditional MC produces a distribution of commitment depths</w:t>
      </w:r>
      <w:r>
        <w:t xml:space="preserve"> </w:t>
      </w:r>
      <w:r>
        <w:t xml:space="preserve">rather than a single point estimate, and why the 5th percentile (fleet CVaR)</w:t>
      </w:r>
      <w:r>
        <w:t xml:space="preserve"> </w:t>
      </w:r>
      <w:r>
        <w:t xml:space="preserve">is the relevant metric for resource adequacy planning.</w:t>
      </w:r>
    </w:p>
    <w:bookmarkEnd w:id="42"/>
    <w:bookmarkStart w:id="43" w:name="X949b83ce59c43936dd60f332b05354a15677ada"/>
    <w:p>
      <w:pPr>
        <w:pStyle w:val="Heading3"/>
      </w:pPr>
      <w:r>
        <w:t xml:space="preserve">Why DA LMP Is Methodologically Conservative</w:t>
      </w:r>
    </w:p>
    <w:p>
      <w:pPr>
        <w:pStyle w:val="FirstParagraph"/>
      </w:pPr>
      <w:r>
        <w:t xml:space="preserve">Day-ahead LMP is used as a proxy for grid stress throughout this analysis.</w:t>
      </w:r>
      <w:r>
        <w:t xml:space="preserve"> </w:t>
      </w:r>
      <w:r>
        <w:t xml:space="preserve">This choice is methodologically conservative: real-time price spikes are</w:t>
      </w:r>
      <w:r>
        <w:t xml:space="preserve"> </w:t>
      </w:r>
      <w:r>
        <w:t xml:space="preserve">driven by local contingencies (generator forced outages, transmission</w:t>
      </w:r>
      <w:r>
        <w:t xml:space="preserve"> </w:t>
      </w:r>
      <w:r>
        <w:t xml:space="preserve">deratings) that are less correlated across interconnection boundaries than</w:t>
      </w:r>
      <w:r>
        <w:t xml:space="preserve"> </w:t>
      </w:r>
      <w:r>
        <w:t xml:space="preserve">the weather-driven supply-demand imbalances captured by day-ahead prices.</w:t>
      </w:r>
    </w:p>
    <w:p>
      <w:pPr>
        <w:pStyle w:val="BodyText"/>
      </w:pPr>
      <w:r>
        <w:t xml:space="preserve">If the analysis were repeated using real-time LMP data, cross-interconnection</w:t>
      </w:r>
      <w:r>
        <w:t xml:space="preserve"> </w:t>
      </w:r>
      <w:r>
        <w:t xml:space="preserve">decorrelation would likely be even stronger, because real-time local</w:t>
      </w:r>
      <w:r>
        <w:t xml:space="preserve"> </w:t>
      </w:r>
      <w:r>
        <w:t xml:space="preserve">contingencies (a single generator tripping in PJM) have essentially zero</w:t>
      </w:r>
      <w:r>
        <w:t xml:space="preserve"> </w:t>
      </w:r>
      <w:r>
        <w:t xml:space="preserve">correlation with real-time conditions in ERCOT or CAISO.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limitations"/>
    <w:p>
      <w:pPr>
        <w:pStyle w:val="Heading2"/>
      </w:pPr>
      <w:r>
        <w:t xml:space="preserve">7. Limitations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Historical data only.</w:t>
      </w:r>
      <w:r>
        <w:t xml:space="preserve"> </w:t>
      </w:r>
      <w:r>
        <w:t xml:space="preserve">The 99.0% dynamic availability is an observation</w:t>
      </w:r>
      <w:r>
        <w:t xml:space="preserve"> </w:t>
      </w:r>
      <w:r>
        <w:t xml:space="preserve">from 2022–2025, not a forward guarantee. Climate change may increase the</w:t>
      </w:r>
      <w:r>
        <w:t xml:space="preserve"> </w:t>
      </w:r>
      <w:r>
        <w:t xml:space="preserve">frequency of continental-scale stress events.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WECC bilateral hubs excluded.</w:t>
      </w:r>
      <w:r>
        <w:t xml:space="preserve"> </w:t>
      </w:r>
      <w:r>
        <w:t xml:space="preserve">Mid-Columbia (~5,554 MW) and Palo Verde</w:t>
      </w:r>
      <w:r>
        <w:t xml:space="preserve"> </w:t>
      </w:r>
      <w:r>
        <w:t xml:space="preserve">(~4,509 MW) are excluded due to daily-resolution pricing. Their inclusion</w:t>
      </w:r>
      <w:r>
        <w:t xml:space="preserve"> </w:t>
      </w:r>
      <w:r>
        <w:t xml:space="preserve">would add ~10,100 MW of strongly decorrelated destination capacity.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Two MISO zones excluded.</w:t>
      </w:r>
      <w:r>
        <w:t xml:space="preserve"> </w:t>
      </w:r>
      <w:r>
        <w:t xml:space="preserve">Wisconsin and Missouri lack dedicated hub</w:t>
      </w:r>
      <w:r>
        <w:t xml:space="preserve"> </w:t>
      </w:r>
      <w:r>
        <w:t xml:space="preserve">LMPs. Together they represent ~435 MW of operational capacity.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DA LMP as stress proxy.</w:t>
      </w:r>
      <w:r>
        <w:t xml:space="preserve"> </w:t>
      </w:r>
      <w:r>
        <w:t xml:space="preserve">Price captures supply and demand stress but</w:t>
      </w:r>
      <w:r>
        <w:t xml:space="preserve"> </w:t>
      </w:r>
      <w:r>
        <w:t xml:space="preserve">may miss localized transmission constraints that do not propagate to</w:t>
      </w:r>
      <w:r>
        <w:t xml:space="preserve"> </w:t>
      </w:r>
      <w:r>
        <w:t xml:space="preserve">zonal prices.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Reflexivity.</w:t>
      </w:r>
      <w:r>
        <w:t xml:space="preserve"> </w:t>
      </w:r>
      <w:r>
        <w:t xml:space="preserve">If spatial migration becomes widespread, migrating load</w:t>
      </w:r>
      <w:r>
        <w:t xml:space="preserve"> </w:t>
      </w:r>
      <w:r>
        <w:t xml:space="preserve">during source stress could increase destination prices and reduce the</w:t>
      </w:r>
      <w:r>
        <w:t xml:space="preserve"> </w:t>
      </w:r>
      <w:r>
        <w:t xml:space="preserve">historical independence. The degree of reflexivity depends on the ratio</w:t>
      </w:r>
      <w:r>
        <w:t xml:space="preserve"> </w:t>
      </w:r>
      <w:r>
        <w:t xml:space="preserve">of migrating load to destination system size — at current data center</w:t>
      </w:r>
      <w:r>
        <w:t xml:space="preserve"> </w:t>
      </w:r>
      <w:r>
        <w:t xml:space="preserve">scales, this effect is negligible, but at the 10+ GW fleet scale modeled</w:t>
      </w:r>
      <w:r>
        <w:t xml:space="preserve"> </w:t>
      </w:r>
      <w:r>
        <w:t xml:space="preserve">in the NE paper, it warrants monitoring.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Constant load assumption.</w:t>
      </w:r>
      <w:r>
        <w:t xml:space="preserve"> </w:t>
      </w:r>
      <w:r>
        <w:t xml:space="preserve">The analysis treats the new data center load</w:t>
      </w:r>
      <w:r>
        <w:t xml:space="preserve"> </w:t>
      </w:r>
      <w:r>
        <w:t xml:space="preserve">as constant (present in all hours). In practice, data center load has</w:t>
      </w:r>
      <w:r>
        <w:t xml:space="preserve"> </w:t>
      </w:r>
      <w:r>
        <w:t xml:space="preserve">diurnal and weekly variation (documented in the DynamoLLM trace analysis),</w:t>
      </w:r>
      <w:r>
        <w:t xml:space="preserve"> </w:t>
      </w:r>
      <w:r>
        <w:t xml:space="preserve">which would modestly reduce the frequency of stress coincidence.</w:t>
      </w:r>
    </w:p>
    <w:p>
      <w:r>
        <w:pict>
          <v:rect style="width:0;height:1.5pt" o:hralign="center" o:hrstd="t" o:hr="t"/>
        </w:pict>
      </w:r>
    </w:p>
    <w:bookmarkEnd w:id="45"/>
    <w:bookmarkStart w:id="46" w:name="relationship-to-other-appendices"/>
    <w:p>
      <w:pPr>
        <w:pStyle w:val="Heading2"/>
      </w:pPr>
      <w:r>
        <w:t xml:space="preserve">8. Relationship to Other Appendices</w:t>
      </w:r>
    </w:p>
    <w:p>
      <w:pPr>
        <w:pStyle w:val="FirstParagraph"/>
      </w:pPr>
      <w:r>
        <w:t xml:space="preserve">This document establishes the empirical basis for D1 (destination availability)</w:t>
      </w:r>
      <w:r>
        <w:t xml:space="preserve"> </w:t>
      </w:r>
      <w:r>
        <w:t xml:space="preserve">and provides the per-hour stress flag data consumed by the conditional Monte</w:t>
      </w:r>
      <w:r>
        <w:t xml:space="preserve"> </w:t>
      </w:r>
      <w:r>
        <w:t xml:space="preserve">Carlo. It connects to the cascade derivation appendix (Pillar 1) through the</w:t>
      </w:r>
      <w:r>
        <w:t xml:space="preserve"> </w:t>
      </w:r>
      <w:r>
        <w:t xml:space="preserve">D1 parameterization and to the policy framework appendix (Pillar 3) through</w:t>
      </w:r>
      <w:r>
        <w:t xml:space="preserve"> </w:t>
      </w:r>
      <w:r>
        <w:t xml:space="preserve">the capacity market revenue calculation.</w:t>
      </w:r>
    </w:p>
    <w:p>
      <w:pPr>
        <w:pStyle w:val="BodyText"/>
      </w:pPr>
      <w:r>
        <w:t xml:space="preserve">The key interface points: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 cascade appendix:</w:t>
      </w:r>
      <w:r>
        <w:t xml:space="preserve"> </w:t>
      </w:r>
      <w:r>
        <w:t xml:space="preserve">D1 central = 0.99, range [0.945, 0.995]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 conditional MC:</w:t>
      </w:r>
      <w:r>
        <w:t xml:space="preserve"> </w:t>
      </w:r>
      <w:r>
        <w:rPr>
          <w:rStyle w:val="VerbatimChar"/>
        </w:rPr>
        <w:t xml:space="preserve">per_hour_destination_availability.parquet</w:t>
      </w:r>
      <w:r>
        <w:t xml:space="preserve"> </w:t>
      </w:r>
      <w:r>
        <w:t xml:space="preserve">contract</w:t>
      </w:r>
      <w:r>
        <w:t xml:space="preserve"> </w:t>
      </w:r>
      <w:r>
        <w:t xml:space="preserve">file, containing per-zone MW headroom for each of the 200 ComEd stress</w:t>
      </w:r>
      <w:r>
        <w:t xml:space="preserve"> </w:t>
      </w:r>
      <w:r>
        <w:t xml:space="preserve">hours (zones at zero indicate co-stress)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 policy appendix:</w:t>
      </w:r>
      <w:r>
        <w:t xml:space="preserve"> </w:t>
      </w:r>
      <w:r>
        <w:t xml:space="preserve">The 99.0% dynamic availability establishes that the</w:t>
      </w:r>
      <w:r>
        <w:t xml:space="preserve"> </w:t>
      </w:r>
      <w:r>
        <w:t xml:space="preserve">physical precondition for spatial migration is met in nearly all observed</w:t>
      </w:r>
      <w:r>
        <w:t xml:space="preserve"> </w:t>
      </w:r>
      <w:r>
        <w:t xml:space="preserve">stress events, motivating the institutional mechanisms proposed in the</w:t>
      </w:r>
      <w:r>
        <w:t xml:space="preserve"> </w:t>
      </w:r>
      <w:r>
        <w:t xml:space="preserve">policy framework</w:t>
      </w:r>
    </w:p>
    <w:p>
      <w:r>
        <w:pict>
          <v:rect style="width:0;height:1.5pt" o:hralign="center" o:hrstd="t" o:hr="t"/>
        </w:pict>
      </w:r>
    </w:p>
    <w:bookmarkEnd w:id="46"/>
    <w:bookmarkStart w:id="47" w:name="evolution-from-earlier-versions"/>
    <w:p>
      <w:pPr>
        <w:pStyle w:val="Heading2"/>
      </w:pPr>
      <w:r>
        <w:t xml:space="preserve">9. Evolution from Earlier Versions</w:t>
      </w:r>
    </w:p>
    <w:p>
      <w:pPr>
        <w:pStyle w:val="FirstParagraph"/>
      </w:pPr>
      <w:r>
        <w:t xml:space="preserve">This document supersedes</w:t>
      </w:r>
      <w:r>
        <w:t xml:space="preserve"> </w:t>
      </w:r>
      <w:r>
        <w:rPr>
          <w:rStyle w:val="VerbatimChar"/>
        </w:rPr>
        <w:t xml:space="preserve">archive/Pillar_2.docx</w:t>
      </w:r>
      <w:r>
        <w:t xml:space="preserve">. Key changes: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(including WECC daily hubs)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(hourly-resolution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LRZ-keyed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hub-keyed 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Illinois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1,647 MW (ComEd’s value, double-counted)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MW (Ameren IL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Iowa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Michigan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Minnesota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94.5% (189/200)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 (198/200)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zones, 891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 overlap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43–63%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43–66%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(Arctic Blast cluster)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(Arctic Blast cluster)</w:t>
            </w:r>
          </w:p>
        </w:tc>
      </w:tr>
    </w:tbl>
    <w:p>
      <w:pPr>
        <w:pStyle w:val="BodyText"/>
      </w:pPr>
      <w:r>
        <w:t xml:space="preserve">The most consequential change is the improvement in dynamic availability from</w:t>
      </w:r>
      <w:r>
        <w:t xml:space="preserve"> </w:t>
      </w:r>
      <w:r>
        <w:t xml:space="preserve">94.5% to 99.0%, driven primarily by the addition of NYISO zones (which</w:t>
      </w:r>
      <w:r>
        <w:t xml:space="preserve"> </w:t>
      </w:r>
      <w:r>
        <w:t xml:space="preserve">provide additional Eastern Interconnection destinations with 29–41% overlap)</w:t>
      </w:r>
      <w:r>
        <w:t xml:space="preserve"> </w:t>
      </w:r>
      <w:r>
        <w:t xml:space="preserve">and the correction of the MISO zone metadata (which removed the</w:t>
      </w:r>
      <w:r>
        <w:t xml:space="preserve"> </w:t>
      </w:r>
      <w:r>
        <w:t xml:space="preserve">MISO_ILLINOIS double-count and fixed Iowa’s hub assignment). The reduction</w:t>
      </w:r>
      <w:r>
        <w:t xml:space="preserve"> </w:t>
      </w:r>
      <w:r>
        <w:t xml:space="preserve">in failure hours from 11 to 2 reflects that the additional NYISO destinations</w:t>
      </w:r>
      <w:r>
        <w:t xml:space="preserve"> </w:t>
      </w:r>
      <w:r>
        <w:t xml:space="preserve">were available during 9 of the 11 previously all-stressed hours.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Baxtel. US Data Center Database. baxtel.com (accessed 2025).</w:t>
      </w:r>
    </w:p>
    <w:p>
      <w:pPr>
        <w:pStyle w:val="BodyText"/>
      </w:pPr>
      <w:r>
        <w:t xml:space="preserve">CAISO. OASIS Day-Ahead Market Data. oasis.caiso.com.</w:t>
      </w:r>
    </w:p>
    <w:p>
      <w:pPr>
        <w:pStyle w:val="BodyText"/>
      </w:pPr>
      <w:r>
        <w:t xml:space="preserve">ERCOT. Day-Ahead Market Settlement Point Prices. ercot.com.</w:t>
      </w:r>
    </w:p>
    <w:p>
      <w:pPr>
        <w:pStyle w:val="BodyText"/>
      </w:pPr>
      <w:r>
        <w:t xml:space="preserve">MISO. Day-Ahead Market Hub LMP Data. misoenergy.org.</w:t>
      </w:r>
    </w:p>
    <w:p>
      <w:pPr>
        <w:pStyle w:val="BodyText"/>
      </w:pPr>
      <w:r>
        <w:t xml:space="preserve">NERC. 2024–2025 Winter Reliability Assessment (2024).</w:t>
      </w:r>
    </w:p>
    <w:p>
      <w:pPr>
        <w:pStyle w:val="BodyText"/>
      </w:pPr>
      <w:r>
        <w:t xml:space="preserve">NYISO. Day-Ahead Market LBMP Data. nyiso.com.</w:t>
      </w:r>
    </w:p>
    <w:p>
      <w:pPr>
        <w:pStyle w:val="BodyText"/>
      </w:pPr>
      <w:r>
        <w:t xml:space="preserve">PJM Interconnection. Data Miner: Day-Ahead Locational Marginal Pricing. dataminer2.pjm.com.</w:t>
      </w:r>
    </w:p>
    <w:p>
      <w:pPr>
        <w:pStyle w:val="BodyText"/>
      </w:pPr>
      <w:r>
        <w:t xml:space="preserve">U.S. Department of Energy / National Renewable Energy Laboratory. Accelerating Speed to Power Data Viewer. maps.nrel.gov/speed-to-power (accessed December 2025).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Appendix: Cross-Region Stress Decorrelation Analysis</dc:title>
  <dc:creator/>
  <cp:keywords/>
  <dcterms:created xsi:type="dcterms:W3CDTF">2026-04-16T21:13:36Z</dcterms:created>
  <dcterms:modified xsi:type="dcterms:W3CDTF">2026-04-16T21:13:36Z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