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A-28 — Découper et remplacer du texte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un fragment d'une référence structurée et le normaliser.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un fragment d'une référence structurée et le normaliser.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fournisseur encodent la famille, le code produit et l'essence ; seul le code produit alimente la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références vous sont fournies au format « MEUB-A12-CHENE ». Extrayez le seul code central et livrez-le en minuscules.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6 références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codes en minuscules : a12, b07, …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codes sont exacts.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85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8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Text Split avec le séparateur - (tiret).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est un arbre : chaque référence donne une branche de 3 fragments.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List Item avec l'index 1 pour prendre le fragment central de chaque branche.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Text Case en mode Lower.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Découper par position de caractère plutôt que par séparateur : le montage tient tant que la famille fait quatre lettres, et se rompt à la première référence au format différent.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Text Split produit un arbre et non une liste plate.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Espaces parasites : appliquer Trim avant le découpage.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 Split, Replace Text, Text Case, Trim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Même limite qu'en A-27 : le livrable est une liste de codes en minuscules, que le checker ne sait pas comparer. Validation visuelle.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 matériau par un autre avec Replace Text.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Reconstituer la référence complète après modification.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A-28 — Découper et remplacer du texte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