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A-37 — Déplacer par un vecteur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une translation et l'échelonner, en sachant que la transformation ne consomme pas l'original.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Appliquer une translation et l'échelonner, en sachant que la transformation ne consomme pas l'original.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rangée d'entretoises est répartie sur la hauteur d'un montant.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L'entretoise de base vous est fournie. Remontez-la de 120 mm, puis produisez cinq entretoises supplémentaires échelonnées tous les 24 mm au-dessus d'elle, sans employer de composant de réseau.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cercle internalisé dans le plan XY.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entretoises espacées de 24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6 cercles espacés de 24 mm sont produits.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96348" cy="6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7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348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Series avec Start = 0, Step = 24, Count = 6.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Unit Z et brancher la série sur son entrée Factor.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Move : cercle sur G, liste de vecteurs sur 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Le composant produit 6 cercles : une liste de vecteurs génère une liste de résultats.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Croire que la translation déplace l'original et compter cinq entretoises au lieu de six. La transformation produit une copie ; l'original reste dans le flux.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Brancher un seul vecteur et attendre plusieurs copies.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la géométrie d'origine reste visible en plus des copies.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Move, Unit Z, Multiplication, Vector 2Pt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Décaler selon un vecteur oblique.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le rayon en même temps que la hauteur.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A-37 — Déplacer par un vecteur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