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A-42 — Balayage et révolution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Engendrer une surface par déplacement d'un profil le long d'un guide, et par rotation autour d'un axe.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Engendrer une surface par déplacement d'un profil le long d'un guide, et par rotation autour d'un axe.</w:t>
      </w:r>
    </w:p>
    <w:p>
      <w:pPr>
        <w:spacing w:before="200" w:after="60"/>
      </w:pPr>
      <w:r>
        <w:rPr>
          <w:rFonts w:ascii="Calibri" w:hAnsi="Calibri"/>
          <w:b/>
          <w:color w:val="444A52"/>
          <w:sz w:val="22"/>
        </w:rPr>
        <w:t>Contexte</w:t>
      </w:r>
    </w:p>
    <w:p>
      <w:pPr>
        <w:spacing w:before="0" w:after="80"/>
      </w:pPr>
      <w:r>
        <w:rPr>
          <w:rFonts w:ascii="Calibri" w:hAnsi="Calibri"/>
          <w:b w:val="0"/>
          <w:i w:val="0"/>
          <w:sz w:val="21"/>
        </w:rPr>
        <w:t>Une main courante tubulaire suit un limon ; un fût de colonne est engendré par rotation de son profil.</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profil circulaire et son guide vous sont fournis, ainsi qu'un profil plan. Engendrez le tube en promenant le profil circulaire le long du guide, puis le fût en faisant tourner le profil plan autour de l'axe vertical.</w:t>
            </w:r>
          </w:p>
        </w:tc>
      </w:tr>
    </w:tbl>
    <w:p>
      <w:pPr>
        <w:spacing w:after="0"/>
      </w:pPr>
    </w:p>
    <w:p>
      <w:pPr>
        <w:spacing w:before="80" w:after="40"/>
        <w:jc w:val="center"/>
      </w:pPr>
      <w:r>
        <w:drawing>
          <wp:inline xmlns:a="http://schemas.openxmlformats.org/drawingml/2006/main" xmlns:pic="http://schemas.openxmlformats.org/drawingml/2006/picture">
            <wp:extent cx="5903999" cy="3335653"/>
            <wp:docPr id="1" name="Picture 1"/>
            <wp:cNvGraphicFramePr>
              <a:graphicFrameLocks noChangeAspect="1"/>
            </wp:cNvGraphicFramePr>
            <a:graphic>
              <a:graphicData uri="http://schemas.openxmlformats.org/drawingml/2006/picture">
                <pic:pic>
                  <pic:nvPicPr>
                    <pic:cNvPr id="0" name="A-42_canvas_sujet.png"/>
                    <pic:cNvPicPr/>
                  </pic:nvPicPr>
                  <pic:blipFill>
                    <a:blip r:embed="rId10"/>
                    <a:stretch>
                      <a:fillRect/>
                    </a:stretch>
                  </pic:blipFill>
                  <pic:spPr>
                    <a:xfrm>
                      <a:off x="0" y="0"/>
                      <a:ext cx="5903999" cy="3335653"/>
                    </a:xfrm>
                    <a:prstGeom prst="rect"/>
                  </pic:spPr>
                </pic:pic>
              </a:graphicData>
            </a:graphic>
          </wp:inline>
        </w:drawing>
      </w:r>
    </w:p>
    <w:p>
      <w:pPr>
        <w:spacing w:after="160"/>
        <w:jc w:val="center"/>
      </w:pPr>
      <w:r>
        <w:rPr>
          <w:rFonts w:ascii="Calibri" w:hAnsi="Calibri"/>
          <w:i/>
          <w:color w:val="444A52"/>
          <w:sz w:val="18"/>
        </w:rPr>
        <w:t>Le canvas à l'ouverture de A-42_sujet.gh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profil circulaire, une courbe guide et un profil plan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tube et une surface de révolution.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A-42 — Balayage et révolution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