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B-10 — Motif gravé développé sur un anneau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un motif répétitif sur un développé, en distinguant la circonférence du diamètre.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Concevoir un motif à plat puis l'enrouler sur une surface de révolution.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motif doit se refermer sur lui-même. Un raccord faux se voit immédiatement, et se voit toujours au même endroit.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Dessine à plat un motif géométrique répétitif de 12 modules, puis applique-le sur la face extérieure d'un anneau de taille 54 et de 4 mm de large. Le motif doit boucler sans rupture.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anneau de révolution internalisé et un module de motif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4,50 mm — la largeur d'un module,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motif, 2 points pour la continuité du raccord.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5049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504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circonférence de l'anneau : diamètre intérieur = 54/π, puis circonférence extérieure.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Diviser cette circonférence par 12 pour obtenir la largeur exacte du module.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le motif dans un rectangle de référence exactement de cette largeur.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Répliquer le module 12 fois avec Rectangular Array.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Construire la surface développée de référence (rectangle circonférence × largeur).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Appliquer Surface Morph ou Sporph entre la surface plane et la surface de l'anneau.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Vérifier la continuité au raccord en superposant le premier et le dernier module.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le DIAMÈTRE par le nombre de modules : 1,43 mm. La taille d'un anneau est une circonférence ; la confondre avec un diamètre divise le motif par π, et les douze modules ne couvrent plus qu'un tiers du tour.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Largeur de module arrondie : le raccord présente un décalage cumulé.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diamètre intérieur et diamètre extérieur pour le calcul de circonférence.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Surface de référence et surface cible de proportions différentes : le motif se déforme.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Rectangle, Divide Domain2, Surface Morph, Flow along Surface (Morph), Revolution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circonférence de 54 mm en 12 modules donne exactement 4,5 mm : un compte rond, à dessein — il rend le raccord vérifiable à la règle, et l'erreur d'un facteur π immédiate à 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porte sur le développé. Appliqué sur l'anneau, le motif subit la courbure : sa lisibilité dépend alors de la largeur de l'anneau, que l'exercice ne juge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nombre de modules paramétrable et recalculer automatiquement la largeur.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Graver le motif en creux par Solid Difference.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Adapter au cas d'un anneau de section variable.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B-10 — Motif gravé développé sur un anneau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