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B-16 — Lampe à lamelles de section variable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B5 · Design produit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REF-064, REF-069, REF-067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une surface développée dont une dimension varie continûment.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A-35, A-41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22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Faire varier une section le long d'un parcours par interpolation contrôlée.</w:t>
      </w:r>
    </w:p>
    <w:p>
      <w:pPr>
        <w:spacing w:before="200" w:after="60"/>
      </w:pPr>
      <w:r>
        <w:rPr>
          <w:rFonts w:ascii="Calibri" w:hAnsi="Calibri"/>
          <w:b/>
          <w:color w:val="444A52"/>
          <w:sz w:val="22"/>
        </w:rPr>
        <w:t>Contexte</w:t>
      </w:r>
    </w:p>
    <w:p>
      <w:pPr>
        <w:spacing w:before="0" w:after="80"/>
      </w:pPr>
      <w:r>
        <w:rPr>
          <w:rFonts w:ascii="Calibri" w:hAnsi="Calibri"/>
          <w:b w:val="0"/>
          <w:i w:val="0"/>
          <w:sz w:val="21"/>
        </w:rPr>
        <w:t>La tôle de l'abat-jour se commande à plat, au mètre carré. La lamelle est large au milieu et étroite aux extrémités.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Produis un abat-jour composé de 24 lamelles réparties autour d'un axe. Chaque lamelle suit un profil dont la largeur varie de 15 mm aux extrémités à 45 mm au milieu, selon une courbe douce.</w:t>
            </w:r>
          </w:p>
        </w:tc>
      </w:tr>
    </w:tbl>
    <w:p>
      <w:pPr>
        <w:spacing w:after="0"/>
      </w:pPr>
    </w:p>
    <w:p>
      <w:pPr>
        <w:spacing w:before="80" w:after="40"/>
        <w:jc w:val="center"/>
      </w:pPr>
      <w:r>
        <w:drawing>
          <wp:inline xmlns:a="http://schemas.openxmlformats.org/drawingml/2006/main" xmlns:pic="http://schemas.openxmlformats.org/drawingml/2006/picture">
            <wp:extent cx="5903999" cy="2188132"/>
            <wp:docPr id="1" name="Picture 1"/>
            <wp:cNvGraphicFramePr>
              <a:graphicFrameLocks noChangeAspect="1"/>
            </wp:cNvGraphicFramePr>
            <a:graphic>
              <a:graphicData uri="http://schemas.openxmlformats.org/drawingml/2006/picture">
                <pic:pic>
                  <pic:nvPicPr>
                    <pic:cNvPr id="0" name="B-16_canvas_sujet.png"/>
                    <pic:cNvPicPr/>
                  </pic:nvPicPr>
                  <pic:blipFill>
                    <a:blip r:embed="rId10"/>
                    <a:stretch>
                      <a:fillRect/>
                    </a:stretch>
                  </pic:blipFill>
                  <pic:spPr>
                    <a:xfrm>
                      <a:off x="0" y="0"/>
                      <a:ext cx="5903999" cy="2188132"/>
                    </a:xfrm>
                    <a:prstGeom prst="rect"/>
                  </pic:spPr>
                </pic:pic>
              </a:graphicData>
            </a:graphic>
          </wp:inline>
        </w:drawing>
      </w:r>
    </w:p>
    <w:p>
      <w:pPr>
        <w:spacing w:after="160"/>
        <w:jc w:val="center"/>
      </w:pPr>
      <w:r>
        <w:rPr>
          <w:rFonts w:ascii="Calibri" w:hAnsi="Calibri"/>
          <w:i/>
          <w:color w:val="444A52"/>
          <w:sz w:val="18"/>
        </w:rPr>
        <w:t>Le canvas à l'ouverture de B-16_sujet.gh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courbe génératrice internalisée et un slider de nombre de lamelles.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0,3024 m² de surface développée, à 0,0001 près.</w:t>
      </w:r>
    </w:p>
    <w:p>
      <w:pPr>
        <w:spacing w:before="0" w:after="80"/>
      </w:pPr>
      <w:r>
        <w:rPr>
          <w:rFonts w:ascii="Calibri" w:hAnsi="Calibri"/>
          <w:b w:val="0"/>
          <w:i/>
          <w:sz w:val="21"/>
        </w:rPr>
        <w:t>Branchez votre résultat sur le paramètre REPONSE. La correction compare cette sortie en mode NumericTolerance, avec une tolérance de 0.0001.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2 points pour la variation, 2 points pour la répartition.</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B-16_complet.gh,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253743"/>
            <wp:docPr id="2" name="Picture 2"/>
            <wp:cNvGraphicFramePr>
              <a:graphicFrameLocks noChangeAspect="1"/>
            </wp:cNvGraphicFramePr>
            <a:graphic>
              <a:graphicData uri="http://schemas.openxmlformats.org/drawingml/2006/picture">
                <pic:pic>
                  <pic:nvPicPr>
                    <pic:cNvPr id="0" name="B-16_canvas_corrige.png"/>
                    <pic:cNvPicPr/>
                  </pic:nvPicPr>
                  <pic:blipFill>
                    <a:blip r:embed="rId11"/>
                    <a:stretch>
                      <a:fillRect/>
                    </a:stretch>
                  </pic:blipFill>
                  <pic:spPr>
                    <a:xfrm>
                      <a:off x="0" y="0"/>
                      <a:ext cx="5903999" cy="3253743"/>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Diviser la courbe génératrice en 30 stations avec Divide Curve.</w:t>
      </w:r>
    </w:p>
    <w:p>
      <w:pPr>
        <w:spacing w:after="100"/>
        <w:ind w:left="340"/>
      </w:pPr>
      <w:r>
        <w:rPr>
          <w:rFonts w:ascii="Calibri" w:hAnsi="Calibri"/>
          <w:b/>
          <w:color w:val="2E5C8A"/>
          <w:sz w:val="21"/>
        </w:rPr>
        <w:t xml:space="preserve">Étape 2.  </w:t>
      </w:r>
      <w:r>
        <w:rPr>
          <w:rFonts w:ascii="Calibri" w:hAnsi="Calibri"/>
          <w:sz w:val="21"/>
        </w:rPr>
        <w:t>Générer une série normalisée de 0 à 1 sur ces stations.</w:t>
      </w:r>
    </w:p>
    <w:p>
      <w:pPr>
        <w:spacing w:after="100"/>
        <w:ind w:left="340"/>
      </w:pPr>
      <w:r>
        <w:rPr>
          <w:rFonts w:ascii="Calibri" w:hAnsi="Calibri"/>
          <w:b/>
          <w:color w:val="2E5C8A"/>
          <w:sz w:val="21"/>
        </w:rPr>
        <w:t xml:space="preserve">Étape 3.  </w:t>
      </w:r>
      <w:r>
        <w:rPr>
          <w:rFonts w:ascii="Calibri" w:hAnsi="Calibri"/>
          <w:sz w:val="21"/>
        </w:rPr>
        <w:t>Passer cette série dans un Graph Mapper en courbe de Bézier symétrique.</w:t>
      </w:r>
    </w:p>
    <w:p>
      <w:pPr>
        <w:spacing w:after="100"/>
        <w:ind w:left="340"/>
      </w:pPr>
      <w:r>
        <w:rPr>
          <w:rFonts w:ascii="Calibri" w:hAnsi="Calibri"/>
          <w:b/>
          <w:color w:val="2E5C8A"/>
          <w:sz w:val="21"/>
        </w:rPr>
        <w:t xml:space="preserve">Étape 4.  </w:t>
      </w:r>
      <w:r>
        <w:rPr>
          <w:rFonts w:ascii="Calibri" w:hAnsi="Calibri"/>
          <w:sz w:val="21"/>
        </w:rPr>
        <w:t>Remapper la sortie sur le domaine 15 à 45 : on obtient la largeur à chaque station.</w:t>
      </w:r>
    </w:p>
    <w:p>
      <w:pPr>
        <w:spacing w:after="100"/>
        <w:ind w:left="340"/>
      </w:pPr>
      <w:r>
        <w:rPr>
          <w:rFonts w:ascii="Calibri" w:hAnsi="Calibri"/>
          <w:b/>
          <w:color w:val="2E5C8A"/>
          <w:sz w:val="21"/>
        </w:rPr>
        <w:t xml:space="preserve">Étape 5.  </w:t>
      </w:r>
      <w:r>
        <w:rPr>
          <w:rFonts w:ascii="Calibri" w:hAnsi="Calibri"/>
          <w:sz w:val="21"/>
        </w:rPr>
        <w:t>Construire un rectangle de cette largeur dans le plan perpendiculaire de chaque station.</w:t>
      </w:r>
    </w:p>
    <w:p>
      <w:pPr>
        <w:spacing w:after="100"/>
        <w:ind w:left="340"/>
      </w:pPr>
      <w:r>
        <w:rPr>
          <w:rFonts w:ascii="Calibri" w:hAnsi="Calibri"/>
          <w:b/>
          <w:color w:val="2E5C8A"/>
          <w:sz w:val="21"/>
        </w:rPr>
        <w:t xml:space="preserve">Étape 6.  </w:t>
      </w:r>
      <w:r>
        <w:rPr>
          <w:rFonts w:ascii="Calibri" w:hAnsi="Calibri"/>
          <w:sz w:val="21"/>
        </w:rPr>
        <w:t>Lofter ces rectangles pour obtenir la lamelle.</w:t>
      </w:r>
    </w:p>
    <w:p>
      <w:pPr>
        <w:spacing w:after="100"/>
        <w:ind w:left="340"/>
      </w:pPr>
      <w:r>
        <w:rPr>
          <w:rFonts w:ascii="Calibri" w:hAnsi="Calibri"/>
          <w:b/>
          <w:color w:val="2E5C8A"/>
          <w:sz w:val="21"/>
        </w:rPr>
        <w:t xml:space="preserve">Étape 7.  </w:t>
      </w:r>
      <w:r>
        <w:rPr>
          <w:rFonts w:ascii="Calibri" w:hAnsi="Calibri"/>
          <w:sz w:val="21"/>
        </w:rPr>
        <w:t>Répartir par Polar Array avec Count = 24.</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Prendre la largeur maximale partout : 0,4536 m², soit 50 % de trop. La largeur varie linéairement — sa moyenne est la demi-somme des extrêmes, pas le maximum.</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Graph Mapper non symétrique : les deux extrémités n'ont pas la même largeur.</w:t>
      </w:r>
    </w:p>
    <w:p>
      <w:pPr>
        <w:spacing w:after="60"/>
        <w:ind w:left="340"/>
      </w:pPr>
      <w:r>
        <w:rPr>
          <w:rFonts w:ascii="Calibri" w:hAnsi="Calibri"/>
          <w:sz w:val="21"/>
        </w:rPr>
        <w:t>•  Rectangles non alignés : le Loft se vrille.</w:t>
      </w:r>
    </w:p>
    <w:p>
      <w:pPr>
        <w:spacing w:after="60"/>
        <w:ind w:left="340"/>
      </w:pPr>
      <w:r>
        <w:rPr>
          <w:rFonts w:ascii="Calibri" w:hAnsi="Calibri"/>
          <w:sz w:val="21"/>
        </w:rPr>
        <w:t>•  Lamelles voisines en interférence près de l'axe.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Divide Curve, Perp Frames, Circle, Graph Mapper, Loft, Polar Array</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24 lamelles de 420 mm, largeur de 15 à 45 mm : la largeur moyenne vaut 30 mm, exactement le tiers de la somme des extrêmes plus le minimum. Le rapport de 1,5 entre les deux réponses est trop grand pour passer inaperçu sur une commande.</w:t>
      </w:r>
    </w:p>
    <w:p>
      <w:pPr>
        <w:spacing w:before="200" w:after="60"/>
      </w:pPr>
      <w:r>
        <w:rPr>
          <w:rFonts w:ascii="Calibri" w:hAnsi="Calibri"/>
          <w:b/>
          <w:color w:val="444A52"/>
          <w:sz w:val="22"/>
        </w:rPr>
        <w:t>Pour aller plus loin</w:t>
      </w:r>
    </w:p>
    <w:p>
      <w:pPr>
        <w:spacing w:after="60"/>
        <w:ind w:left="340"/>
      </w:pPr>
      <w:r>
        <w:rPr>
          <w:rFonts w:ascii="Calibri" w:hAnsi="Calibri"/>
          <w:sz w:val="21"/>
        </w:rPr>
        <w:t>•  Faire varier aussi l'épaisseur.</w:t>
      </w:r>
    </w:p>
    <w:p>
      <w:pPr>
        <w:spacing w:after="60"/>
        <w:ind w:left="340"/>
      </w:pPr>
      <w:r>
        <w:rPr>
          <w:rFonts w:ascii="Calibri" w:hAnsi="Calibri"/>
          <w:sz w:val="21"/>
        </w:rPr>
        <w:t>•  Contrôler l'ouverture lumineuse résultante.</w:t>
      </w:r>
    </w:p>
    <w:p>
      <w:pPr>
        <w:spacing w:after="60"/>
        <w:ind w:left="340"/>
      </w:pPr>
      <w:r>
        <w:rPr>
          <w:rFonts w:ascii="Calibri" w:hAnsi="Calibri"/>
          <w:sz w:val="21"/>
        </w:rPr>
        <w:t>•  Adapter le nombre de lamelles à un diamètre imposé.</w:t>
      </w:r>
    </w:p>
    <w:p>
      <w:pPr>
        <w:spacing w:before="200" w:after="60"/>
      </w:pPr>
      <w:r>
        <w:rPr>
          <w:rFonts w:ascii="Calibri" w:hAnsi="Calibri"/>
          <w:b/>
          <w:color w:val="444A52"/>
          <w:sz w:val="22"/>
        </w:rPr>
        <w:t>Fichiers de cet exercice</w:t>
      </w:r>
    </w:p>
    <w:p>
      <w:pPr>
        <w:spacing w:after="60"/>
        <w:ind w:left="340"/>
      </w:pPr>
      <w:r>
        <w:rPr>
          <w:rFonts w:ascii="Calibri" w:hAnsi="Calibri"/>
          <w:sz w:val="21"/>
        </w:rPr>
        <w:t>•  B-16_sujet.gh — énoncé et données de départ, sans le corrigé</w:t>
      </w:r>
    </w:p>
    <w:p>
      <w:pPr>
        <w:spacing w:after="60"/>
        <w:ind w:left="340"/>
      </w:pPr>
      <w:r>
        <w:rPr>
          <w:rFonts w:ascii="Calibri" w:hAnsi="Calibri"/>
          <w:sz w:val="21"/>
        </w:rPr>
        <w:t>•  B-16_complet.gh — énoncé et corrigé, ce dernier commandé par l'interrupteur</w:t>
      </w:r>
    </w:p>
    <w:p>
      <w:pPr>
        <w:spacing w:after="60"/>
        <w:ind w:left="340"/>
      </w:pPr>
      <w:r>
        <w:rPr>
          <w:rFonts w:ascii="Calibri" w:hAnsi="Calibri"/>
          <w:sz w:val="21"/>
        </w:rPr>
        <w:t>•  B-16.json — descripteur pour le plugin Magpie</w:t>
      </w:r>
    </w:p>
    <w:p>
      <w:pPr>
        <w:spacing w:after="60"/>
        <w:ind w:left="340"/>
      </w:pPr>
      <w:r>
        <w:rPr>
          <w:rFonts w:ascii="Calibri" w:hAnsi="Calibri"/>
          <w:sz w:val="21"/>
        </w:rPr>
        <w:t>•  B-16_fiche.docx — la présente fiche</w:t>
      </w:r>
    </w:p>
    <w:p>
      <w:pPr>
        <w:spacing w:after="60"/>
        <w:ind w:left="340"/>
      </w:pPr>
      <w:r>
        <w:rPr>
          <w:rFonts w:ascii="Calibri" w:hAnsi="Calibri"/>
          <w:sz w:val="21"/>
        </w:rPr>
        <w:t>•  B-16_fiche_sujet.docx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B-16 — Lampe à lamelles de section variable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