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B-16 — Lampe à lamelles de section variable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B5 · Design produit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REF-064, REF-069, 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une surface développée dont une dimension varie continûment.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A-35, A-41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varier une section le long d'un parcours par interpolation contrôlée.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tôle de l'abat-jour se commande à plat, au mètre carré. La lamelle est large au milieu et étroite aux extrémités.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Produis un abat-jour composé de 24 lamelles réparties autour d'un axe. Chaque lamelle suit un profil dont la largeur varie de 15 mm aux extrémités à 45 mm au milieu, selon une courbe douce.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8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courbe génératrice internalisée et un slider de nombre de lamelles.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0,3024 m² de surface développée,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variation, 2 points pour la répartition.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B-16 — Lampe à lamelles de section variable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