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C-04 — Métré et chiffrage complet d'un module</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C1 · Architecture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REF-082, REF-083, REF-084, REF-086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Structurer un devis par lot avec sous-totaux, et le rendre exact au centime.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Appliquer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Perfectionnement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75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B-12, B-13</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NumericTolerance — tolérance 0.01</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45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v0.5-260902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Produire un livrable économique complet à partir d'un modèle, avec traçabilité des hypothèses.</w:t>
      </w:r>
    </w:p>
    <w:p>
      <w:pPr>
        <w:spacing w:before="200" w:after="60"/>
      </w:pPr>
      <w:r>
        <w:rPr>
          <w:rFonts w:ascii="Calibri" w:hAnsi="Calibri"/>
          <w:b/>
          <w:color w:val="444A52"/>
          <w:sz w:val="22"/>
        </w:rPr>
        <w:t>Contexte</w:t>
      </w:r>
    </w:p>
    <w:p>
      <w:pPr>
        <w:spacing w:before="0" w:after="80"/>
      </w:pPr>
      <w:r>
        <w:rPr>
          <w:rFonts w:ascii="Calibri" w:hAnsi="Calibri"/>
          <w:b w:val="0"/>
          <w:i w:val="0"/>
          <w:sz w:val="21"/>
        </w:rPr>
        <w:t>Le devis part au maître d'ouvrage. Un sous-total faux ne se voit pas ; un total faux se voit toujours, et trop tard.</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À partir du module constructif fourni, produis un devis quantitatif estimatif par lot (gros œuvre, menuiserie, second œuvre) avec quantités, unités, prix unitaires et totaux, ainsi qu'un récapitulatif par lot et un total général. Le calcul doit rester juste si l'on modifie les dimensions du module.</w:t>
            </w:r>
          </w:p>
        </w:tc>
      </w:tr>
    </w:tbl>
    <w:p>
      <w:pPr>
        <w:spacing w:after="0"/>
      </w:pPr>
    </w:p>
    <w:p>
      <w:pPr>
        <w:spacing w:before="80" w:after="40"/>
        <w:jc w:val="center"/>
      </w:pPr>
      <w:r>
        <w:drawing>
          <wp:inline xmlns:a="http://schemas.openxmlformats.org/drawingml/2006/main" xmlns:pic="http://schemas.openxmlformats.org/drawingml/2006/picture">
            <wp:extent cx="5903999" cy="3573708"/>
            <wp:docPr id="1" name="Picture 1"/>
            <wp:cNvGraphicFramePr>
              <a:graphicFrameLocks noChangeAspect="1"/>
            </wp:cNvGraphicFramePr>
            <a:graphic>
              <a:graphicData uri="http://schemas.openxmlformats.org/drawingml/2006/picture">
                <pic:pic>
                  <pic:nvPicPr>
                    <pic:cNvPr id="0" name="C-04_canvas_sujet.png"/>
                    <pic:cNvPicPr/>
                  </pic:nvPicPr>
                  <pic:blipFill>
                    <a:blip r:embed="rId10"/>
                    <a:stretch>
                      <a:fillRect/>
                    </a:stretch>
                  </pic:blipFill>
                  <pic:spPr>
                    <a:xfrm>
                      <a:off x="0" y="0"/>
                      <a:ext cx="5903999" cy="3573708"/>
                    </a:xfrm>
                    <a:prstGeom prst="rect"/>
                  </pic:spPr>
                </pic:pic>
              </a:graphicData>
            </a:graphic>
          </wp:inline>
        </w:drawing>
      </w:r>
    </w:p>
    <w:p>
      <w:pPr>
        <w:spacing w:after="160"/>
        <w:jc w:val="center"/>
      </w:pPr>
      <w:r>
        <w:rPr>
          <w:rFonts w:ascii="Calibri" w:hAnsi="Calibri"/>
          <w:i/>
          <w:color w:val="444A52"/>
          <w:sz w:val="18"/>
        </w:rPr>
        <w:t>Le canvas à l'ouverture de C-04_sujet.gh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Un module constructif complet et une table de prix unitaires internalisée.</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55 099,00 € de total général.</w:t>
      </w:r>
    </w:p>
    <w:p>
      <w:pPr>
        <w:spacing w:before="0" w:after="80"/>
      </w:pPr>
      <w:r>
        <w:rPr>
          <w:rFonts w:ascii="Calibri" w:hAnsi="Calibri"/>
          <w:b w:val="0"/>
          <w:i/>
          <w:sz w:val="21"/>
        </w:rPr>
        <w:t>Branchez votre résultat sur le paramètre REPONSE. La correction compare cette sortie en mode NumericTolerance, avec une tolérance de 0.01.</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4 points quantités, 3 points structure du devis, 3 points recalculabilité.</w:t>
      </w:r>
    </w:p>
    <w:p>
      <w:pPr>
        <w:spacing w:before="200" w:after="80"/>
      </w:pPr>
      <w:r>
        <w:rPr>
          <w:rFonts w:ascii="Calibri" w:hAnsi="Calibri"/>
          <w:b w:val="0"/>
          <w:i/>
          <w:sz w:val="21"/>
        </w:rPr>
        <w:t>Le corrigé fait l'objet d'une fiche distincte, remise après validation ou en fin de séance.</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C-04 — Métré et chiffrage complet d'un module · v0.5-260902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