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C-10 — Motif gravé génératif sur bijou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REF-115, REF-095, REF-069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Dimensionner une partition de surface en tenant compte de ce que les séparations consomment.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B-10, C-08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motif non répétitif contrôlé par des règles, puis le graver physiquement.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filet entre cellules doit rester gravable. Trop fin, il disparaît au polissage.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Génère sur le corps de bague un motif de type Voronoï dont les cellules mesurent entre 0,8 et 2,2 mm², sépare les cellules par un filet de 0,25 mm, grave à 0,3 mm de profondeur, et fais en sorte que le motif boucle sans rupture visible.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61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1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6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C-10_sujet.gh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bague de l'exercice C-08 et un slider de densité de motif.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77 cellules.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motif, 3 points contraintes d'aire, 3 points raccord.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C-10 — Motif gravé génératif sur bijou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