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C-12 — Imbrication et export de fabrication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C4 · Fabrication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REF-113, REF-114, REF-087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un débit en tenant compte des espacements et des bords perdus, et en tirer un taux de chute défendable.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B-13, C-05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Boucler la chaîne conception-fabrication avec un livrable machine.</w:t>
      </w:r>
    </w:p>
    <w:p>
      <w:pPr>
        <w:spacing w:before="200" w:after="60"/>
      </w:pPr>
      <w:r>
        <w:rPr>
          <w:rFonts w:ascii="Calibri" w:hAnsi="Calibri"/>
          <w:b/>
          <w:color w:val="444A52"/>
          <w:sz w:val="22"/>
        </w:rPr>
        <w:t>Contexte</w:t>
      </w:r>
    </w:p>
    <w:p>
      <w:pPr>
        <w:spacing w:before="0" w:after="80"/>
      </w:pPr>
      <w:r>
        <w:rPr>
          <w:rFonts w:ascii="Calibri" w:hAnsi="Calibri"/>
          <w:b w:val="0"/>
          <w:i w:val="0"/>
          <w:sz w:val="21"/>
        </w:rPr>
        <w:t>La plaque se commande à l'unité et le taux de chute figure au devis. Il engage l'entreprise.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Imbrique les 46 pièces découpées fournies dans des plaques de 3 000 × 1 500 mm avec un espacement de 8 mm entre pièces et 15 mm de bord de plaque. Produis le plan de découpe repéré, le nombre de plaques et le taux de matière utile, puis exporte en DXF par plaque.</w:t>
            </w:r>
          </w:p>
        </w:tc>
      </w:tr>
    </w:tbl>
    <w:p>
      <w:pPr>
        <w:spacing w:after="0"/>
      </w:pPr>
    </w:p>
    <w:p>
      <w:pPr>
        <w:spacing w:before="80" w:after="40"/>
        <w:jc w:val="center"/>
      </w:pPr>
      <w:r>
        <w:drawing>
          <wp:inline xmlns:a="http://schemas.openxmlformats.org/drawingml/2006/main" xmlns:pic="http://schemas.openxmlformats.org/drawingml/2006/picture">
            <wp:extent cx="5903999" cy="3823438"/>
            <wp:docPr id="1" name="Picture 1"/>
            <wp:cNvGraphicFramePr>
              <a:graphicFrameLocks noChangeAspect="1"/>
            </wp:cNvGraphicFramePr>
            <a:graphic>
              <a:graphicData uri="http://schemas.openxmlformats.org/drawingml/2006/picture">
                <pic:pic>
                  <pic:nvPicPr>
                    <pic:cNvPr id="0" name="C-12_canvas_sujet.png"/>
                    <pic:cNvPicPr/>
                  </pic:nvPicPr>
                  <pic:blipFill>
                    <a:blip r:embed="rId10"/>
                    <a:stretch>
                      <a:fillRect/>
                    </a:stretch>
                  </pic:blipFill>
                  <pic:spPr>
                    <a:xfrm>
                      <a:off x="0" y="0"/>
                      <a:ext cx="5903999" cy="3823438"/>
                    </a:xfrm>
                    <a:prstGeom prst="rect"/>
                  </pic:spPr>
                </pic:pic>
              </a:graphicData>
            </a:graphic>
          </wp:inline>
        </w:drawing>
      </w:r>
    </w:p>
    <w:p>
      <w:pPr>
        <w:spacing w:after="160"/>
        <w:jc w:val="center"/>
      </w:pPr>
      <w:r>
        <w:rPr>
          <w:rFonts w:ascii="Calibri" w:hAnsi="Calibri"/>
          <w:i/>
          <w:color w:val="444A52"/>
          <w:sz w:val="18"/>
        </w:rPr>
        <w:t>Le canvas à l'ouverture de C-12_sujet.gh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46 contours de pièces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27,36 % de chute, à 0,01 près.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imbrication, 3 points indicateurs, 3 points export.</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C-12 — Imbrication et export de fabrication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