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DV-02 — Un composant scripté qui parle à RhinoCommon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REF-101, REF-102, REF-103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Employer l'interface de programmation de Rhino depuis un composant scripté pour obtenir ce qu'aucun composant natif ne donne.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Employer l'interface de programmation de Rhino depuis un composant scripté pour obtenir ce qu'aucun composant natif ne donne.</w:t>
      </w:r>
    </w:p>
    <w:p>
      <w:pPr>
        <w:spacing w:before="200" w:after="60"/>
      </w:pPr>
      <w:r>
        <w:rPr>
          <w:rFonts w:ascii="Calibri" w:hAnsi="Calibri"/>
          <w:b/>
          <w:color w:val="444A52"/>
          <w:sz w:val="22"/>
        </w:rPr>
        <w:t>Contexte</w:t>
      </w:r>
    </w:p>
    <w:p>
      <w:pPr>
        <w:spacing w:before="0" w:after="80"/>
      </w:pPr>
      <w:r>
        <w:rPr>
          <w:rFonts w:ascii="Calibri" w:hAnsi="Calibri"/>
          <w:b w:val="0"/>
          <w:i w:val="0"/>
          <w:sz w:val="21"/>
        </w:rPr>
        <w:t>On cherche, sur une courbe, le point où le rayon de courbure passe sous le rayon de cintrage de la machine — information qu'aucun composant natif ne rend directement.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rayon de cintrage minimal de la machine est de 250 mm. Sur la courbe fournie, donnez la longueur cumulée des portions où le rayon de courbure descend sous cette valeur, en millimètres.</w:t>
            </w:r>
          </w:p>
        </w:tc>
      </w:tr>
    </w:tbl>
    <w:p>
      <w:pPr>
        <w:spacing w:after="0"/>
      </w:pPr>
    </w:p>
    <w:p>
      <w:pPr>
        <w:spacing w:before="80" w:after="40"/>
        <w:jc w:val="center"/>
      </w:pPr>
      <w:r>
        <w:drawing>
          <wp:inline xmlns:a="http://schemas.openxmlformats.org/drawingml/2006/main" xmlns:pic="http://schemas.openxmlformats.org/drawingml/2006/picture">
            <wp:extent cx="5903999" cy="1569025"/>
            <wp:docPr id="1" name="Picture 1"/>
            <wp:cNvGraphicFramePr>
              <a:graphicFrameLocks noChangeAspect="1"/>
            </wp:cNvGraphicFramePr>
            <a:graphic>
              <a:graphicData uri="http://schemas.openxmlformats.org/drawingml/2006/picture">
                <pic:pic>
                  <pic:nvPicPr>
                    <pic:cNvPr id="0" name="DV-02_canvas_sujet.png"/>
                    <pic:cNvPicPr/>
                  </pic:nvPicPr>
                  <pic:blipFill>
                    <a:blip r:embed="rId10"/>
                    <a:stretch>
                      <a:fillRect/>
                    </a:stretch>
                  </pic:blipFill>
                  <pic:spPr>
                    <a:xfrm>
                      <a:off x="0" y="0"/>
                      <a:ext cx="5903999" cy="1569025"/>
                    </a:xfrm>
                    <a:prstGeom prst="rect"/>
                  </pic:spPr>
                </pic:pic>
              </a:graphicData>
            </a:graphic>
          </wp:inline>
        </w:drawing>
      </w:r>
    </w:p>
    <w:p>
      <w:pPr>
        <w:spacing w:after="160"/>
        <w:jc w:val="center"/>
      </w:pPr>
      <w:r>
        <w:rPr>
          <w:rFonts w:ascii="Calibri" w:hAnsi="Calibri"/>
          <w:i/>
          <w:color w:val="444A52"/>
          <w:sz w:val="18"/>
        </w:rPr>
        <w:t>Le canvas à l'ouverture de DV-02_sujet.gh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courbe de tracé et le rayon de cintrage minimal.</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longueur cumulée des portions trop cintrées, à 5 mm près.</w:t>
      </w:r>
    </w:p>
    <w:p>
      <w:pPr>
        <w:spacing w:before="0" w:after="80"/>
      </w:pPr>
      <w:r>
        <w:rPr>
          <w:rFonts w:ascii="Calibri" w:hAnsi="Calibri"/>
          <w:b w:val="0"/>
          <w:i/>
          <w:sz w:val="21"/>
        </w:rPr>
        <w:t>Branchez votre résultat sur le paramètre REPONSE. La correction compare cette sortie en mode NumericTolerance, avec une tolérance de 5.</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1 mm près et si le pas a été contrôlé par convergence.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DV-02 — Un composant scripté qui parle à RhinoCommon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