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G-07 — Une, deux ou trois étoiles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G1 · Progression et récompense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REF-067, REF-068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Construire une trame dont le nombre de modules découle du pas, et non l'inverse.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9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Distinguer la simple réussite de la réussite élégante.</w:t>
      </w:r>
    </w:p>
    <w:p>
      <w:pPr>
        <w:spacing w:before="200" w:after="60"/>
      </w:pPr>
      <w:r>
        <w:rPr>
          <w:rFonts w:ascii="Calibri" w:hAnsi="Calibri"/>
          <w:b/>
          <w:color w:val="444A52"/>
          <w:sz w:val="22"/>
        </w:rPr>
        <w:t>Contexte</w:t>
      </w:r>
    </w:p>
    <w:p>
      <w:pPr>
        <w:spacing w:before="0" w:after="80"/>
      </w:pPr>
      <w:r>
        <w:rPr>
          <w:rFonts w:ascii="Calibri" w:hAnsi="Calibri"/>
          <w:b w:val="0"/>
          <w:i w:val="0"/>
          <w:sz w:val="21"/>
        </w:rPr>
        <w:t>Les étoiles distinguent la réussite de la réussite élégante. Une trame juste mais figée vaut une étoile ; la même trame paramétrique en vaut trois, et c'est la seule qui survivra au prochain changement de cote.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Produis la trame demandée. Une étoile pour un résultat juste, deux étoiles si la solution tient en moins de 12 composants, trois étoiles si elle reste juste après changement des paramètres de trame.</w:t>
            </w:r>
          </w:p>
        </w:tc>
      </w:tr>
    </w:tbl>
    <w:p>
      <w:pPr>
        <w:spacing w:after="0"/>
      </w:pPr>
    </w:p>
    <w:p>
      <w:pPr>
        <w:spacing w:before="80" w:after="40"/>
        <w:jc w:val="center"/>
      </w:pPr>
      <w:r>
        <w:drawing>
          <wp:inline xmlns:a="http://schemas.openxmlformats.org/drawingml/2006/main" xmlns:pic="http://schemas.openxmlformats.org/drawingml/2006/picture">
            <wp:extent cx="5903999" cy="2800116"/>
            <wp:docPr id="1" name="Picture 1"/>
            <wp:cNvGraphicFramePr>
              <a:graphicFrameLocks noChangeAspect="1"/>
            </wp:cNvGraphicFramePr>
            <a:graphic>
              <a:graphicData uri="http://schemas.openxmlformats.org/drawingml/2006/picture">
                <pic:pic>
                  <pic:nvPicPr>
                    <pic:cNvPr id="0" name="G-07_canvas_sujet.png"/>
                    <pic:cNvPicPr/>
                  </pic:nvPicPr>
                  <pic:blipFill>
                    <a:blip r:embed="rId10"/>
                    <a:stretch>
                      <a:fillRect/>
                    </a:stretch>
                  </pic:blipFill>
                  <pic:spPr>
                    <a:xfrm>
                      <a:off x="0" y="0"/>
                      <a:ext cx="5903999" cy="2800116"/>
                    </a:xfrm>
                    <a:prstGeom prst="rect"/>
                  </pic:spPr>
                </pic:pic>
              </a:graphicData>
            </a:graphic>
          </wp:inline>
        </w:drawing>
      </w:r>
    </w:p>
    <w:p>
      <w:pPr>
        <w:spacing w:after="160"/>
        <w:jc w:val="center"/>
      </w:pPr>
      <w:r>
        <w:rPr>
          <w:rFonts w:ascii="Calibri" w:hAnsi="Calibri"/>
          <w:i/>
          <w:color w:val="444A52"/>
          <w:sz w:val="18"/>
        </w:rPr>
        <w:t>Le canvas à l'ouverture de G-07_sujet.gh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module et une trame cible affichée en filigrane.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143 modules — 13 par 11.</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3 étoiles, validation dès la première.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G-07_complet.gh,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979039"/>
            <wp:docPr id="2" name="Picture 2"/>
            <wp:cNvGraphicFramePr>
              <a:graphicFrameLocks noChangeAspect="1"/>
            </wp:cNvGraphicFramePr>
            <a:graphic>
              <a:graphicData uri="http://schemas.openxmlformats.org/drawingml/2006/picture">
                <pic:pic>
                  <pic:nvPicPr>
                    <pic:cNvPr id="0" name="G-07_canvas_corrige.png"/>
                    <pic:cNvPicPr/>
                  </pic:nvPicPr>
                  <pic:blipFill>
                    <a:blip r:embed="rId11"/>
                    <a:stretch>
                      <a:fillRect/>
                    </a:stretch>
                  </pic:blipFill>
                  <pic:spPr>
                    <a:xfrm>
                      <a:off x="0" y="0"/>
                      <a:ext cx="5903999" cy="497903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Analyser la trame cible : nombre de rangs, nombre de colonnes, entraxes.</w:t>
      </w:r>
    </w:p>
    <w:p>
      <w:pPr>
        <w:spacing w:after="100"/>
        <w:ind w:left="340"/>
      </w:pPr>
      <w:r>
        <w:rPr>
          <w:rFonts w:ascii="Calibri" w:hAnsi="Calibri"/>
          <w:b/>
          <w:color w:val="2E5C8A"/>
          <w:sz w:val="21"/>
        </w:rPr>
        <w:t xml:space="preserve">Étape 2.  </w:t>
      </w:r>
      <w:r>
        <w:rPr>
          <w:rFonts w:ascii="Calibri" w:hAnsi="Calibri"/>
          <w:sz w:val="21"/>
        </w:rPr>
        <w:t>Choisir Rectangular Array plutôt qu'une suite de Move.</w:t>
      </w:r>
    </w:p>
    <w:p>
      <w:pPr>
        <w:spacing w:after="100"/>
        <w:ind w:left="340"/>
      </w:pPr>
      <w:r>
        <w:rPr>
          <w:rFonts w:ascii="Calibri" w:hAnsi="Calibri"/>
          <w:b/>
          <w:color w:val="2E5C8A"/>
          <w:sz w:val="21"/>
        </w:rPr>
        <w:t xml:space="preserve">Étape 3.  </w:t>
      </w:r>
      <w:r>
        <w:rPr>
          <w:rFonts w:ascii="Calibri" w:hAnsi="Calibri"/>
          <w:sz w:val="21"/>
        </w:rPr>
        <w:t>Paramétrer les entraxes par des sliders et non par des valeurs codées en dur.</w:t>
      </w:r>
    </w:p>
    <w:p>
      <w:pPr>
        <w:spacing w:after="100"/>
        <w:ind w:left="340"/>
      </w:pPr>
      <w:r>
        <w:rPr>
          <w:rFonts w:ascii="Calibri" w:hAnsi="Calibri"/>
          <w:b/>
          <w:color w:val="2E5C8A"/>
          <w:sz w:val="21"/>
        </w:rPr>
        <w:t xml:space="preserve">Étape 4.  </w:t>
      </w:r>
      <w:r>
        <w:rPr>
          <w:rFonts w:ascii="Calibri" w:hAnsi="Calibri"/>
          <w:sz w:val="21"/>
        </w:rPr>
        <w:t>Vérifier que le résultat reste juste après modification des sliders.</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Diviser sans arrondir vers le bas : 3 400 / 260 = 13,08, et un quatorzième module sort du cadre. Sur les deux axes, l'erreur donne 14 × 12 = 168 au lieu de 143, soit 25 modules fantômes.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Placer les modules un par un : le résultat est juste mais coûte 40 composants.</w:t>
      </w:r>
    </w:p>
    <w:p>
      <w:pPr>
        <w:spacing w:after="60"/>
        <w:ind w:left="340"/>
      </w:pPr>
      <w:r>
        <w:rPr>
          <w:rFonts w:ascii="Calibri" w:hAnsi="Calibri"/>
          <w:sz w:val="21"/>
        </w:rPr>
        <w:t>•  Coder les entraxes en dur : la troisième étoile est perdue.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Rectangular Array, Polar Array, Move, Series, Graft</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3 400 / 260 et 2 100 / 185 tombent tous deux JUSTE au-dessus d'un entier — 13,08 et 11,35. C'est le cas où l'arrondi compte, et il a été choisi pour cela : avec des divisions exactes, l'erreur n'apparaîtrait pas.</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143 dit que la trame a le bon COMPTE. La troisième étoile — rester juste après changement des paramètres — ne se vérifie pas automatiquement : c'est le formateur qui bouge les sliders.</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Étoile bonus pour une solution sans Graft.</w:t>
      </w:r>
    </w:p>
    <w:p>
      <w:pPr>
        <w:spacing w:after="60"/>
        <w:ind w:left="340"/>
      </w:pPr>
      <w:r>
        <w:rPr>
          <w:rFonts w:ascii="Calibri" w:hAnsi="Calibri"/>
          <w:sz w:val="21"/>
        </w:rPr>
        <w:t>•  Comparatif des solutions de la promotion.</w:t>
      </w:r>
    </w:p>
    <w:p>
      <w:pPr>
        <w:spacing w:before="200" w:after="60"/>
      </w:pPr>
      <w:r>
        <w:rPr>
          <w:rFonts w:ascii="Calibri" w:hAnsi="Calibri"/>
          <w:b/>
          <w:color w:val="444A52"/>
          <w:sz w:val="22"/>
        </w:rPr>
        <w:t>Fichiers de cet exercice</w:t>
      </w:r>
    </w:p>
    <w:p>
      <w:pPr>
        <w:spacing w:after="60"/>
        <w:ind w:left="340"/>
      </w:pPr>
      <w:r>
        <w:rPr>
          <w:rFonts w:ascii="Calibri" w:hAnsi="Calibri"/>
          <w:sz w:val="21"/>
        </w:rPr>
        <w:t>•  G-07_sujet.gh — énoncé et données de départ, sans le corrigé</w:t>
      </w:r>
    </w:p>
    <w:p>
      <w:pPr>
        <w:spacing w:after="60"/>
        <w:ind w:left="340"/>
      </w:pPr>
      <w:r>
        <w:rPr>
          <w:rFonts w:ascii="Calibri" w:hAnsi="Calibri"/>
          <w:sz w:val="21"/>
        </w:rPr>
        <w:t>•  G-07_complet.gh — énoncé et corrigé, ce dernier commandé par l'interrupteur</w:t>
      </w:r>
    </w:p>
    <w:p>
      <w:pPr>
        <w:spacing w:after="60"/>
        <w:ind w:left="340"/>
      </w:pPr>
      <w:r>
        <w:rPr>
          <w:rFonts w:ascii="Calibri" w:hAnsi="Calibri"/>
          <w:sz w:val="21"/>
        </w:rPr>
        <w:t>•  G-07.json — descripteur pour le plugin Magpie</w:t>
      </w:r>
    </w:p>
    <w:p>
      <w:pPr>
        <w:spacing w:after="60"/>
        <w:ind w:left="340"/>
      </w:pPr>
      <w:r>
        <w:rPr>
          <w:rFonts w:ascii="Calibri" w:hAnsi="Calibri"/>
          <w:sz w:val="21"/>
        </w:rPr>
        <w:t>•  G-07_fiche.docx — la présente fiche</w:t>
      </w:r>
    </w:p>
    <w:p>
      <w:pPr>
        <w:spacing w:after="60"/>
        <w:ind w:left="340"/>
      </w:pPr>
      <w:r>
        <w:rPr>
          <w:rFonts w:ascii="Calibri" w:hAnsi="Calibri"/>
          <w:sz w:val="21"/>
        </w:rPr>
        <w:t>•  G-07_fiche_sujet.docx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G-07 — Une, deux ou trois étoiles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